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012F96">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B81B3F" w:rsidR="00443DFD" w:rsidRPr="00936B10" w:rsidRDefault="0060643D" w:rsidP="00012F96">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52523">
        <w:rPr>
          <w:rFonts w:ascii="Arial" w:hAnsi="Arial" w:cs="Arial"/>
          <w:bCs/>
          <w:sz w:val="20"/>
          <w:szCs w:val="20"/>
        </w:rPr>
        <w:t xml:space="preserve"> Středočeský kraj a hl.</w:t>
      </w:r>
      <w:r w:rsidR="00256B2E">
        <w:rPr>
          <w:rFonts w:ascii="Arial" w:hAnsi="Arial" w:cs="Arial"/>
          <w:bCs/>
          <w:sz w:val="20"/>
          <w:szCs w:val="20"/>
        </w:rPr>
        <w:t xml:space="preserve"> </w:t>
      </w:r>
      <w:r w:rsidR="00952523">
        <w:rPr>
          <w:rFonts w:ascii="Arial" w:hAnsi="Arial" w:cs="Arial"/>
          <w:bCs/>
          <w:sz w:val="20"/>
          <w:szCs w:val="20"/>
        </w:rPr>
        <w:t>m. Praha</w:t>
      </w:r>
    </w:p>
    <w:p w14:paraId="2F7BD6A7" w14:textId="34612045" w:rsidR="00443DFD" w:rsidRPr="00936B10" w:rsidRDefault="00F649E9" w:rsidP="00012F96">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256B2E">
        <w:rPr>
          <w:rFonts w:ascii="Arial" w:hAnsi="Arial" w:cs="Arial"/>
          <w:sz w:val="20"/>
          <w:szCs w:val="20"/>
        </w:rPr>
        <w:t xml:space="preserve"> 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69D094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33337" w:rsidRPr="00E33337">
        <w:rPr>
          <w:rFonts w:ascii="Arial" w:hAnsi="Arial" w:cs="Arial"/>
          <w:b/>
          <w:sz w:val="22"/>
          <w:szCs w:val="22"/>
          <w:u w:val="single"/>
        </w:rPr>
        <w:t>STČ/137_KH_Želivec_pozemky_opakované_II</w:t>
      </w:r>
      <w:r w:rsidR="001B73A0" w:rsidRPr="001B73A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1A4FCD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 xml:space="preserve">3 </w:t>
      </w:r>
      <w:r w:rsidR="00C84209" w:rsidRPr="007D0463">
        <w:rPr>
          <w:rFonts w:ascii="Arial" w:hAnsi="Arial" w:cs="Arial"/>
          <w:b/>
          <w:bCs/>
          <w:sz w:val="22"/>
          <w:szCs w:val="22"/>
        </w:rPr>
        <w:t>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Pr="00923283" w:rsidRDefault="00834C18" w:rsidP="003B4A81">
      <w:pPr>
        <w:spacing w:after="120"/>
        <w:rPr>
          <w:rFonts w:ascii="Arial" w:hAnsi="Arial" w:cs="Arial"/>
          <w:sz w:val="22"/>
          <w:szCs w:val="22"/>
        </w:rPr>
      </w:pPr>
      <w:r>
        <w:rPr>
          <w:rFonts w:ascii="Arial" w:hAnsi="Arial" w:cs="Arial"/>
          <w:sz w:val="22"/>
          <w:szCs w:val="22"/>
        </w:rPr>
        <w:t xml:space="preserve">Sídlo: Husinecká 1024/11a, 130 00 </w:t>
      </w:r>
      <w:r w:rsidRPr="00923283">
        <w:rPr>
          <w:rFonts w:ascii="Arial" w:hAnsi="Arial" w:cs="Arial"/>
          <w:sz w:val="22"/>
          <w:szCs w:val="22"/>
        </w:rPr>
        <w:t>Praha 3</w:t>
      </w:r>
    </w:p>
    <w:p w14:paraId="26978947" w14:textId="330F3FEE" w:rsidR="0060643D" w:rsidRPr="00923283" w:rsidRDefault="0060643D" w:rsidP="0060643D">
      <w:pPr>
        <w:rPr>
          <w:rFonts w:ascii="Arial" w:hAnsi="Arial" w:cs="Arial"/>
          <w:sz w:val="22"/>
          <w:szCs w:val="22"/>
        </w:rPr>
      </w:pPr>
      <w:r w:rsidRPr="00923283">
        <w:rPr>
          <w:rFonts w:ascii="Arial" w:hAnsi="Arial" w:cs="Arial"/>
          <w:sz w:val="22"/>
          <w:szCs w:val="22"/>
        </w:rPr>
        <w:t xml:space="preserve">Krajský pozemkový úřad pro </w:t>
      </w:r>
      <w:bookmarkStart w:id="0" w:name="_Hlk205787036"/>
      <w:r w:rsidR="00183BA6" w:rsidRPr="00923283">
        <w:rPr>
          <w:rFonts w:ascii="Arial" w:hAnsi="Arial" w:cs="Arial"/>
          <w:sz w:val="22"/>
          <w:szCs w:val="22"/>
        </w:rPr>
        <w:t>Středočeský kraj a hl. m. Praha</w:t>
      </w:r>
    </w:p>
    <w:bookmarkEnd w:id="0"/>
    <w:p w14:paraId="1E7A2B8E" w14:textId="15E1EA6A" w:rsidR="0060643D" w:rsidRPr="00936B10" w:rsidRDefault="00834C18" w:rsidP="0060643D">
      <w:pPr>
        <w:rPr>
          <w:rFonts w:ascii="Arial" w:hAnsi="Arial" w:cs="Arial"/>
          <w:sz w:val="22"/>
          <w:szCs w:val="22"/>
        </w:rPr>
      </w:pPr>
      <w:r>
        <w:rPr>
          <w:rFonts w:ascii="Arial" w:hAnsi="Arial" w:cs="Arial"/>
          <w:sz w:val="22"/>
          <w:szCs w:val="22"/>
        </w:rPr>
        <w:t>Adresa pro doručování</w:t>
      </w:r>
      <w:r w:rsidR="00183BA6">
        <w:rPr>
          <w:rFonts w:ascii="Arial" w:hAnsi="Arial" w:cs="Arial"/>
          <w:sz w:val="22"/>
          <w:szCs w:val="22"/>
        </w:rPr>
        <w:t>: náměstí W. 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551ED4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183BA6">
        <w:rPr>
          <w:rFonts w:ascii="Arial" w:hAnsi="Arial" w:cs="Arial"/>
          <w:sz w:val="22"/>
          <w:szCs w:val="22"/>
        </w:rPr>
        <w:t>: Ing. Marie Mojžíšová</w:t>
      </w:r>
      <w:r w:rsidR="004A4099" w:rsidRPr="00BB771A">
        <w:rPr>
          <w:rFonts w:ascii="Arial" w:hAnsi="Arial" w:cs="Arial"/>
          <w:sz w:val="22"/>
          <w:szCs w:val="22"/>
        </w:rPr>
        <w:tab/>
      </w:r>
    </w:p>
    <w:p w14:paraId="58D5DF46" w14:textId="0F341DC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83BA6">
        <w:rPr>
          <w:rFonts w:ascii="Arial" w:hAnsi="Arial" w:cs="Arial"/>
          <w:b/>
          <w:sz w:val="22"/>
          <w:szCs w:val="22"/>
        </w:rPr>
        <w:t xml:space="preserve"> 725 949 737</w:t>
      </w:r>
      <w:r w:rsidR="00183BA6" w:rsidRPr="00BB771A">
        <w:rPr>
          <w:rFonts w:ascii="Arial" w:hAnsi="Arial" w:cs="Arial"/>
          <w:sz w:val="22"/>
          <w:szCs w:val="22"/>
        </w:rPr>
        <w:t xml:space="preserve"> </w:t>
      </w:r>
      <w:r w:rsidR="000145A3" w:rsidRPr="00BB771A">
        <w:rPr>
          <w:rFonts w:ascii="Arial" w:hAnsi="Arial" w:cs="Arial"/>
          <w:sz w:val="22"/>
          <w:szCs w:val="22"/>
        </w:rPr>
        <w:t>E-mail:</w:t>
      </w:r>
      <w:r w:rsidR="00183BA6">
        <w:rPr>
          <w:rFonts w:ascii="Arial" w:hAnsi="Arial" w:cs="Arial"/>
          <w:b/>
          <w:sz w:val="22"/>
          <w:szCs w:val="22"/>
        </w:rPr>
        <w:t xml:space="preserve"> marie.mojzisova@spu.gov.cz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5EBC583D" w:rsidR="00A65A0B" w:rsidRPr="00B43AD5" w:rsidRDefault="00733DB8" w:rsidP="00A65A0B">
      <w:pPr>
        <w:spacing w:after="100"/>
        <w:rPr>
          <w:rFonts w:ascii="Arial" w:hAnsi="Arial" w:cs="Arial"/>
          <w:bCs/>
          <w:sz w:val="22"/>
          <w:szCs w:val="22"/>
        </w:rPr>
      </w:pPr>
      <w:r w:rsidRPr="00B43AD5">
        <w:rPr>
          <w:rFonts w:ascii="Arial" w:hAnsi="Arial" w:cs="Arial"/>
          <w:bCs/>
          <w:sz w:val="22"/>
          <w:szCs w:val="22"/>
        </w:rPr>
        <w:t>Úplatný převod pozemku</w:t>
      </w:r>
      <w:r w:rsidR="00923283" w:rsidRPr="00B43AD5">
        <w:rPr>
          <w:rFonts w:ascii="Arial" w:hAnsi="Arial" w:cs="Arial"/>
          <w:bCs/>
          <w:sz w:val="22"/>
          <w:szCs w:val="22"/>
        </w:rPr>
        <w:t xml:space="preserve"> pod stavbou</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3ADE3EE8" w:rsidR="00987764" w:rsidRPr="00BB5F01" w:rsidRDefault="00987764" w:rsidP="00987764">
      <w:pPr>
        <w:jc w:val="both"/>
        <w:rPr>
          <w:rFonts w:ascii="Arial" w:hAnsi="Arial" w:cs="Arial"/>
          <w:sz w:val="22"/>
          <w:szCs w:val="22"/>
        </w:rPr>
      </w:pPr>
      <w:r w:rsidRPr="00BB5F01">
        <w:rPr>
          <w:rFonts w:ascii="Arial" w:hAnsi="Arial" w:cs="Arial"/>
          <w:sz w:val="22"/>
          <w:szCs w:val="22"/>
        </w:rPr>
        <w:t xml:space="preserve">Převod zemědělského pozemku podle § 10 odst. 3 </w:t>
      </w:r>
      <w:r w:rsidR="00532914">
        <w:rPr>
          <w:rFonts w:ascii="Arial" w:hAnsi="Arial" w:cs="Arial"/>
          <w:sz w:val="22"/>
          <w:szCs w:val="22"/>
        </w:rPr>
        <w:t>zákona</w:t>
      </w:r>
      <w:r w:rsidRPr="00BB5F01">
        <w:rPr>
          <w:rFonts w:ascii="Arial" w:hAnsi="Arial" w:cs="Arial"/>
          <w:sz w:val="22"/>
          <w:szCs w:val="22"/>
        </w:rPr>
        <w:t xml:space="preserve">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6BDE05E6"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A878EC" w14:textId="77777777" w:rsidR="001B73A0" w:rsidRPr="001B73A0" w:rsidRDefault="001B73A0" w:rsidP="001B73A0">
      <w:pPr>
        <w:jc w:val="both"/>
        <w:rPr>
          <w:rFonts w:ascii="Arial" w:hAnsi="Arial" w:cs="Arial"/>
          <w:sz w:val="22"/>
          <w:szCs w:val="22"/>
        </w:rPr>
      </w:pPr>
      <w:r w:rsidRPr="001B73A0">
        <w:rPr>
          <w:rFonts w:ascii="Arial" w:hAnsi="Arial" w:cs="Arial"/>
          <w:sz w:val="22"/>
          <w:szCs w:val="22"/>
        </w:rPr>
        <w:t>XXXXXXXXXXX</w:t>
      </w:r>
    </w:p>
    <w:p w14:paraId="506F81EF" w14:textId="77777777" w:rsidR="001B73A0" w:rsidRPr="001B73A0" w:rsidRDefault="001B73A0" w:rsidP="001B73A0">
      <w:pPr>
        <w:jc w:val="both"/>
        <w:rPr>
          <w:rFonts w:ascii="Arial" w:hAnsi="Arial" w:cs="Arial"/>
          <w:sz w:val="22"/>
          <w:szCs w:val="22"/>
        </w:rPr>
      </w:pPr>
      <w:r w:rsidRPr="001B73A0">
        <w:rPr>
          <w:rFonts w:ascii="Arial" w:hAnsi="Arial" w:cs="Arial"/>
          <w:sz w:val="22"/>
          <w:szCs w:val="22"/>
        </w:rPr>
        <w:t>XXXXXXXXXXX</w:t>
      </w:r>
    </w:p>
    <w:p w14:paraId="0A99B29D" w14:textId="31C57299" w:rsidR="00417C4D" w:rsidRPr="001B73A0" w:rsidRDefault="001B73A0" w:rsidP="00987764">
      <w:pPr>
        <w:jc w:val="both"/>
        <w:rPr>
          <w:rFonts w:ascii="Arial" w:hAnsi="Arial" w:cs="Arial"/>
          <w:sz w:val="22"/>
          <w:szCs w:val="22"/>
        </w:rPr>
      </w:pPr>
      <w:r w:rsidRPr="001B73A0">
        <w:rPr>
          <w:rFonts w:ascii="Arial" w:hAnsi="Arial" w:cs="Arial"/>
          <w:sz w:val="22"/>
          <w:szCs w:val="22"/>
        </w:rPr>
        <w:t>XXXXXXXXXXX</w:t>
      </w:r>
    </w:p>
    <w:p w14:paraId="58273076" w14:textId="77777777" w:rsidR="00532914" w:rsidRDefault="00532914" w:rsidP="00987764">
      <w:pPr>
        <w:tabs>
          <w:tab w:val="num" w:pos="1474"/>
        </w:tabs>
        <w:spacing w:before="60"/>
        <w:jc w:val="both"/>
        <w:rPr>
          <w:rFonts w:ascii="Arial" w:hAnsi="Arial" w:cs="Arial"/>
          <w:b/>
          <w:sz w:val="22"/>
          <w:szCs w:val="22"/>
        </w:rPr>
      </w:pPr>
    </w:p>
    <w:p w14:paraId="59FFFF3D" w14:textId="3F9527DD"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325F9DCB" w:rsidR="00987764" w:rsidRPr="00BB5F01" w:rsidRDefault="00987764" w:rsidP="00987764">
      <w:pPr>
        <w:jc w:val="both"/>
        <w:rPr>
          <w:rFonts w:ascii="Arial" w:hAnsi="Arial" w:cs="Arial"/>
          <w:sz w:val="22"/>
          <w:szCs w:val="22"/>
        </w:rPr>
      </w:pPr>
      <w:r w:rsidRPr="00BB5F01">
        <w:rPr>
          <w:rFonts w:ascii="Arial" w:hAnsi="Arial" w:cs="Arial"/>
          <w:sz w:val="22"/>
          <w:szCs w:val="22"/>
        </w:rPr>
        <w:t xml:space="preserve">Cenu určit pro </w:t>
      </w:r>
      <w:r w:rsidR="00923283">
        <w:rPr>
          <w:rFonts w:ascii="Arial" w:hAnsi="Arial" w:cs="Arial"/>
          <w:sz w:val="22"/>
          <w:szCs w:val="22"/>
        </w:rPr>
        <w:t xml:space="preserve">stavební </w:t>
      </w:r>
      <w:r w:rsidRPr="00BB5F01">
        <w:rPr>
          <w:rFonts w:ascii="Arial" w:hAnsi="Arial" w:cs="Arial"/>
          <w:sz w:val="22"/>
          <w:szCs w:val="22"/>
        </w:rPr>
        <w:t>pozemek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3043B118" w:rsidR="00987764" w:rsidRPr="00BB5F01" w:rsidRDefault="00987764" w:rsidP="00987764">
      <w:pPr>
        <w:ind w:right="-433"/>
        <w:rPr>
          <w:rFonts w:ascii="Arial" w:hAnsi="Arial" w:cs="Arial"/>
          <w:sz w:val="22"/>
          <w:szCs w:val="22"/>
        </w:rPr>
      </w:pPr>
      <w:r w:rsidRPr="00BB5F01">
        <w:rPr>
          <w:rFonts w:ascii="Arial" w:hAnsi="Arial" w:cs="Arial"/>
          <w:sz w:val="22"/>
          <w:szCs w:val="22"/>
        </w:rPr>
        <w:t xml:space="preserve">Pozemky ve vlastnictví státu vedené na </w:t>
      </w:r>
      <w:r w:rsidRPr="00183BA6">
        <w:rPr>
          <w:rFonts w:ascii="Arial" w:hAnsi="Arial" w:cs="Arial"/>
          <w:sz w:val="22"/>
          <w:szCs w:val="22"/>
        </w:rPr>
        <w:t>LV</w:t>
      </w:r>
      <w:r w:rsidR="00183BA6">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183BA6" w:rsidRDefault="00987764" w:rsidP="00987764">
      <w:pPr>
        <w:rPr>
          <w:rFonts w:ascii="Arial" w:hAnsi="Arial" w:cs="Arial"/>
          <w:sz w:val="22"/>
          <w:szCs w:val="22"/>
        </w:rPr>
      </w:pPr>
      <w:r w:rsidRPr="00183BA6">
        <w:rPr>
          <w:rFonts w:ascii="Arial" w:hAnsi="Arial" w:cs="Arial"/>
          <w:sz w:val="22"/>
          <w:szCs w:val="22"/>
        </w:rPr>
        <w:t>Obec</w:t>
      </w:r>
      <w:r w:rsidR="00750D34" w:rsidRPr="00183BA6">
        <w:rPr>
          <w:rFonts w:ascii="Arial" w:hAnsi="Arial" w:cs="Arial"/>
          <w:sz w:val="22"/>
          <w:szCs w:val="22"/>
        </w:rPr>
        <w:tab/>
      </w:r>
      <w:r w:rsidR="00750D34" w:rsidRPr="00183BA6">
        <w:rPr>
          <w:rFonts w:ascii="Arial" w:hAnsi="Arial" w:cs="Arial"/>
          <w:sz w:val="22"/>
          <w:szCs w:val="22"/>
        </w:rPr>
        <w:tab/>
      </w:r>
      <w:r w:rsidRPr="00183BA6">
        <w:rPr>
          <w:rFonts w:ascii="Arial" w:hAnsi="Arial" w:cs="Arial"/>
          <w:sz w:val="22"/>
          <w:szCs w:val="22"/>
        </w:rPr>
        <w:t xml:space="preserve">Katastrální území </w:t>
      </w:r>
      <w:r w:rsidRPr="00183BA6">
        <w:rPr>
          <w:rFonts w:ascii="Arial" w:hAnsi="Arial" w:cs="Arial"/>
          <w:sz w:val="22"/>
          <w:szCs w:val="22"/>
        </w:rPr>
        <w:tab/>
        <w:t>Parcelní číslo</w:t>
      </w:r>
      <w:r w:rsidRPr="00183BA6">
        <w:rPr>
          <w:rFonts w:ascii="Arial" w:hAnsi="Arial" w:cs="Arial"/>
          <w:sz w:val="22"/>
          <w:szCs w:val="22"/>
        </w:rPr>
        <w:tab/>
      </w:r>
      <w:r w:rsidRPr="00183BA6">
        <w:rPr>
          <w:rFonts w:ascii="Arial" w:hAnsi="Arial" w:cs="Arial"/>
          <w:sz w:val="22"/>
          <w:szCs w:val="22"/>
        </w:rPr>
        <w:tab/>
        <w:t>Druh pozemku</w:t>
      </w:r>
      <w:r w:rsidRPr="00183BA6">
        <w:rPr>
          <w:rFonts w:ascii="Arial" w:hAnsi="Arial" w:cs="Arial"/>
          <w:sz w:val="22"/>
          <w:szCs w:val="22"/>
        </w:rPr>
        <w:tab/>
        <w:t>Výměra v m</w:t>
      </w:r>
      <w:r w:rsidRPr="00183BA6">
        <w:rPr>
          <w:rFonts w:ascii="Arial" w:hAnsi="Arial" w:cs="Arial"/>
          <w:sz w:val="22"/>
          <w:szCs w:val="22"/>
          <w:vertAlign w:val="superscript"/>
        </w:rPr>
        <w:t>2</w:t>
      </w:r>
    </w:p>
    <w:p w14:paraId="69E05901" w14:textId="77777777" w:rsidR="00987764" w:rsidRPr="00183BA6" w:rsidRDefault="00987764" w:rsidP="00987764">
      <w:pPr>
        <w:ind w:right="-433"/>
        <w:rPr>
          <w:rFonts w:ascii="Arial" w:hAnsi="Arial" w:cs="Arial"/>
          <w:sz w:val="22"/>
          <w:szCs w:val="22"/>
        </w:rPr>
      </w:pPr>
      <w:r w:rsidRPr="00183BA6">
        <w:rPr>
          <w:rFonts w:ascii="Arial" w:hAnsi="Arial" w:cs="Arial"/>
          <w:sz w:val="22"/>
          <w:szCs w:val="22"/>
        </w:rPr>
        <w:t>-----------------------------------------------------------------------------------------------------------------------------------</w:t>
      </w:r>
    </w:p>
    <w:p w14:paraId="12D7FB4B" w14:textId="1ECE643E" w:rsidR="00183BA6" w:rsidRPr="00183BA6" w:rsidRDefault="00183BA6" w:rsidP="00987764">
      <w:pPr>
        <w:rPr>
          <w:rFonts w:ascii="Arial" w:hAnsi="Arial" w:cs="Arial"/>
          <w:b/>
          <w:bCs/>
          <w:i/>
          <w:sz w:val="22"/>
          <w:szCs w:val="22"/>
        </w:rPr>
      </w:pPr>
      <w:r w:rsidRPr="00183BA6">
        <w:rPr>
          <w:rFonts w:ascii="Arial" w:hAnsi="Arial" w:cs="Arial"/>
          <w:b/>
          <w:bCs/>
          <w:i/>
          <w:sz w:val="22"/>
          <w:szCs w:val="22"/>
        </w:rPr>
        <w:t>Zruč nad Sázavou</w:t>
      </w:r>
      <w:r w:rsidR="00F5233B">
        <w:rPr>
          <w:rFonts w:ascii="Arial" w:hAnsi="Arial" w:cs="Arial"/>
          <w:b/>
          <w:bCs/>
          <w:i/>
          <w:sz w:val="22"/>
          <w:szCs w:val="22"/>
        </w:rPr>
        <w:t xml:space="preserve">              </w:t>
      </w:r>
      <w:proofErr w:type="spellStart"/>
      <w:r w:rsidRPr="00183BA6">
        <w:rPr>
          <w:rFonts w:ascii="Arial" w:hAnsi="Arial" w:cs="Arial"/>
          <w:b/>
          <w:bCs/>
          <w:i/>
          <w:sz w:val="22"/>
          <w:szCs w:val="22"/>
        </w:rPr>
        <w:t>Želivec</w:t>
      </w:r>
      <w:proofErr w:type="spellEnd"/>
      <w:r w:rsidR="00F5233B">
        <w:rPr>
          <w:rFonts w:ascii="Arial" w:hAnsi="Arial" w:cs="Arial"/>
          <w:b/>
          <w:bCs/>
          <w:i/>
          <w:sz w:val="22"/>
          <w:szCs w:val="22"/>
        </w:rPr>
        <w:t xml:space="preserve">          </w:t>
      </w:r>
      <w:r w:rsidRPr="00183BA6">
        <w:rPr>
          <w:rFonts w:ascii="Arial" w:hAnsi="Arial" w:cs="Arial"/>
          <w:b/>
          <w:bCs/>
          <w:i/>
          <w:sz w:val="22"/>
          <w:szCs w:val="22"/>
        </w:rPr>
        <w:t>67</w:t>
      </w:r>
      <w:r w:rsidR="00F5233B">
        <w:rPr>
          <w:rFonts w:ascii="Arial" w:hAnsi="Arial" w:cs="Arial"/>
          <w:b/>
          <w:bCs/>
          <w:i/>
          <w:sz w:val="22"/>
          <w:szCs w:val="22"/>
        </w:rPr>
        <w:t xml:space="preserve">                    </w:t>
      </w:r>
      <w:r w:rsidRPr="00183BA6">
        <w:rPr>
          <w:rFonts w:ascii="Arial" w:hAnsi="Arial" w:cs="Arial"/>
          <w:b/>
          <w:bCs/>
          <w:i/>
          <w:sz w:val="22"/>
          <w:szCs w:val="22"/>
        </w:rPr>
        <w:t>zastavěná plocha a           3</w:t>
      </w:r>
    </w:p>
    <w:p w14:paraId="5EC3587F" w14:textId="1B5D2C57" w:rsidR="00987764" w:rsidRPr="00183BA6" w:rsidRDefault="00183BA6" w:rsidP="00987764">
      <w:pPr>
        <w:rPr>
          <w:rFonts w:ascii="Arial" w:hAnsi="Arial" w:cs="Arial"/>
          <w:i/>
          <w:sz w:val="22"/>
          <w:szCs w:val="22"/>
        </w:rPr>
      </w:pPr>
      <w:r w:rsidRPr="00183BA6">
        <w:rPr>
          <w:rFonts w:ascii="Arial" w:hAnsi="Arial" w:cs="Arial"/>
          <w:b/>
          <w:bCs/>
          <w:i/>
          <w:sz w:val="22"/>
          <w:szCs w:val="22"/>
        </w:rPr>
        <w:t xml:space="preserve">                                                                                                      nádvoří</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E99655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9A5061">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B43AD5">
        <w:rPr>
          <w:rFonts w:ascii="Arial" w:hAnsi="Arial" w:cs="Arial"/>
          <w:b/>
          <w:bCs/>
          <w:sz w:val="22"/>
          <w:szCs w:val="22"/>
        </w:rPr>
        <w:t xml:space="preserve">do </w:t>
      </w:r>
      <w:r w:rsidRPr="00B43AD5">
        <w:rPr>
          <w:rFonts w:ascii="Arial" w:hAnsi="Arial" w:cs="Arial"/>
          <w:b/>
          <w:bCs/>
          <w:sz w:val="22"/>
          <w:szCs w:val="22"/>
          <w:highlight w:val="cyan"/>
        </w:rPr>
        <w:t>[doplní zadavatel]</w:t>
      </w:r>
      <w:r w:rsidRPr="00B43AD5">
        <w:rPr>
          <w:rFonts w:ascii="Arial" w:hAnsi="Arial" w:cs="Arial"/>
          <w:b/>
          <w:bCs/>
          <w:sz w:val="22"/>
          <w:szCs w:val="22"/>
        </w:rPr>
        <w:t xml:space="preserve"> </w:t>
      </w:r>
      <w:r w:rsidR="7CE1EEDE" w:rsidRPr="00B43AD5">
        <w:rPr>
          <w:rFonts w:ascii="Arial" w:eastAsia="Arial" w:hAnsi="Arial" w:cs="Arial"/>
          <w:b/>
          <w:bCs/>
          <w:sz w:val="22"/>
          <w:szCs w:val="22"/>
        </w:rPr>
        <w:t xml:space="preserve">pracovních </w:t>
      </w:r>
      <w:r w:rsidR="7CE1EEDE" w:rsidRPr="00B43AD5">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782E7BD" w14:textId="77777777" w:rsidR="00B43AD5" w:rsidRDefault="00B43AD5" w:rsidP="00B43AD5">
      <w:pPr>
        <w:spacing w:after="120" w:line="276" w:lineRule="auto"/>
        <w:jc w:val="both"/>
        <w:rPr>
          <w:rFonts w:ascii="Arial" w:hAnsi="Arial" w:cs="Arial"/>
          <w:sz w:val="22"/>
          <w:szCs w:val="22"/>
        </w:rPr>
      </w:pPr>
    </w:p>
    <w:p w14:paraId="32CA2482" w14:textId="77777777" w:rsidR="00B43AD5" w:rsidRDefault="00B43AD5" w:rsidP="00B43AD5">
      <w:pPr>
        <w:spacing w:after="120" w:line="276" w:lineRule="auto"/>
        <w:jc w:val="both"/>
        <w:rPr>
          <w:rFonts w:ascii="Arial" w:hAnsi="Arial" w:cs="Arial"/>
          <w:sz w:val="22"/>
          <w:szCs w:val="22"/>
        </w:rPr>
      </w:pPr>
    </w:p>
    <w:p w14:paraId="379D520D" w14:textId="77777777" w:rsidR="00B43AD5" w:rsidRPr="00B43AD5" w:rsidRDefault="00B43AD5" w:rsidP="00B43AD5">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54CC12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83BA6">
        <w:rPr>
          <w:rFonts w:ascii="Arial" w:hAnsi="Arial" w:cs="Arial"/>
          <w:b/>
          <w:bCs/>
          <w:sz w:val="22"/>
          <w:szCs w:val="22"/>
        </w:rPr>
        <w:t xml:space="preserve">Krajský pozemkový </w:t>
      </w:r>
      <w:r w:rsidR="00733DB8">
        <w:rPr>
          <w:rFonts w:ascii="Arial" w:hAnsi="Arial" w:cs="Arial"/>
          <w:b/>
          <w:bCs/>
          <w:sz w:val="22"/>
          <w:szCs w:val="22"/>
        </w:rPr>
        <w:t>úřad pro Středočeský kraj a hl. m. Praha</w:t>
      </w:r>
      <w:r w:rsidR="008F2E6D">
        <w:rPr>
          <w:rFonts w:ascii="Arial" w:hAnsi="Arial" w:cs="Arial"/>
          <w:b/>
          <w:bCs/>
          <w:sz w:val="22"/>
          <w:szCs w:val="22"/>
        </w:rPr>
        <w:t>, náměstí W. Churchilla 1800/2, 13000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AB54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3283">
        <w:rPr>
          <w:rFonts w:ascii="Arial" w:hAnsi="Arial" w:cs="Arial"/>
          <w:b/>
          <w:bCs/>
          <w:sz w:val="22"/>
          <w:szCs w:val="22"/>
        </w:rPr>
        <w:t>Krajský pozemkový úřad pro Středočeský kraj a hl. m. Praha.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6E120501" w:rsidR="00D220A0" w:rsidRPr="00B43AD5" w:rsidRDefault="00D220A0" w:rsidP="00B43AD5">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2E39B5B" w14:textId="77777777" w:rsidR="00B43AD5" w:rsidRDefault="00B43AD5"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27CF8BE8" w14:textId="77777777" w:rsidR="00B43AD5" w:rsidRDefault="00B43AD5" w:rsidP="00B43AD5">
      <w:pPr>
        <w:spacing w:after="120" w:line="276" w:lineRule="auto"/>
        <w:jc w:val="both"/>
        <w:rPr>
          <w:rFonts w:ascii="Arial" w:hAnsi="Arial" w:cs="Arial"/>
          <w:snapToGrid w:val="0"/>
          <w:sz w:val="22"/>
          <w:szCs w:val="22"/>
        </w:rPr>
      </w:pPr>
    </w:p>
    <w:p w14:paraId="42B05AE4" w14:textId="77777777" w:rsidR="00B43AD5" w:rsidRDefault="00B43AD5" w:rsidP="00B43AD5">
      <w:pPr>
        <w:spacing w:after="120" w:line="276" w:lineRule="auto"/>
        <w:jc w:val="both"/>
        <w:rPr>
          <w:rFonts w:ascii="Arial" w:hAnsi="Arial" w:cs="Arial"/>
          <w:snapToGrid w:val="0"/>
          <w:sz w:val="22"/>
          <w:szCs w:val="22"/>
        </w:rPr>
      </w:pPr>
    </w:p>
    <w:p w14:paraId="2BB5A48B" w14:textId="77777777" w:rsidR="00B43AD5" w:rsidRPr="00B43AD5" w:rsidRDefault="00B43AD5" w:rsidP="00B43AD5">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B43AD5" w:rsidRDefault="008637CE" w:rsidP="0060643D">
      <w:pPr>
        <w:jc w:val="both"/>
        <w:rPr>
          <w:rFonts w:ascii="Arial" w:hAnsi="Arial" w:cs="Arial"/>
          <w:i/>
          <w:iCs/>
          <w:sz w:val="22"/>
          <w:szCs w:val="22"/>
        </w:rPr>
      </w:pPr>
      <w:r w:rsidRPr="00B43AD5">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75A61D3" w:rsidR="008637CE" w:rsidRDefault="008F2E6D" w:rsidP="004F2B9F">
      <w:pPr>
        <w:contextualSpacing/>
        <w:rPr>
          <w:rFonts w:ascii="Arial" w:hAnsi="Arial" w:cs="Arial"/>
          <w:b/>
          <w:sz w:val="22"/>
          <w:szCs w:val="22"/>
        </w:rPr>
      </w:pPr>
      <w:r>
        <w:rPr>
          <w:rFonts w:ascii="Arial" w:hAnsi="Arial" w:cs="Arial"/>
          <w:b/>
          <w:sz w:val="22"/>
          <w:szCs w:val="22"/>
        </w:rPr>
        <w:t>Ing. Jiří Veselý</w:t>
      </w:r>
    </w:p>
    <w:p w14:paraId="664AEAD2" w14:textId="7018DF4A" w:rsidR="008F2E6D" w:rsidRPr="008F2E6D" w:rsidRDefault="008F2E6D" w:rsidP="004F2B9F">
      <w:pPr>
        <w:contextualSpacing/>
        <w:rPr>
          <w:rFonts w:ascii="Arial" w:hAnsi="Arial" w:cs="Arial"/>
          <w:bCs/>
          <w:sz w:val="22"/>
          <w:szCs w:val="22"/>
        </w:rPr>
      </w:pPr>
      <w:r w:rsidRPr="008F2E6D">
        <w:rPr>
          <w:rFonts w:ascii="Arial" w:hAnsi="Arial" w:cs="Arial"/>
          <w:bCs/>
          <w:sz w:val="22"/>
          <w:szCs w:val="22"/>
        </w:rPr>
        <w:t>Ředitel KPÚ pro Středočeský kraj a hl. m. Praha</w:t>
      </w:r>
    </w:p>
    <w:sectPr w:rsidR="008F2E6D" w:rsidRPr="008F2E6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A506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F96"/>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3BA6"/>
    <w:rsid w:val="001A7BC4"/>
    <w:rsid w:val="001B3797"/>
    <w:rsid w:val="001B61D8"/>
    <w:rsid w:val="001B73A0"/>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56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1E4B"/>
    <w:rsid w:val="002E48F9"/>
    <w:rsid w:val="002F1E94"/>
    <w:rsid w:val="002F41A4"/>
    <w:rsid w:val="002F431A"/>
    <w:rsid w:val="002F489D"/>
    <w:rsid w:val="003000B3"/>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119F"/>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17C4D"/>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914"/>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9B9"/>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33DB8"/>
    <w:rsid w:val="007418B4"/>
    <w:rsid w:val="00742BC2"/>
    <w:rsid w:val="00743863"/>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29E0"/>
    <w:rsid w:val="00803F15"/>
    <w:rsid w:val="00810783"/>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634A"/>
    <w:rsid w:val="0089799E"/>
    <w:rsid w:val="008A2F89"/>
    <w:rsid w:val="008B1BFF"/>
    <w:rsid w:val="008B64CB"/>
    <w:rsid w:val="008C2F86"/>
    <w:rsid w:val="008C7863"/>
    <w:rsid w:val="008E3B1D"/>
    <w:rsid w:val="008E703A"/>
    <w:rsid w:val="008E7ACA"/>
    <w:rsid w:val="008F026D"/>
    <w:rsid w:val="008F2E6D"/>
    <w:rsid w:val="008F5EC8"/>
    <w:rsid w:val="00900BEB"/>
    <w:rsid w:val="00902562"/>
    <w:rsid w:val="00914E63"/>
    <w:rsid w:val="00920DB0"/>
    <w:rsid w:val="00922D20"/>
    <w:rsid w:val="00923283"/>
    <w:rsid w:val="00926FE7"/>
    <w:rsid w:val="00927F77"/>
    <w:rsid w:val="00932097"/>
    <w:rsid w:val="00941363"/>
    <w:rsid w:val="009423B2"/>
    <w:rsid w:val="00951B4A"/>
    <w:rsid w:val="00952523"/>
    <w:rsid w:val="0095541F"/>
    <w:rsid w:val="00955A34"/>
    <w:rsid w:val="00957EB9"/>
    <w:rsid w:val="00962581"/>
    <w:rsid w:val="00964B1E"/>
    <w:rsid w:val="00970AC1"/>
    <w:rsid w:val="009727F6"/>
    <w:rsid w:val="009825B4"/>
    <w:rsid w:val="00984BEE"/>
    <w:rsid w:val="009868F3"/>
    <w:rsid w:val="00986C9E"/>
    <w:rsid w:val="009874C6"/>
    <w:rsid w:val="00987764"/>
    <w:rsid w:val="0099240C"/>
    <w:rsid w:val="009967A3"/>
    <w:rsid w:val="009A5061"/>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3AD5"/>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17C5"/>
    <w:rsid w:val="00D170A9"/>
    <w:rsid w:val="00D173CD"/>
    <w:rsid w:val="00D220A0"/>
    <w:rsid w:val="00D23AAD"/>
    <w:rsid w:val="00D24D97"/>
    <w:rsid w:val="00D32E3E"/>
    <w:rsid w:val="00D35599"/>
    <w:rsid w:val="00D4499C"/>
    <w:rsid w:val="00D51B44"/>
    <w:rsid w:val="00D55208"/>
    <w:rsid w:val="00D66B3E"/>
    <w:rsid w:val="00D81ED9"/>
    <w:rsid w:val="00D8368A"/>
    <w:rsid w:val="00D84150"/>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67CE"/>
    <w:rsid w:val="00E30858"/>
    <w:rsid w:val="00E33337"/>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2D6E"/>
    <w:rsid w:val="00ED5945"/>
    <w:rsid w:val="00EE4F70"/>
    <w:rsid w:val="00EF53E5"/>
    <w:rsid w:val="00EF5744"/>
    <w:rsid w:val="00EF6671"/>
    <w:rsid w:val="00EF7A4A"/>
    <w:rsid w:val="00F03CBB"/>
    <w:rsid w:val="00F201B9"/>
    <w:rsid w:val="00F20DFB"/>
    <w:rsid w:val="00F23412"/>
    <w:rsid w:val="00F237E8"/>
    <w:rsid w:val="00F33DC7"/>
    <w:rsid w:val="00F33FEA"/>
    <w:rsid w:val="00F36E16"/>
    <w:rsid w:val="00F5233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3579</Words>
  <Characters>21117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13</cp:revision>
  <cp:lastPrinted>2023-01-02T13:44:00Z</cp:lastPrinted>
  <dcterms:created xsi:type="dcterms:W3CDTF">2026-02-19T13:49:00Z</dcterms:created>
  <dcterms:modified xsi:type="dcterms:W3CDTF">2026-04-09T06:47:00Z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