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73BFBA5B" w:rsidR="003328BE" w:rsidRPr="003B3FD8" w:rsidRDefault="008E1625" w:rsidP="0098042A">
      <w:pPr>
        <w:pStyle w:val="Nzev"/>
        <w:rPr>
          <w:rFonts w:eastAsia="Times New Roman"/>
        </w:rPr>
      </w:pPr>
      <w:r>
        <w:rPr>
          <w:rFonts w:eastAsia="Times New Roman"/>
        </w:rPr>
        <w:t xml:space="preserve"> </w:t>
      </w:r>
      <w:r w:rsidR="00585EED">
        <w:rPr>
          <w:rFonts w:eastAsia="Times New Roman"/>
        </w:rPr>
        <w:t xml:space="preserve"> </w:t>
      </w:r>
      <w:r w:rsidR="006615F7"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210EC8F4" w14:textId="6CB96CF2"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Krajský pozemkový úřad </w:t>
      </w:r>
      <w:r w:rsidR="00451799">
        <w:rPr>
          <w:rFonts w:eastAsia="Times New Roman" w:cs="Arial"/>
          <w:b/>
          <w:lang w:eastAsia="cs-CZ"/>
        </w:rPr>
        <w:t>pro Jihomoravský kraj</w:t>
      </w:r>
    </w:p>
    <w:p w14:paraId="4F3FEF30" w14:textId="389C540E"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451799">
        <w:rPr>
          <w:rFonts w:eastAsia="Times New Roman" w:cs="Arial"/>
          <w:b/>
          <w:lang w:eastAsia="cs-CZ"/>
        </w:rPr>
        <w:t xml:space="preserve"> Hroznová </w:t>
      </w:r>
      <w:r w:rsidR="006C36BB">
        <w:rPr>
          <w:rFonts w:eastAsia="Times New Roman" w:cs="Arial"/>
          <w:b/>
          <w:lang w:eastAsia="cs-CZ"/>
        </w:rPr>
        <w:t xml:space="preserve">227/17, 603 </w:t>
      </w:r>
      <w:proofErr w:type="gramStart"/>
      <w:r w:rsidR="006C36BB">
        <w:rPr>
          <w:rFonts w:eastAsia="Times New Roman" w:cs="Arial"/>
          <w:b/>
          <w:lang w:eastAsia="cs-CZ"/>
        </w:rPr>
        <w:t>00  Brno</w:t>
      </w:r>
      <w:proofErr w:type="gramEnd"/>
    </w:p>
    <w:p w14:paraId="62C7E744" w14:textId="1FE86D19"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Pobočka </w:t>
      </w:r>
      <w:r w:rsidR="006C36BB">
        <w:rPr>
          <w:rFonts w:eastAsia="Times New Roman" w:cs="Arial"/>
          <w:b/>
          <w:lang w:eastAsia="cs-CZ"/>
        </w:rPr>
        <w:t>Znojmo</w:t>
      </w:r>
    </w:p>
    <w:p w14:paraId="2A000BF3" w14:textId="5031FAD2"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6C36BB">
        <w:rPr>
          <w:rFonts w:eastAsia="Times New Roman" w:cs="Arial"/>
          <w:b/>
          <w:lang w:eastAsia="cs-CZ"/>
        </w:rPr>
        <w:t xml:space="preserve"> nám. Armády 1213/8, 669 </w:t>
      </w:r>
      <w:proofErr w:type="gramStart"/>
      <w:r w:rsidR="006C36BB">
        <w:rPr>
          <w:rFonts w:eastAsia="Times New Roman" w:cs="Arial"/>
          <w:b/>
          <w:lang w:eastAsia="cs-CZ"/>
        </w:rPr>
        <w:t>02  Znojmo</w:t>
      </w:r>
      <w:proofErr w:type="gramEnd"/>
    </w:p>
    <w:p w14:paraId="5ED7207F" w14:textId="5E9BA977" w:rsidR="00115C77" w:rsidRPr="003C6F82" w:rsidRDefault="00115C77" w:rsidP="00115C77">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w:t>
      </w:r>
      <w:r w:rsidR="006C36BB">
        <w:rPr>
          <w:rFonts w:eastAsia="Lucida Sans Unicode" w:cs="Arial"/>
          <w:lang w:eastAsia="cs-CZ"/>
        </w:rPr>
        <w:t>RND</w:t>
      </w:r>
      <w:r w:rsidR="00FB4E4D">
        <w:rPr>
          <w:rFonts w:eastAsia="Lucida Sans Unicode" w:cs="Arial"/>
          <w:lang w:eastAsia="cs-CZ"/>
        </w:rPr>
        <w:t>r</w:t>
      </w:r>
      <w:r w:rsidR="006C36BB">
        <w:rPr>
          <w:rFonts w:eastAsia="Lucida Sans Unicode" w:cs="Arial"/>
          <w:lang w:eastAsia="cs-CZ"/>
        </w:rPr>
        <w:t xml:space="preserve">. Dagmar </w:t>
      </w:r>
      <w:r w:rsidR="00FB4E4D">
        <w:rPr>
          <w:rFonts w:eastAsia="Lucida Sans Unicode" w:cs="Arial"/>
          <w:lang w:eastAsia="cs-CZ"/>
        </w:rPr>
        <w:t xml:space="preserve">Benešovskou, vedoucí pobočky </w:t>
      </w:r>
    </w:p>
    <w:p w14:paraId="7E06A351" w14:textId="2606AF96"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w:t>
      </w:r>
      <w:r w:rsidR="000326F4">
        <w:rPr>
          <w:rFonts w:eastAsia="Lucida Sans Unicode" w:cs="Arial"/>
          <w:lang w:eastAsia="cs-CZ"/>
        </w:rPr>
        <w:t>a</w:t>
      </w:r>
      <w:r w:rsidRPr="003C6F82">
        <w:rPr>
          <w:rFonts w:eastAsia="Lucida Sans Unicode" w:cs="Arial"/>
          <w:lang w:eastAsia="cs-CZ"/>
        </w:rPr>
        <w:t xml:space="preserve"> jednat:</w:t>
      </w:r>
      <w:r w:rsidRPr="003C6F82">
        <w:rPr>
          <w:rFonts w:eastAsia="Lucida Sans Unicode" w:cs="Arial"/>
          <w:lang w:eastAsia="cs-CZ"/>
        </w:rPr>
        <w:tab/>
      </w:r>
      <w:r w:rsidR="00FB4E4D">
        <w:rPr>
          <w:rFonts w:eastAsia="Lucida Sans Unicode" w:cs="Arial"/>
          <w:lang w:eastAsia="cs-CZ"/>
        </w:rPr>
        <w:t>RNDr. Dagmar Benešovská</w:t>
      </w:r>
      <w:r w:rsidR="00E349EE">
        <w:rPr>
          <w:rFonts w:eastAsia="Lucida Sans Unicode" w:cs="Arial"/>
          <w:lang w:eastAsia="cs-CZ"/>
        </w:rPr>
        <w:t xml:space="preserve">, vedoucí pobočky </w:t>
      </w:r>
    </w:p>
    <w:p w14:paraId="5FB44BF1" w14:textId="6D521241"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w:t>
      </w:r>
      <w:r w:rsidR="004C1132">
        <w:rPr>
          <w:rFonts w:eastAsia="Lucida Sans Unicode" w:cs="Arial"/>
          <w:snapToGrid w:val="0"/>
          <w:lang w:eastAsia="cs-CZ"/>
        </w:rPr>
        <w:t>i</w:t>
      </w:r>
      <w:r w:rsidRPr="003C6F82">
        <w:rPr>
          <w:rFonts w:eastAsia="Lucida Sans Unicode" w:cs="Arial"/>
          <w:snapToGrid w:val="0"/>
          <w:lang w:eastAsia="cs-CZ"/>
        </w:rPr>
        <w:t xml:space="preserve"> jednat:</w:t>
      </w:r>
      <w:r w:rsidRPr="003C6F82">
        <w:rPr>
          <w:rFonts w:eastAsia="Lucida Sans Unicode" w:cs="Arial"/>
          <w:snapToGrid w:val="0"/>
          <w:lang w:eastAsia="cs-CZ"/>
        </w:rPr>
        <w:tab/>
      </w:r>
      <w:r w:rsidR="00311F47">
        <w:rPr>
          <w:rFonts w:eastAsia="Lucida Sans Unicode" w:cs="Arial"/>
          <w:snapToGrid w:val="0"/>
          <w:lang w:eastAsia="cs-CZ"/>
        </w:rPr>
        <w:t>RNDr. Dagmar Benešovská</w:t>
      </w:r>
      <w:r w:rsidR="006D2200">
        <w:rPr>
          <w:rFonts w:eastAsia="Lucida Sans Unicode" w:cs="Arial"/>
          <w:snapToGrid w:val="0"/>
          <w:lang w:eastAsia="cs-CZ"/>
        </w:rPr>
        <w:t xml:space="preserve">, vedoucí pobočky a </w:t>
      </w:r>
      <w:r w:rsidRPr="003C6F82">
        <w:rPr>
          <w:rFonts w:eastAsia="Lucida Sans Unicode" w:cs="Arial"/>
          <w:lang w:eastAsia="cs-CZ"/>
        </w:rPr>
        <w:t xml:space="preserve"> </w:t>
      </w:r>
    </w:p>
    <w:p w14:paraId="22D23D96" w14:textId="6872E088" w:rsidR="00115C77" w:rsidRPr="003C6F82" w:rsidRDefault="00115C77" w:rsidP="002A5396">
      <w:pPr>
        <w:widowControl w:val="0"/>
        <w:tabs>
          <w:tab w:val="left" w:pos="4678"/>
        </w:tabs>
        <w:suppressAutoHyphens/>
        <w:spacing w:after="0" w:line="240" w:lineRule="auto"/>
        <w:jc w:val="both"/>
        <w:rPr>
          <w:rFonts w:eastAsia="Lucida Sans Unicode" w:cs="Arial"/>
          <w:lang w:eastAsia="cs-CZ"/>
        </w:rPr>
      </w:pPr>
      <w:r w:rsidRPr="003C6F82">
        <w:rPr>
          <w:rFonts w:eastAsia="Lucida Sans Unicode" w:cs="Arial"/>
          <w:lang w:eastAsia="cs-CZ"/>
        </w:rPr>
        <w:tab/>
      </w:r>
      <w:r w:rsidR="006D2200">
        <w:rPr>
          <w:rFonts w:eastAsia="Lucida Sans Unicode" w:cs="Arial"/>
          <w:lang w:eastAsia="cs-CZ"/>
        </w:rPr>
        <w:t>Ing. Stanislav Kadlčík</w:t>
      </w:r>
      <w:r w:rsidR="00D312E0">
        <w:rPr>
          <w:rFonts w:eastAsia="Lucida Sans Unicode" w:cs="Arial"/>
          <w:lang w:eastAsia="cs-CZ"/>
        </w:rPr>
        <w:t>, rada</w:t>
      </w:r>
      <w:r w:rsidR="00E7404C">
        <w:rPr>
          <w:rFonts w:eastAsia="Lucida Sans Unicode" w:cs="Arial"/>
          <w:lang w:eastAsia="cs-CZ"/>
        </w:rPr>
        <w:t>, pobočka Znojmo</w:t>
      </w:r>
    </w:p>
    <w:p w14:paraId="76915F95" w14:textId="62EB36C6" w:rsidR="00115C77"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lang w:eastAsia="cs-CZ"/>
        </w:rPr>
        <w:tab/>
        <w:t>Tel.:</w:t>
      </w:r>
      <w:r w:rsidRPr="003C6F82">
        <w:rPr>
          <w:rFonts w:eastAsia="Lucida Sans Unicode" w:cs="Arial"/>
          <w:lang w:eastAsia="cs-CZ"/>
        </w:rPr>
        <w:tab/>
        <w:t>+420</w:t>
      </w:r>
      <w:r w:rsidR="00E7404C" w:rsidRPr="00981358">
        <w:rPr>
          <w:rFonts w:eastAsia="Lucida Sans Unicode" w:cs="Arial"/>
          <w:bCs/>
          <w:lang w:eastAsia="cs-CZ"/>
        </w:rPr>
        <w:t xml:space="preserve"> 721 935 </w:t>
      </w:r>
      <w:proofErr w:type="gramStart"/>
      <w:r w:rsidR="00E7404C" w:rsidRPr="00981358">
        <w:rPr>
          <w:rFonts w:eastAsia="Lucida Sans Unicode" w:cs="Arial"/>
          <w:bCs/>
          <w:lang w:eastAsia="cs-CZ"/>
        </w:rPr>
        <w:t xml:space="preserve">114 </w:t>
      </w:r>
      <w:r w:rsidR="00981358" w:rsidRPr="00981358">
        <w:rPr>
          <w:rFonts w:eastAsia="Lucida Sans Unicode" w:cs="Arial"/>
          <w:bCs/>
          <w:lang w:eastAsia="cs-CZ"/>
        </w:rPr>
        <w:t xml:space="preserve"> RNDr.</w:t>
      </w:r>
      <w:proofErr w:type="gramEnd"/>
      <w:r w:rsidR="00981358" w:rsidRPr="00981358">
        <w:rPr>
          <w:rFonts w:eastAsia="Lucida Sans Unicode" w:cs="Arial"/>
          <w:bCs/>
          <w:lang w:eastAsia="cs-CZ"/>
        </w:rPr>
        <w:t xml:space="preserve"> Dagmar Benešovská</w:t>
      </w:r>
    </w:p>
    <w:p w14:paraId="31E3A852" w14:textId="74A13EE4" w:rsidR="00981358" w:rsidRPr="00981358" w:rsidRDefault="004D575F" w:rsidP="009F2387">
      <w:pPr>
        <w:widowControl w:val="0"/>
        <w:tabs>
          <w:tab w:val="left" w:pos="284"/>
          <w:tab w:val="left" w:pos="7365"/>
        </w:tabs>
        <w:suppressAutoHyphens/>
        <w:spacing w:after="0" w:line="240" w:lineRule="auto"/>
        <w:rPr>
          <w:rFonts w:eastAsia="Lucida Sans Unicode" w:cs="Arial"/>
          <w:bCs/>
          <w:lang w:eastAsia="cs-CZ"/>
        </w:rPr>
      </w:pPr>
      <w:r>
        <w:rPr>
          <w:rFonts w:eastAsia="Lucida Sans Unicode" w:cs="Arial"/>
          <w:bCs/>
          <w:lang w:eastAsia="cs-CZ"/>
        </w:rPr>
        <w:t xml:space="preserve">                                                                             +</w:t>
      </w:r>
      <w:r w:rsidR="00981358">
        <w:rPr>
          <w:rFonts w:eastAsia="Lucida Sans Unicode" w:cs="Arial"/>
          <w:bCs/>
          <w:lang w:eastAsia="cs-CZ"/>
        </w:rPr>
        <w:t>420 727 957 </w:t>
      </w:r>
      <w:proofErr w:type="gramStart"/>
      <w:r w:rsidR="00981358">
        <w:rPr>
          <w:rFonts w:eastAsia="Lucida Sans Unicode" w:cs="Arial"/>
          <w:bCs/>
          <w:lang w:eastAsia="cs-CZ"/>
        </w:rPr>
        <w:t>281  Ing.</w:t>
      </w:r>
      <w:proofErr w:type="gramEnd"/>
      <w:r w:rsidR="00981358">
        <w:rPr>
          <w:rFonts w:eastAsia="Lucida Sans Unicode" w:cs="Arial"/>
          <w:bCs/>
          <w:lang w:eastAsia="cs-CZ"/>
        </w:rPr>
        <w:t xml:space="preserve"> Stanislav Kadlčík</w:t>
      </w:r>
    </w:p>
    <w:p w14:paraId="420CCAE5" w14:textId="39DCD104"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sidR="004D575F" w:rsidRPr="004D575F">
        <w:rPr>
          <w:rFonts w:eastAsia="Lucida Sans Unicode" w:cs="Arial"/>
          <w:bCs/>
          <w:lang w:eastAsia="cs-CZ"/>
        </w:rPr>
        <w:t>znojmo.pk</w:t>
      </w:r>
      <w:r w:rsidRPr="003C6F82">
        <w:rPr>
          <w:rFonts w:eastAsia="Lucida Sans Unicode" w:cs="Arial"/>
          <w:lang w:eastAsia="cs-CZ"/>
        </w:rPr>
        <w:t>@spu</w:t>
      </w:r>
      <w:r w:rsidR="00C942AB">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1FF54AA5" w:rsidR="00115C77" w:rsidRPr="003D6BB1" w:rsidRDefault="00385A00" w:rsidP="00115C77">
      <w:pPr>
        <w:tabs>
          <w:tab w:val="left" w:pos="4253"/>
        </w:tabs>
        <w:spacing w:line="288" w:lineRule="auto"/>
        <w:jc w:val="both"/>
        <w:rPr>
          <w:rFonts w:eastAsia="Times New Roman" w:cs="Arial"/>
          <w:bCs/>
          <w:lang w:eastAsia="cs-CZ"/>
        </w:rPr>
      </w:pPr>
      <w:r>
        <w:rPr>
          <w:rFonts w:eastAsia="Times New Roman" w:cs="Arial"/>
          <w:b/>
          <w:lang w:eastAsia="cs-CZ"/>
        </w:rPr>
        <w:t>FLORSTYL s.r.o.</w:t>
      </w:r>
    </w:p>
    <w:p w14:paraId="1AFA1A15" w14:textId="021CAB50" w:rsidR="00115C77" w:rsidRPr="003C6F82" w:rsidRDefault="00115C77" w:rsidP="00115C77">
      <w:pPr>
        <w:tabs>
          <w:tab w:val="left" w:pos="4253"/>
        </w:tabs>
        <w:spacing w:line="288" w:lineRule="auto"/>
        <w:jc w:val="both"/>
        <w:rPr>
          <w:rFonts w:eastAsia="Times New Roman" w:cs="Arial"/>
          <w:b/>
          <w:lang w:eastAsia="cs-CZ"/>
        </w:rPr>
      </w:pPr>
      <w:r w:rsidRPr="004B5241">
        <w:rPr>
          <w:rFonts w:eastAsia="Times New Roman" w:cs="Arial"/>
          <w:b/>
          <w:lang w:eastAsia="cs-CZ"/>
        </w:rPr>
        <w:t>Sídlo:</w:t>
      </w:r>
      <w:r w:rsidRPr="00C826E1">
        <w:rPr>
          <w:rFonts w:eastAsia="Times New Roman" w:cs="Arial"/>
          <w:bCs/>
          <w:lang w:eastAsia="cs-CZ"/>
        </w:rPr>
        <w:t xml:space="preserve"> </w:t>
      </w:r>
      <w:r w:rsidR="00385A00" w:rsidRPr="003D6BB1">
        <w:rPr>
          <w:rFonts w:eastAsia="Times New Roman" w:cs="Arial"/>
          <w:bCs/>
          <w:snapToGrid w:val="0"/>
          <w:lang w:eastAsia="cs-CZ"/>
        </w:rPr>
        <w:t>náměstí</w:t>
      </w:r>
      <w:r w:rsidR="00385A00" w:rsidRPr="003D6BB1">
        <w:rPr>
          <w:rFonts w:eastAsia="Times New Roman" w:cs="Arial"/>
          <w:b/>
          <w:bCs/>
          <w:snapToGrid w:val="0"/>
          <w:lang w:eastAsia="cs-CZ"/>
        </w:rPr>
        <w:t xml:space="preserve"> </w:t>
      </w:r>
      <w:r w:rsidR="00385A00" w:rsidRPr="003D6BB1">
        <w:rPr>
          <w:rFonts w:eastAsia="Times New Roman" w:cs="Arial"/>
          <w:snapToGrid w:val="0"/>
          <w:lang w:eastAsia="cs-CZ"/>
        </w:rPr>
        <w:t xml:space="preserve">Svobody </w:t>
      </w:r>
      <w:r w:rsidR="00C826E1" w:rsidRPr="003D6BB1">
        <w:rPr>
          <w:rFonts w:eastAsia="Times New Roman" w:cs="Arial"/>
          <w:snapToGrid w:val="0"/>
          <w:lang w:eastAsia="cs-CZ"/>
        </w:rPr>
        <w:t xml:space="preserve">362, 686 </w:t>
      </w:r>
      <w:proofErr w:type="gramStart"/>
      <w:r w:rsidR="00C826E1" w:rsidRPr="003D6BB1">
        <w:rPr>
          <w:rFonts w:eastAsia="Times New Roman" w:cs="Arial"/>
          <w:snapToGrid w:val="0"/>
          <w:lang w:eastAsia="cs-CZ"/>
        </w:rPr>
        <w:t>04  Kunovice</w:t>
      </w:r>
      <w:proofErr w:type="gramEnd"/>
    </w:p>
    <w:p w14:paraId="07C76183" w14:textId="7A84EB8B" w:rsidR="00115C77" w:rsidRPr="003C6F82"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B143AD">
        <w:rPr>
          <w:rFonts w:eastAsia="Times New Roman" w:cs="Arial"/>
          <w:lang w:eastAsia="cs-CZ"/>
        </w:rPr>
        <w:t xml:space="preserve">Ing. Alešem </w:t>
      </w:r>
      <w:proofErr w:type="spellStart"/>
      <w:r w:rsidR="00B143AD">
        <w:rPr>
          <w:rFonts w:eastAsia="Times New Roman" w:cs="Arial"/>
          <w:lang w:eastAsia="cs-CZ"/>
        </w:rPr>
        <w:t>Galářem</w:t>
      </w:r>
      <w:proofErr w:type="spellEnd"/>
      <w:r w:rsidR="00B143AD">
        <w:rPr>
          <w:rFonts w:eastAsia="Times New Roman" w:cs="Arial"/>
          <w:lang w:eastAsia="cs-CZ"/>
        </w:rPr>
        <w:t xml:space="preserve">, jednatelem </w:t>
      </w:r>
    </w:p>
    <w:p w14:paraId="06F495D1" w14:textId="0CBF710E" w:rsidR="00115C77" w:rsidRPr="003C6F82"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proofErr w:type="spellStart"/>
      <w:r w:rsidR="001A61DB">
        <w:rPr>
          <w:rFonts w:eastAsia="Times New Roman" w:cs="Arial"/>
          <w:lang w:eastAsia="cs-CZ"/>
        </w:rPr>
        <w:t>xxxxxxxxxxxx</w:t>
      </w:r>
      <w:proofErr w:type="spellEnd"/>
    </w:p>
    <w:p w14:paraId="70242161" w14:textId="2760EF5E" w:rsidR="00115C77" w:rsidRPr="003C6F82" w:rsidRDefault="00115C77" w:rsidP="00115C77">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proofErr w:type="spellStart"/>
      <w:r w:rsidR="001A61DB">
        <w:rPr>
          <w:rFonts w:eastAsia="Times New Roman" w:cs="Arial"/>
          <w:lang w:eastAsia="cs-CZ"/>
        </w:rPr>
        <w:t>xxxxxxxxxxxx</w:t>
      </w:r>
      <w:proofErr w:type="spellEnd"/>
    </w:p>
    <w:p w14:paraId="352177C1" w14:textId="02B1F522"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CD000D">
        <w:rPr>
          <w:rFonts w:eastAsia="Times New Roman" w:cs="Arial"/>
          <w:bCs/>
          <w:snapToGrid w:val="0"/>
          <w:lang w:eastAsia="cs-CZ"/>
        </w:rPr>
        <w:t>ati6puk</w:t>
      </w:r>
    </w:p>
    <w:p w14:paraId="5FFC0825" w14:textId="3C84D455"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proofErr w:type="spellStart"/>
      <w:r w:rsidR="009B184D">
        <w:rPr>
          <w:rFonts w:eastAsia="Times New Roman" w:cs="Arial"/>
          <w:lang w:eastAsia="cs-CZ"/>
        </w:rPr>
        <w:t>xxxxxxxxxxxxx</w:t>
      </w:r>
      <w:proofErr w:type="spellEnd"/>
    </w:p>
    <w:p w14:paraId="62D155E5" w14:textId="4ED2A4E8"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proofErr w:type="spellStart"/>
      <w:r w:rsidR="009B184D">
        <w:rPr>
          <w:rFonts w:eastAsia="Times New Roman" w:cs="Arial"/>
          <w:lang w:eastAsia="cs-CZ"/>
        </w:rPr>
        <w:t>xxxxxxxxxxxxx</w:t>
      </w:r>
      <w:proofErr w:type="spellEnd"/>
    </w:p>
    <w:p w14:paraId="13D925F5" w14:textId="521A2079"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proofErr w:type="spellStart"/>
      <w:r w:rsidR="009B184D">
        <w:rPr>
          <w:rFonts w:eastAsia="Times New Roman" w:cs="Arial"/>
          <w:lang w:eastAsia="cs-CZ"/>
        </w:rPr>
        <w:t>xxxxxxxxxxxxx</w:t>
      </w:r>
      <w:proofErr w:type="spellEnd"/>
    </w:p>
    <w:p w14:paraId="0C91F3D6" w14:textId="6BF158B8" w:rsidR="00115C77" w:rsidRPr="003C6F82" w:rsidRDefault="00115C77" w:rsidP="00115C77">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002F3B8A">
        <w:rPr>
          <w:rFonts w:eastAsia="Times New Roman" w:cs="Arial"/>
          <w:lang w:eastAsia="cs-CZ"/>
        </w:rPr>
        <w:t>ČSOB, a.s.</w:t>
      </w:r>
    </w:p>
    <w:p w14:paraId="56440553" w14:textId="24E58893"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002F3B8A">
        <w:rPr>
          <w:rFonts w:eastAsia="Times New Roman" w:cs="Arial"/>
          <w:lang w:eastAsia="cs-CZ"/>
        </w:rPr>
        <w:t>272</w:t>
      </w:r>
      <w:r w:rsidR="00007E10">
        <w:rPr>
          <w:rFonts w:eastAsia="Times New Roman" w:cs="Arial"/>
          <w:lang w:eastAsia="cs-CZ"/>
        </w:rPr>
        <w:t>699038/0300</w:t>
      </w:r>
    </w:p>
    <w:p w14:paraId="0A8D1DEB" w14:textId="14B54174" w:rsidR="00115C77" w:rsidRPr="003C6F82" w:rsidRDefault="00115C77" w:rsidP="00115C77">
      <w:pPr>
        <w:tabs>
          <w:tab w:val="left" w:pos="284"/>
          <w:tab w:val="left" w:pos="4678"/>
        </w:tabs>
        <w:spacing w:after="0" w:line="288" w:lineRule="auto"/>
        <w:jc w:val="both"/>
        <w:rPr>
          <w:rFonts w:eastAsia="Times New Roman" w:cs="Arial"/>
          <w:b/>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00007E10">
        <w:rPr>
          <w:rFonts w:eastAsia="Times New Roman" w:cs="Arial"/>
          <w:lang w:eastAsia="cs-CZ"/>
        </w:rPr>
        <w:t>607 31 346</w:t>
      </w:r>
    </w:p>
    <w:p w14:paraId="62C16EE6" w14:textId="089CAEA6" w:rsidR="00115C77" w:rsidRPr="00007E10"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00007E10">
        <w:rPr>
          <w:rFonts w:eastAsia="Times New Roman" w:cs="Arial"/>
          <w:lang w:eastAsia="cs-CZ"/>
        </w:rPr>
        <w:t>CZ60731346</w:t>
      </w:r>
      <w:r w:rsidR="00007E10">
        <w:rPr>
          <w:rFonts w:eastAsia="Times New Roman" w:cs="Arial"/>
          <w:b/>
          <w:bCs/>
          <w:snapToGrid w:val="0"/>
          <w:lang w:eastAsia="cs-CZ"/>
        </w:rPr>
        <w:t xml:space="preserve"> </w:t>
      </w:r>
      <w:r w:rsidR="00007E10" w:rsidRPr="003D6BB1">
        <w:rPr>
          <w:rFonts w:eastAsia="Times New Roman" w:cs="Arial"/>
          <w:snapToGrid w:val="0"/>
          <w:lang w:eastAsia="cs-CZ"/>
        </w:rPr>
        <w:t>je plátcem DPH</w:t>
      </w:r>
    </w:p>
    <w:p w14:paraId="31C8660A" w14:textId="71D17F3C"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00007E10">
        <w:rPr>
          <w:rFonts w:eastAsia="Times New Roman" w:cs="Arial"/>
          <w:lang w:eastAsia="cs-CZ"/>
        </w:rPr>
        <w:t xml:space="preserve">Krajského soudu </w:t>
      </w:r>
      <w:r w:rsidR="002A6173">
        <w:rPr>
          <w:rFonts w:eastAsia="Times New Roman" w:cs="Arial"/>
          <w:lang w:eastAsia="cs-CZ"/>
        </w:rPr>
        <w:t xml:space="preserve">v Brně, </w:t>
      </w:r>
      <w:r w:rsidRPr="003C6F82">
        <w:rPr>
          <w:rFonts w:eastAsia="Times New Roman" w:cs="Arial"/>
          <w:lang w:eastAsia="cs-CZ"/>
        </w:rPr>
        <w:t xml:space="preserve">oddíl </w:t>
      </w:r>
      <w:r w:rsidR="002A6173">
        <w:rPr>
          <w:rFonts w:eastAsia="Times New Roman" w:cs="Arial"/>
          <w:lang w:eastAsia="cs-CZ"/>
        </w:rPr>
        <w:t>C, vložka 17463</w:t>
      </w:r>
      <w:r w:rsidR="001457F0" w:rsidRPr="001457F0">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0B6CE4E0"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2C59B7" w:rsidRPr="001A439B">
        <w:rPr>
          <w:rFonts w:eastAsia="Times New Roman" w:cs="Arial"/>
          <w:b/>
          <w:bCs/>
          <w:lang w:eastAsia="cs-CZ"/>
        </w:rPr>
        <w:t>Výsadba části LBC7 a části LBC9 v </w:t>
      </w:r>
      <w:proofErr w:type="spellStart"/>
      <w:r w:rsidR="002C59B7" w:rsidRPr="001A439B">
        <w:rPr>
          <w:rFonts w:eastAsia="Times New Roman" w:cs="Arial"/>
          <w:b/>
          <w:bCs/>
          <w:lang w:eastAsia="cs-CZ"/>
        </w:rPr>
        <w:t>k.ú</w:t>
      </w:r>
      <w:proofErr w:type="spellEnd"/>
      <w:r w:rsidR="002C59B7" w:rsidRPr="001A439B">
        <w:rPr>
          <w:rFonts w:eastAsia="Times New Roman" w:cs="Arial"/>
          <w:b/>
          <w:bCs/>
          <w:lang w:eastAsia="cs-CZ"/>
        </w:rPr>
        <w:t>. Hrabětice</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D3E65FF" w:rsidR="00977A7C" w:rsidRPr="00977A7C" w:rsidRDefault="00977A7C" w:rsidP="009102CE">
      <w:pPr>
        <w:tabs>
          <w:tab w:val="left" w:pos="7680"/>
        </w:tabs>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r w:rsidR="00A30127">
        <w:rPr>
          <w:rFonts w:eastAsia="Times New Roman" w:cs="Arial"/>
          <w:u w:val="single"/>
          <w:lang w:eastAsia="cs-CZ"/>
        </w:rPr>
        <w:tab/>
      </w:r>
    </w:p>
    <w:p w14:paraId="17B20958" w14:textId="0D0B117E"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C25C26">
        <w:rPr>
          <w:rFonts w:eastAsia="Times New Roman" w:cs="Arial"/>
          <w:lang w:eastAsia="cs-CZ"/>
        </w:rPr>
        <w:t>23. 2. 2026</w:t>
      </w:r>
    </w:p>
    <w:p w14:paraId="241D2826" w14:textId="7CAAC970"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5A56F2">
        <w:rPr>
          <w:rFonts w:eastAsia="Times New Roman" w:cs="Arial"/>
          <w:lang w:eastAsia="cs-CZ"/>
        </w:rPr>
        <w:t>15. 1. 2026</w:t>
      </w:r>
    </w:p>
    <w:p w14:paraId="0D99EF9B" w14:textId="3EFED682"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5A56F2">
        <w:rPr>
          <w:rFonts w:eastAsia="Times New Roman" w:cs="Arial"/>
          <w:lang w:eastAsia="cs-CZ"/>
        </w:rPr>
        <w:t>6. 3. 2026</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535CE40E"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1" w:name="_Hlk18410741"/>
      <w:r w:rsidR="002C59B7">
        <w:t> </w:t>
      </w:r>
      <w:proofErr w:type="spellStart"/>
      <w:r w:rsidR="002C59B7">
        <w:t>k.ú</w:t>
      </w:r>
      <w:proofErr w:type="spellEnd"/>
      <w:r w:rsidR="002C59B7">
        <w:t>. Hrabětice</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1F7206B0"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2C59B7" w:rsidRPr="001A439B">
        <w:rPr>
          <w:rFonts w:cs="Arial"/>
          <w:b/>
          <w:bCs/>
        </w:rPr>
        <w:t>Výsadba části LBC7 a části LBC9 v </w:t>
      </w:r>
      <w:proofErr w:type="spellStart"/>
      <w:r w:rsidR="002C59B7" w:rsidRPr="001A439B">
        <w:rPr>
          <w:rFonts w:cs="Arial"/>
          <w:b/>
          <w:bCs/>
        </w:rPr>
        <w:t>k.ú</w:t>
      </w:r>
      <w:proofErr w:type="spellEnd"/>
      <w:r w:rsidR="002C59B7" w:rsidRPr="001A439B">
        <w:rPr>
          <w:rFonts w:cs="Arial"/>
          <w:b/>
          <w:bCs/>
        </w:rPr>
        <w:t>. Hrabětice</w:t>
      </w:r>
    </w:p>
    <w:p w14:paraId="02D3E822" w14:textId="74775724"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proofErr w:type="spellStart"/>
      <w:r w:rsidR="002C59B7">
        <w:rPr>
          <w:rFonts w:cs="Arial"/>
        </w:rPr>
        <w:t>k.ú</w:t>
      </w:r>
      <w:proofErr w:type="spellEnd"/>
      <w:r w:rsidR="002C59B7">
        <w:rPr>
          <w:rFonts w:cs="Arial"/>
        </w:rPr>
        <w:t xml:space="preserve">. Hrabětice, </w:t>
      </w:r>
      <w:r w:rsidR="00C61505">
        <w:rPr>
          <w:rFonts w:cs="Arial"/>
        </w:rPr>
        <w:t>obec Hrabětice, okres Znojmo, Jihomoravský kraj</w:t>
      </w:r>
    </w:p>
    <w:p w14:paraId="1B81F13E" w14:textId="27B12702"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622CEE">
        <w:rPr>
          <w:rFonts w:cs="Arial"/>
        </w:rPr>
        <w:t xml:space="preserve"> Ing. Jaroslav Krejčí</w:t>
      </w:r>
      <w:r w:rsidRPr="00D91ACC">
        <w:rPr>
          <w:rFonts w:cs="Arial"/>
          <w:b/>
        </w:rPr>
        <w:t>,</w:t>
      </w:r>
      <w:r w:rsidRPr="00D91ACC">
        <w:rPr>
          <w:rFonts w:cs="Arial"/>
        </w:rPr>
        <w:t xml:space="preserve"> č. zakázky</w:t>
      </w:r>
      <w:r w:rsidR="00802F9E">
        <w:rPr>
          <w:rFonts w:cs="Arial"/>
        </w:rPr>
        <w:t xml:space="preserve"> 46-2025-523101</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lastRenderedPageBreak/>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6BAA24CC" w:rsidR="00BF3FEE" w:rsidRPr="00BF3FEE" w:rsidRDefault="00B90E36" w:rsidP="00BF3FEE">
      <w:pPr>
        <w:pStyle w:val="l-L2"/>
        <w:numPr>
          <w:ilvl w:val="1"/>
          <w:numId w:val="45"/>
        </w:numPr>
        <w:ind w:left="714" w:hanging="357"/>
      </w:pPr>
      <w:r w:rsidRPr="00BF3FEE">
        <w:rPr>
          <w:rFonts w:cs="Arial"/>
        </w:rPr>
        <w:t xml:space="preserve">Zhotovitel </w:t>
      </w:r>
      <w:r w:rsidRPr="00617DFE">
        <w:rPr>
          <w:rFonts w:cs="Arial"/>
        </w:rPr>
        <w:t>zajistí předběžný záchranný archeologický výzkum</w:t>
      </w:r>
      <w:r w:rsidRPr="005B25FA">
        <w:rPr>
          <w:rFonts w:cs="Arial"/>
        </w:rPr>
        <w:t>.</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0B2250" w:rsidRDefault="00911188" w:rsidP="00BF3FEE">
      <w:pPr>
        <w:pStyle w:val="l-L2"/>
        <w:numPr>
          <w:ilvl w:val="1"/>
          <w:numId w:val="45"/>
        </w:numPr>
        <w:ind w:left="714" w:hanging="357"/>
      </w:pPr>
      <w:r w:rsidRPr="00E25EAD">
        <w:rPr>
          <w:rFonts w:cs="Arial"/>
        </w:rPr>
        <w:t>D</w:t>
      </w:r>
      <w:r w:rsidR="00FF51E0" w:rsidRPr="00E25EAD">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E25EAD">
        <w:rPr>
          <w:rFonts w:cs="Arial"/>
        </w:rPr>
        <w:t xml:space="preserve">, </w:t>
      </w:r>
      <w:bookmarkEnd w:id="2"/>
      <w:r w:rsidR="00FF51E0" w:rsidRPr="00E25EAD">
        <w:rPr>
          <w:rFonts w:cs="Arial"/>
        </w:rPr>
        <w:t xml:space="preserve">je zhotovitel povinen neprodleně oznámit nález objednateli, stavebnímu úřadu a zároveň učinit opatření nezbytná k tomu, aby nález nebyl poškozen nebo zničen, práce v místě nálezu </w:t>
      </w:r>
      <w:r w:rsidR="00FF51E0" w:rsidRPr="00BF3FEE">
        <w:rPr>
          <w:rFonts w:cs="Arial"/>
        </w:rPr>
        <w:t>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 xml:space="preserve">v souladu </w:t>
      </w:r>
      <w:r w:rsidR="00973498" w:rsidRPr="000B2250">
        <w:rPr>
          <w:rFonts w:cs="Arial"/>
        </w:rPr>
        <w:t>s</w:t>
      </w:r>
      <w:r w:rsidR="0049073A" w:rsidRPr="000B2250">
        <w:rPr>
          <w:rFonts w:cs="Arial"/>
        </w:rPr>
        <w:t> </w:t>
      </w:r>
      <w:r w:rsidR="00FF51E0" w:rsidRPr="000B2250">
        <w:rPr>
          <w:rFonts w:cs="Arial"/>
        </w:rPr>
        <w:t>§</w:t>
      </w:r>
      <w:r w:rsidR="0049073A" w:rsidRPr="000B2250">
        <w:rPr>
          <w:rFonts w:cs="Arial"/>
        </w:rPr>
        <w:t> </w:t>
      </w:r>
      <w:r w:rsidR="00FF51E0" w:rsidRPr="000B2250">
        <w:rPr>
          <w:rFonts w:cs="Arial"/>
        </w:rPr>
        <w:t>266, odst.</w:t>
      </w:r>
      <w:r w:rsidR="000964C9" w:rsidRPr="000B2250">
        <w:rPr>
          <w:rFonts w:cs="Arial"/>
        </w:rPr>
        <w:t> </w:t>
      </w:r>
      <w:r w:rsidR="00FF51E0" w:rsidRPr="000B2250">
        <w:rPr>
          <w:rFonts w:cs="Arial"/>
        </w:rPr>
        <w:t xml:space="preserve">1 </w:t>
      </w:r>
      <w:bookmarkStart w:id="3" w:name="_Hlk155796260"/>
      <w:r w:rsidR="00FF51E0" w:rsidRPr="000B2250">
        <w:rPr>
          <w:rFonts w:cs="Arial"/>
        </w:rPr>
        <w:t>zákona č.</w:t>
      </w:r>
      <w:r w:rsidR="00D32127" w:rsidRPr="000B2250">
        <w:rPr>
          <w:rFonts w:cs="Arial"/>
        </w:rPr>
        <w:t> </w:t>
      </w:r>
      <w:r w:rsidR="00FF51E0" w:rsidRPr="000B2250">
        <w:rPr>
          <w:rFonts w:cs="Arial"/>
        </w:rPr>
        <w:t>283/2021 Sb., stavební zákon</w:t>
      </w:r>
      <w:bookmarkEnd w:id="3"/>
      <w:r w:rsidR="00973498" w:rsidRPr="000B2250">
        <w:rPr>
          <w:rFonts w:cs="Arial"/>
        </w:rPr>
        <w:t>, ve znění pozdějších předpisů</w:t>
      </w:r>
      <w:r w:rsidR="00FF51E0" w:rsidRPr="000B2250">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04A8DA10"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rsidR="005A56F2">
        <w:t xml:space="preserve"> 23. 2. 2026</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5C913B16" w:rsidR="00E6175B" w:rsidRPr="005B25FA" w:rsidRDefault="00A26E5C" w:rsidP="00075ACD">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6" w:name="_Hlk18914383"/>
      <w:r w:rsidR="00075ACD" w:rsidRPr="00852CA8">
        <w:rPr>
          <w:rFonts w:cs="Arial"/>
        </w:rPr>
        <w:tab/>
      </w:r>
      <w:r w:rsidR="00E6175B" w:rsidRPr="00852CA8">
        <w:t>bez DPH činí</w:t>
      </w:r>
      <w:r w:rsidR="009C6193" w:rsidRPr="00852CA8">
        <w:tab/>
      </w:r>
      <w:r w:rsidR="00E4608E">
        <w:rPr>
          <w:b/>
        </w:rPr>
        <w:t xml:space="preserve">2 990 398,56 </w:t>
      </w:r>
      <w:r w:rsidR="00E4608E" w:rsidRPr="003D6BB1">
        <w:rPr>
          <w:b/>
        </w:rPr>
        <w:t>Kč</w:t>
      </w:r>
    </w:p>
    <w:p w14:paraId="5F8C2123" w14:textId="2FBDBE03" w:rsidR="00DB68FB" w:rsidRPr="00E02684" w:rsidRDefault="00DB68FB" w:rsidP="00075ACD">
      <w:pPr>
        <w:pStyle w:val="l-L2"/>
        <w:tabs>
          <w:tab w:val="clear" w:pos="737"/>
          <w:tab w:val="right" w:pos="5954"/>
          <w:tab w:val="left" w:pos="6237"/>
        </w:tabs>
        <w:ind w:left="357"/>
      </w:pPr>
      <w:r w:rsidRPr="00A63CB2">
        <w:t>Cena za provedení výsadby:</w:t>
      </w:r>
      <w:r w:rsidR="00BA4FD2" w:rsidRPr="00A63CB2">
        <w:tab/>
      </w:r>
      <w:r w:rsidRPr="00A63CB2">
        <w:t>bez DPH činí</w:t>
      </w:r>
      <w:r w:rsidR="00BA4FD2" w:rsidRPr="00A63CB2">
        <w:tab/>
      </w:r>
      <w:r w:rsidR="00E4608E" w:rsidRPr="003D6BB1">
        <w:t>1</w:t>
      </w:r>
      <w:r w:rsidR="00770D37" w:rsidRPr="003D6BB1">
        <w:t> 969 183,74</w:t>
      </w:r>
      <w:r w:rsidR="00770D37" w:rsidRPr="00E02684">
        <w:t xml:space="preserve"> Kč</w:t>
      </w:r>
    </w:p>
    <w:p w14:paraId="1021F543" w14:textId="3D10E8F5" w:rsidR="00AA5313" w:rsidRPr="00E02684" w:rsidRDefault="00AA5313" w:rsidP="009C6193">
      <w:pPr>
        <w:pStyle w:val="l-L2"/>
        <w:tabs>
          <w:tab w:val="clear" w:pos="737"/>
          <w:tab w:val="right" w:pos="5954"/>
          <w:tab w:val="left" w:pos="6237"/>
        </w:tabs>
        <w:ind w:left="714" w:hanging="357"/>
        <w:rPr>
          <w:szCs w:val="22"/>
          <w:lang w:eastAsia="en-US"/>
        </w:rPr>
      </w:pPr>
      <w:bookmarkStart w:id="7" w:name="_Hlk18668301"/>
      <w:r w:rsidRPr="00E02684">
        <w:rPr>
          <w:szCs w:val="22"/>
          <w:lang w:eastAsia="en-US"/>
        </w:rPr>
        <w:t>1</w:t>
      </w:r>
      <w:r w:rsidR="00770D37" w:rsidRPr="00E02684">
        <w:rPr>
          <w:szCs w:val="22"/>
          <w:lang w:eastAsia="en-US"/>
        </w:rPr>
        <w:t>.</w:t>
      </w:r>
      <w:r w:rsidRPr="00E02684">
        <w:rPr>
          <w:szCs w:val="22"/>
          <w:lang w:eastAsia="en-US"/>
        </w:rPr>
        <w:t xml:space="preserve"> rok </w:t>
      </w:r>
      <w:r w:rsidR="0019057A" w:rsidRPr="00E02684">
        <w:rPr>
          <w:szCs w:val="22"/>
          <w:lang w:eastAsia="en-US"/>
        </w:rPr>
        <w:t xml:space="preserve">péče o vysazený </w:t>
      </w:r>
      <w:proofErr w:type="gramStart"/>
      <w:r w:rsidR="0019057A" w:rsidRPr="00E02684">
        <w:rPr>
          <w:szCs w:val="22"/>
          <w:lang w:eastAsia="en-US"/>
        </w:rPr>
        <w:t>porost</w:t>
      </w:r>
      <w:r w:rsidRPr="00E02684">
        <w:rPr>
          <w:szCs w:val="22"/>
          <w:lang w:eastAsia="en-US"/>
        </w:rPr>
        <w:t>:</w:t>
      </w:r>
      <w:r w:rsidR="0025574D" w:rsidRPr="00E02684">
        <w:rPr>
          <w:szCs w:val="22"/>
          <w:lang w:eastAsia="en-US"/>
        </w:rPr>
        <w:t xml:space="preserve">   </w:t>
      </w:r>
      <w:proofErr w:type="gramEnd"/>
      <w:r w:rsidR="0025574D" w:rsidRPr="00E02684">
        <w:rPr>
          <w:szCs w:val="22"/>
          <w:lang w:eastAsia="en-US"/>
        </w:rPr>
        <w:t xml:space="preserve">                </w:t>
      </w:r>
      <w:r w:rsidR="009C6193" w:rsidRPr="00E02684">
        <w:rPr>
          <w:szCs w:val="22"/>
          <w:lang w:eastAsia="en-US"/>
        </w:rPr>
        <w:tab/>
      </w:r>
      <w:r w:rsidRPr="00E02684">
        <w:rPr>
          <w:szCs w:val="22"/>
          <w:lang w:eastAsia="en-US"/>
        </w:rPr>
        <w:t>Cena bez DPH</w:t>
      </w:r>
      <w:r w:rsidR="0025574D" w:rsidRPr="00E02684">
        <w:rPr>
          <w:szCs w:val="22"/>
          <w:lang w:eastAsia="en-US"/>
        </w:rPr>
        <w:t xml:space="preserve">        </w:t>
      </w:r>
      <w:r w:rsidR="0025574D" w:rsidRPr="003D6BB1">
        <w:rPr>
          <w:szCs w:val="22"/>
          <w:lang w:eastAsia="en-US"/>
        </w:rPr>
        <w:t>360 308,54</w:t>
      </w:r>
      <w:r w:rsidR="0025574D" w:rsidRPr="00E02684">
        <w:rPr>
          <w:szCs w:val="22"/>
          <w:lang w:eastAsia="en-US"/>
        </w:rPr>
        <w:t xml:space="preserve"> Kč</w:t>
      </w:r>
    </w:p>
    <w:p w14:paraId="4A8883B1" w14:textId="68179BF7" w:rsidR="00AA5313" w:rsidRPr="0058336C" w:rsidRDefault="00AA5313" w:rsidP="009C6193">
      <w:pPr>
        <w:pStyle w:val="l-L2"/>
        <w:tabs>
          <w:tab w:val="clear" w:pos="737"/>
          <w:tab w:val="right" w:pos="5954"/>
          <w:tab w:val="left" w:pos="6237"/>
        </w:tabs>
        <w:ind w:left="714" w:hanging="357"/>
        <w:rPr>
          <w:szCs w:val="22"/>
          <w:lang w:eastAsia="en-US"/>
        </w:rPr>
      </w:pPr>
      <w:r w:rsidRPr="00A63CB2">
        <w:rPr>
          <w:szCs w:val="22"/>
          <w:lang w:eastAsia="en-US"/>
        </w:rPr>
        <w:t>2</w:t>
      </w:r>
      <w:r w:rsidR="00770D37">
        <w:rPr>
          <w:szCs w:val="22"/>
          <w:lang w:eastAsia="en-US"/>
        </w:rPr>
        <w:t>.</w:t>
      </w:r>
      <w:r w:rsidRPr="00A63CB2">
        <w:rPr>
          <w:szCs w:val="22"/>
          <w:lang w:eastAsia="en-US"/>
        </w:rPr>
        <w:t xml:space="preserve"> rok </w:t>
      </w:r>
      <w:r w:rsidR="00636CB1" w:rsidRPr="00A63CB2">
        <w:rPr>
          <w:szCs w:val="22"/>
          <w:lang w:eastAsia="en-US"/>
        </w:rPr>
        <w:t>péče o vysazený porost</w:t>
      </w:r>
      <w:r w:rsidRPr="00A63CB2">
        <w:rPr>
          <w:szCs w:val="22"/>
          <w:lang w:eastAsia="en-US"/>
        </w:rPr>
        <w:t>:</w:t>
      </w:r>
      <w:r w:rsidR="005F5F82" w:rsidRPr="00A63CB2">
        <w:rPr>
          <w:szCs w:val="22"/>
          <w:lang w:eastAsia="en-US"/>
        </w:rPr>
        <w:tab/>
      </w:r>
      <w:r w:rsidRPr="00A63CB2">
        <w:rPr>
          <w:szCs w:val="22"/>
          <w:lang w:eastAsia="en-US"/>
        </w:rPr>
        <w:t>Cena bez DPH</w:t>
      </w:r>
      <w:r w:rsidR="005F5F82" w:rsidRPr="00A63CB2">
        <w:rPr>
          <w:szCs w:val="22"/>
          <w:lang w:eastAsia="en-US"/>
        </w:rPr>
        <w:tab/>
      </w:r>
      <w:r w:rsidR="00E02684" w:rsidRPr="003D6BB1">
        <w:rPr>
          <w:szCs w:val="22"/>
          <w:lang w:eastAsia="en-US"/>
        </w:rPr>
        <w:t xml:space="preserve">    330 453,14</w:t>
      </w:r>
      <w:r w:rsidR="00E02684" w:rsidRPr="0058336C">
        <w:rPr>
          <w:szCs w:val="22"/>
          <w:lang w:eastAsia="en-US"/>
        </w:rPr>
        <w:t xml:space="preserve"> Kč</w:t>
      </w:r>
    </w:p>
    <w:p w14:paraId="17617604" w14:textId="16A200E8" w:rsidR="00AA5313" w:rsidRPr="0058336C" w:rsidRDefault="00AA5313" w:rsidP="009C6193">
      <w:pPr>
        <w:pStyle w:val="l-L2"/>
        <w:tabs>
          <w:tab w:val="clear" w:pos="737"/>
          <w:tab w:val="right" w:pos="5954"/>
          <w:tab w:val="left" w:pos="6237"/>
        </w:tabs>
        <w:ind w:left="714" w:hanging="357"/>
        <w:rPr>
          <w:szCs w:val="22"/>
          <w:lang w:eastAsia="en-US"/>
        </w:rPr>
      </w:pPr>
      <w:r w:rsidRPr="0058336C">
        <w:rPr>
          <w:szCs w:val="22"/>
          <w:lang w:eastAsia="en-US"/>
        </w:rPr>
        <w:t>3</w:t>
      </w:r>
      <w:r w:rsidR="00770D37" w:rsidRPr="0058336C">
        <w:rPr>
          <w:szCs w:val="22"/>
          <w:lang w:eastAsia="en-US"/>
        </w:rPr>
        <w:t>.</w:t>
      </w:r>
      <w:r w:rsidRPr="0058336C">
        <w:rPr>
          <w:szCs w:val="22"/>
          <w:lang w:eastAsia="en-US"/>
        </w:rPr>
        <w:t xml:space="preserve"> rok </w:t>
      </w:r>
      <w:r w:rsidR="00636CB1" w:rsidRPr="0058336C">
        <w:rPr>
          <w:szCs w:val="22"/>
          <w:lang w:eastAsia="en-US"/>
        </w:rPr>
        <w:t>péče o vysazený porost</w:t>
      </w:r>
      <w:r w:rsidRPr="0058336C">
        <w:rPr>
          <w:szCs w:val="22"/>
          <w:lang w:eastAsia="en-US"/>
        </w:rPr>
        <w:t>:</w:t>
      </w:r>
      <w:r w:rsidR="005F5F82" w:rsidRPr="0058336C">
        <w:rPr>
          <w:szCs w:val="22"/>
          <w:lang w:eastAsia="en-US"/>
        </w:rPr>
        <w:tab/>
      </w:r>
      <w:r w:rsidRPr="0058336C">
        <w:rPr>
          <w:szCs w:val="22"/>
          <w:lang w:eastAsia="en-US"/>
        </w:rPr>
        <w:t>Cena bez DPH</w:t>
      </w:r>
      <w:r w:rsidR="005F5F82" w:rsidRPr="0058336C">
        <w:rPr>
          <w:szCs w:val="22"/>
          <w:lang w:eastAsia="en-US"/>
        </w:rPr>
        <w:tab/>
      </w:r>
      <w:r w:rsidR="00E02684" w:rsidRPr="003D6BB1">
        <w:rPr>
          <w:szCs w:val="22"/>
          <w:lang w:eastAsia="en-US"/>
        </w:rPr>
        <w:t xml:space="preserve">    </w:t>
      </w:r>
      <w:r w:rsidR="0058336C" w:rsidRPr="003D6BB1">
        <w:rPr>
          <w:szCs w:val="22"/>
          <w:lang w:eastAsia="en-US"/>
        </w:rPr>
        <w:t>330 453,14</w:t>
      </w:r>
      <w:r w:rsidR="0058336C" w:rsidRPr="0058336C">
        <w:rPr>
          <w:szCs w:val="22"/>
          <w:lang w:eastAsia="en-US"/>
        </w:rPr>
        <w:t xml:space="preserve"> Kč</w:t>
      </w:r>
    </w:p>
    <w:bookmarkEnd w:id="5"/>
    <w:bookmarkEnd w:id="6"/>
    <w:bookmarkEnd w:id="7"/>
    <w:p w14:paraId="7169B5EB" w14:textId="72CAFB94" w:rsidR="00D54A79" w:rsidRPr="003D6BB1" w:rsidRDefault="00D54A79" w:rsidP="00D54A79">
      <w:pPr>
        <w:pStyle w:val="l-L2"/>
        <w:tabs>
          <w:tab w:val="clear" w:pos="737"/>
        </w:tabs>
        <w:ind w:left="357"/>
        <w:rPr>
          <w:i/>
          <w:iCs/>
        </w:rPr>
      </w:pPr>
      <w:r w:rsidRPr="003D6BB1">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 xml:space="preserve">ve formátu </w:t>
      </w:r>
      <w:proofErr w:type="spellStart"/>
      <w:r w:rsidRPr="003C6F82">
        <w:t>pdf</w:t>
      </w:r>
      <w:proofErr w:type="spellEnd"/>
      <w:r w:rsidRPr="003C6F82">
        <w:t>.</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2DD726CF" w:rsidR="00B52DEC" w:rsidRPr="000A6448" w:rsidRDefault="00C53481" w:rsidP="00B52DEC">
      <w:pPr>
        <w:pStyle w:val="l-L2"/>
        <w:numPr>
          <w:ilvl w:val="0"/>
          <w:numId w:val="42"/>
        </w:numPr>
        <w:ind w:left="357" w:hanging="357"/>
        <w:rPr>
          <w:rFonts w:eastAsiaTheme="minorEastAsia"/>
        </w:rPr>
      </w:pPr>
      <w:r w:rsidRPr="00617DFE">
        <w:rPr>
          <w:rFonts w:eastAsiaTheme="minorEastAsia" w:cs="Arial"/>
        </w:rPr>
        <w:t>Zhotovitel je oprávněn vystavit fakturu za provedení díla nebo jeho jednotlivých částí</w:t>
      </w:r>
      <w:r w:rsidR="0020289F" w:rsidRPr="00617DFE">
        <w:rPr>
          <w:rFonts w:eastAsiaTheme="minorEastAsia" w:cs="Arial"/>
        </w:rPr>
        <w:t xml:space="preserve"> </w:t>
      </w:r>
      <w:r w:rsidR="0020289F" w:rsidRPr="00617DFE">
        <w:rPr>
          <w:rFonts w:cs="Arial"/>
        </w:rPr>
        <w:t>(týká se i péče o vysazený porost v jednotlivých letech)</w:t>
      </w:r>
      <w:r w:rsidRPr="00617DFE">
        <w:rPr>
          <w:rFonts w:eastAsiaTheme="minorEastAsia" w:cs="Arial"/>
        </w:rPr>
        <w:t xml:space="preserve"> poté, co dokončí a objednateli předá řádně dokončené dílo</w:t>
      </w:r>
      <w:r w:rsidR="003D78C9" w:rsidRPr="00617DFE">
        <w:rPr>
          <w:rFonts w:eastAsiaTheme="minorEastAsia" w:cs="Arial"/>
        </w:rPr>
        <w:t>, případně jeho část dle jednotlivých etap</w:t>
      </w:r>
      <w:r w:rsidRPr="00617DFE">
        <w:rPr>
          <w:rFonts w:eastAsiaTheme="minorEastAsia" w:cs="Arial"/>
        </w:rPr>
        <w:t xml:space="preserve"> vymezen</w:t>
      </w:r>
      <w:r w:rsidR="003D78C9" w:rsidRPr="00617DFE">
        <w:rPr>
          <w:rFonts w:eastAsiaTheme="minorEastAsia" w:cs="Arial"/>
        </w:rPr>
        <w:t>ých</w:t>
      </w:r>
      <w:r w:rsidRPr="00617DFE">
        <w:rPr>
          <w:rFonts w:eastAsiaTheme="minorEastAsia" w:cs="Arial"/>
        </w:rPr>
        <w:t xml:space="preserve"> v čl. V. této smlouvy, a to na základě zhotovitelem vyhotoveného a objednatelem potvrzeného schvalovacího protokolu o provedení prací, vždy nejpozději do</w:t>
      </w:r>
      <w:r w:rsidR="008C6630" w:rsidRPr="00617DFE">
        <w:rPr>
          <w:rFonts w:eastAsiaTheme="minorEastAsia" w:cs="Arial"/>
        </w:rPr>
        <w:t> </w:t>
      </w:r>
      <w:r w:rsidR="00170055" w:rsidRPr="00617DFE">
        <w:rPr>
          <w:rFonts w:eastAsiaTheme="minorEastAsia" w:cs="Arial"/>
        </w:rPr>
        <w:t>20</w:t>
      </w:r>
      <w:r w:rsidRPr="00617DFE">
        <w:rPr>
          <w:rFonts w:eastAsiaTheme="minorEastAsia" w:cs="Arial"/>
        </w:rPr>
        <w:t>.</w:t>
      </w:r>
      <w:r w:rsidR="00A0418B" w:rsidRPr="00617DFE">
        <w:rPr>
          <w:rFonts w:eastAsiaTheme="minorEastAsia" w:cs="Arial"/>
        </w:rPr>
        <w:t> </w:t>
      </w:r>
      <w:r w:rsidRPr="00617DFE">
        <w:rPr>
          <w:rFonts w:eastAsiaTheme="minorEastAsia" w:cs="Arial"/>
        </w:rPr>
        <w:t>1</w:t>
      </w:r>
      <w:r w:rsidR="00170055" w:rsidRPr="00617DFE">
        <w:rPr>
          <w:rFonts w:eastAsiaTheme="minorEastAsia" w:cs="Arial"/>
        </w:rPr>
        <w:t>1</w:t>
      </w:r>
      <w:r w:rsidRPr="00617DFE">
        <w:rPr>
          <w:rFonts w:eastAsiaTheme="minorEastAsia" w:cs="Arial"/>
        </w:rPr>
        <w:t xml:space="preserve">. příslušného roku. Bez tohoto potvrzeného protokolu nesmí být faktura vystavena. Přílohou řádně vystavené faktury musí být soupisy provedených prací </w:t>
      </w:r>
      <w:r w:rsidRPr="00617DFE">
        <w:rPr>
          <w:rFonts w:cs="Arial"/>
        </w:rPr>
        <w:t>odsouhlasené autorským dozorem nebo jiným dozorem objednatele (dále jen „dozorem objednatele“) a</w:t>
      </w:r>
      <w:r w:rsidR="008C6630" w:rsidRPr="00617DFE">
        <w:rPr>
          <w:rFonts w:cs="Arial"/>
        </w:rPr>
        <w:t> </w:t>
      </w:r>
      <w:r w:rsidRPr="00617DFE">
        <w:rPr>
          <w:rFonts w:cs="Arial"/>
        </w:rPr>
        <w:t>potvrzené objednatelem, jinak zhotovitel není oprávněn fakturu vystavit</w:t>
      </w:r>
      <w:r w:rsidRPr="00617DFE">
        <w:rPr>
          <w:rFonts w:eastAsiaTheme="minorEastAsia" w:cs="Arial"/>
        </w:rPr>
        <w:t>. V případě realizace následné péče o</w:t>
      </w:r>
      <w:r w:rsidR="00D32127" w:rsidRPr="00617DFE">
        <w:rPr>
          <w:rFonts w:eastAsiaTheme="minorEastAsia" w:cs="Arial"/>
        </w:rPr>
        <w:t> </w:t>
      </w:r>
      <w:r w:rsidRPr="00617DFE">
        <w:rPr>
          <w:rFonts w:eastAsiaTheme="minorEastAsia" w:cs="Arial"/>
        </w:rPr>
        <w:t>vysazený porost uhradí objednatel zhotoviteli</w:t>
      </w:r>
      <w:bookmarkStart w:id="13" w:name="_Hlk130992003"/>
      <w:r w:rsidR="00B52DEC" w:rsidRPr="00617DFE">
        <w:rPr>
          <w:rFonts w:eastAsiaTheme="minorEastAsia" w:cs="Arial"/>
        </w:rPr>
        <w:t>.</w:t>
      </w:r>
    </w:p>
    <w:p w14:paraId="697AFF00" w14:textId="7712BB90" w:rsidR="00B52DEC" w:rsidRPr="00617DFE" w:rsidRDefault="000C55CE" w:rsidP="00B52DEC">
      <w:pPr>
        <w:pStyle w:val="l-L2"/>
        <w:tabs>
          <w:tab w:val="clear" w:pos="737"/>
        </w:tabs>
        <w:ind w:left="357"/>
        <w:rPr>
          <w:rFonts w:eastAsiaTheme="minorEastAsia" w:cs="Arial"/>
        </w:rPr>
      </w:pPr>
      <w:r w:rsidRPr="00617DFE">
        <w:rPr>
          <w:rFonts w:eastAsiaTheme="minorEastAsia" w:cs="Arial"/>
        </w:rPr>
        <w:t>Č</w:t>
      </w:r>
      <w:r w:rsidR="00EE2072" w:rsidRPr="00617DFE">
        <w:rPr>
          <w:rFonts w:eastAsiaTheme="minorEastAsia" w:cs="Arial"/>
        </w:rPr>
        <w:t>ást ceny díla po ukončení 1.</w:t>
      </w:r>
      <w:r w:rsidR="00B74F13" w:rsidRPr="00617DFE">
        <w:rPr>
          <w:rFonts w:eastAsiaTheme="minorEastAsia" w:cs="Arial"/>
        </w:rPr>
        <w:t> r</w:t>
      </w:r>
      <w:r w:rsidR="00EE2072" w:rsidRPr="00617DFE">
        <w:rPr>
          <w:rFonts w:eastAsiaTheme="minorEastAsia" w:cs="Arial"/>
        </w:rPr>
        <w:t>oku péče o vysazený porost, část ceny díla po</w:t>
      </w:r>
      <w:r w:rsidR="00B52DEC" w:rsidRPr="00617DFE">
        <w:rPr>
          <w:rFonts w:eastAsiaTheme="minorEastAsia" w:cs="Arial"/>
        </w:rPr>
        <w:t> </w:t>
      </w:r>
      <w:r w:rsidR="00EE2072" w:rsidRPr="00617DFE">
        <w:rPr>
          <w:rFonts w:eastAsiaTheme="minorEastAsia" w:cs="Arial"/>
        </w:rPr>
        <w:t>ukončení 2.</w:t>
      </w:r>
      <w:r w:rsidR="00B74F13" w:rsidRPr="00617DFE">
        <w:rPr>
          <w:rFonts w:eastAsiaTheme="minorEastAsia" w:cs="Arial"/>
        </w:rPr>
        <w:t> </w:t>
      </w:r>
      <w:r w:rsidR="00EE2072" w:rsidRPr="00617DFE">
        <w:rPr>
          <w:rFonts w:eastAsiaTheme="minorEastAsia" w:cs="Arial"/>
        </w:rPr>
        <w:t>roku péče o vysazený porost, část ceny díla po ukončení 3.</w:t>
      </w:r>
      <w:r w:rsidR="00B74F13" w:rsidRPr="00617DFE">
        <w:rPr>
          <w:rFonts w:eastAsiaTheme="minorEastAsia" w:cs="Arial"/>
        </w:rPr>
        <w:t> </w:t>
      </w:r>
      <w:r w:rsidR="00EE2072" w:rsidRPr="00617DFE">
        <w:rPr>
          <w:rFonts w:eastAsiaTheme="minorEastAsia" w:cs="Arial"/>
        </w:rPr>
        <w:t>roku péče o</w:t>
      </w:r>
      <w:r w:rsidR="00B52EC2" w:rsidRPr="00617DFE">
        <w:rPr>
          <w:rFonts w:eastAsiaTheme="minorEastAsia" w:cs="Arial"/>
        </w:rPr>
        <w:t> </w:t>
      </w:r>
      <w:r w:rsidR="00EE2072" w:rsidRPr="00617DFE">
        <w:rPr>
          <w:rFonts w:eastAsiaTheme="minorEastAsia" w:cs="Arial"/>
        </w:rPr>
        <w:t>vysazený porost. V případě dílčí fakturace bude zhotovitelem každá faktura označena textem „dílčí“ s označením fakturačního celku.</w:t>
      </w:r>
      <w:bookmarkEnd w:id="13"/>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5F0ECBC3" w:rsidR="00994BB7" w:rsidRPr="006A44B1"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Pr="001A439B">
        <w:rPr>
          <w:rFonts w:cs="Arial"/>
        </w:rPr>
        <w:t>S</w:t>
      </w:r>
      <w:r w:rsidR="00782440" w:rsidRPr="001A439B">
        <w:rPr>
          <w:rFonts w:cs="Arial"/>
        </w:rPr>
        <w:t>tátní pozemkový úřad, Krajský pozemkový úřad pro Jihomoravský kraj, pobočka Znojmo</w:t>
      </w:r>
      <w:r w:rsidR="006A44B1" w:rsidRPr="001A439B">
        <w:rPr>
          <w:rFonts w:cs="Arial"/>
        </w:rPr>
        <w:t xml:space="preserve">, nám. Armády 1213/8, 669 </w:t>
      </w:r>
      <w:proofErr w:type="gramStart"/>
      <w:r w:rsidR="006A44B1" w:rsidRPr="001A439B">
        <w:rPr>
          <w:rFonts w:cs="Arial"/>
        </w:rPr>
        <w:t>02  Znojmo</w:t>
      </w:r>
      <w:proofErr w:type="gramEnd"/>
      <w:r w:rsidR="006A44B1" w:rsidRPr="001A439B">
        <w:rPr>
          <w:rFonts w:cs="Arial"/>
        </w:rPr>
        <w:t>.</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7"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248280CC" w:rsidR="00674421" w:rsidRPr="000A6448"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r w:rsidR="008E09F9" w:rsidRPr="000A6448">
        <w:rPr>
          <w:rFonts w:eastAsiaTheme="minorEastAsia"/>
          <w:b/>
          <w:bCs/>
        </w:rPr>
        <w:t>do 10</w:t>
      </w:r>
      <w:r w:rsidR="008E09F9" w:rsidRPr="000A6448">
        <w:rPr>
          <w:rFonts w:eastAsiaTheme="minorEastAsia"/>
        </w:rPr>
        <w:t xml:space="preserve"> </w:t>
      </w:r>
      <w:bookmarkStart w:id="18" w:name="_Hlk96425213"/>
      <w:r w:rsidR="00F74945" w:rsidRPr="00617DFE">
        <w:rPr>
          <w:rFonts w:eastAsiaTheme="minorEastAsia"/>
          <w:b/>
          <w:bCs/>
        </w:rPr>
        <w:t>dnů od nabytí účinnosti smlouvy</w:t>
      </w:r>
      <w:r w:rsidRPr="000A6448">
        <w:rPr>
          <w:rFonts w:eastAsiaTheme="minorEastAsia"/>
        </w:rPr>
        <w:t>.</w:t>
      </w:r>
      <w:bookmarkEnd w:id="18"/>
    </w:p>
    <w:p w14:paraId="697B04B4" w14:textId="7CE6D41C" w:rsidR="00674421" w:rsidRPr="000A6448" w:rsidRDefault="00674421" w:rsidP="00C86C56">
      <w:pPr>
        <w:pStyle w:val="l-L2"/>
        <w:tabs>
          <w:tab w:val="clear" w:pos="737"/>
        </w:tabs>
        <w:ind w:left="357"/>
        <w:rPr>
          <w:rFonts w:eastAsiaTheme="minorEastAsia"/>
        </w:rPr>
      </w:pPr>
      <w:r w:rsidRPr="000A6448">
        <w:rPr>
          <w:rFonts w:eastAsiaTheme="minorEastAsia"/>
        </w:rPr>
        <w:t xml:space="preserve">Lhůta pro zahájení </w:t>
      </w:r>
      <w:r w:rsidR="007278AC" w:rsidRPr="000A6448">
        <w:rPr>
          <w:rFonts w:eastAsiaTheme="minorEastAsia"/>
        </w:rPr>
        <w:t>díla</w:t>
      </w:r>
      <w:r w:rsidRPr="000A6448">
        <w:rPr>
          <w:rFonts w:eastAsiaTheme="minorEastAsia"/>
        </w:rPr>
        <w:t xml:space="preserve">: </w:t>
      </w:r>
      <w:r w:rsidR="007E64E0" w:rsidRPr="000A6448">
        <w:rPr>
          <w:rFonts w:eastAsiaTheme="minorEastAsia"/>
          <w:b/>
          <w:bCs/>
        </w:rPr>
        <w:t>do 5</w:t>
      </w:r>
      <w:r w:rsidR="007E64E0" w:rsidRPr="000A6448">
        <w:rPr>
          <w:rFonts w:eastAsiaTheme="minorEastAsia"/>
        </w:rPr>
        <w:t xml:space="preserve"> </w:t>
      </w:r>
      <w:r w:rsidR="00F74945" w:rsidRPr="00617DFE">
        <w:rPr>
          <w:rFonts w:eastAsiaTheme="minorEastAsia"/>
          <w:b/>
          <w:bCs/>
        </w:rPr>
        <w:t>dnů ode dne předání a převzetí místa plnění</w:t>
      </w:r>
      <w:r w:rsidR="00F74945" w:rsidRPr="000A6448">
        <w:rPr>
          <w:rFonts w:eastAsiaTheme="minorEastAsia"/>
        </w:rPr>
        <w:t>.</w:t>
      </w:r>
    </w:p>
    <w:p w14:paraId="2F706E58" w14:textId="3D93C9C8" w:rsidR="00674421" w:rsidRPr="000A6448" w:rsidRDefault="00674421" w:rsidP="00C86C56">
      <w:pPr>
        <w:pStyle w:val="l-L2"/>
        <w:tabs>
          <w:tab w:val="clear" w:pos="737"/>
        </w:tabs>
        <w:ind w:left="357"/>
        <w:rPr>
          <w:rFonts w:eastAsiaTheme="minorEastAsia"/>
        </w:rPr>
      </w:pPr>
      <w:r w:rsidRPr="000A6448">
        <w:rPr>
          <w:rFonts w:eastAsiaTheme="minorEastAsia"/>
        </w:rPr>
        <w:t xml:space="preserve">Lhůta pro dokončení </w:t>
      </w:r>
      <w:r w:rsidR="00E646A8" w:rsidRPr="000A6448">
        <w:rPr>
          <w:rFonts w:eastAsiaTheme="minorEastAsia"/>
        </w:rPr>
        <w:t>výsadb</w:t>
      </w:r>
      <w:r w:rsidR="007A066F" w:rsidRPr="000A6448">
        <w:rPr>
          <w:rFonts w:eastAsiaTheme="minorEastAsia"/>
        </w:rPr>
        <w:t>y</w:t>
      </w:r>
      <w:r w:rsidRPr="000A6448">
        <w:rPr>
          <w:rFonts w:eastAsiaTheme="minorEastAsia"/>
        </w:rPr>
        <w:t xml:space="preserve">: </w:t>
      </w:r>
      <w:r w:rsidR="00F50C03" w:rsidRPr="000A6448">
        <w:rPr>
          <w:rFonts w:eastAsiaTheme="minorEastAsia"/>
          <w:b/>
          <w:bCs/>
        </w:rPr>
        <w:t xml:space="preserve">do </w:t>
      </w:r>
      <w:r w:rsidR="00617DFE">
        <w:rPr>
          <w:rFonts w:eastAsiaTheme="minorEastAsia"/>
          <w:b/>
          <w:bCs/>
        </w:rPr>
        <w:t>27</w:t>
      </w:r>
      <w:r w:rsidR="002D3032" w:rsidRPr="00617DFE">
        <w:rPr>
          <w:rFonts w:eastAsiaTheme="minorEastAsia"/>
          <w:b/>
          <w:bCs/>
        </w:rPr>
        <w:t>. 11. 202</w:t>
      </w:r>
      <w:r w:rsidR="00496646" w:rsidRPr="00617DFE">
        <w:rPr>
          <w:rFonts w:eastAsiaTheme="minorEastAsia"/>
          <w:b/>
          <w:bCs/>
        </w:rPr>
        <w:t>6</w:t>
      </w:r>
    </w:p>
    <w:p w14:paraId="17FC0EDB" w14:textId="04EBCF16" w:rsidR="003D4F12" w:rsidRPr="00617DFE" w:rsidRDefault="003D4F12" w:rsidP="00C86C56">
      <w:pPr>
        <w:pStyle w:val="l-L2"/>
        <w:tabs>
          <w:tab w:val="clear" w:pos="737"/>
        </w:tabs>
        <w:ind w:left="357"/>
        <w:rPr>
          <w:rFonts w:eastAsiaTheme="minorEastAsia"/>
        </w:rPr>
      </w:pPr>
      <w:r w:rsidRPr="00617DFE">
        <w:rPr>
          <w:rFonts w:eastAsiaTheme="minorEastAsia"/>
        </w:rPr>
        <w:t>Tříletá péče o vysazený porost v rozsahu dle soupisu prací bude provedena zhotovitelem a písemně odsouhlasena objednatelem v následujících lhůtách:</w:t>
      </w:r>
    </w:p>
    <w:p w14:paraId="3BD2A3E0" w14:textId="65743829" w:rsidR="003D4F12" w:rsidRPr="00617DFE" w:rsidRDefault="007A066F" w:rsidP="00C86C56">
      <w:pPr>
        <w:pStyle w:val="l-L2"/>
        <w:tabs>
          <w:tab w:val="clear" w:pos="737"/>
        </w:tabs>
        <w:ind w:left="357"/>
        <w:rPr>
          <w:rFonts w:eastAsiaTheme="minorEastAsia"/>
          <w:b/>
          <w:bCs/>
        </w:rPr>
      </w:pPr>
      <w:r w:rsidRPr="00617DFE">
        <w:rPr>
          <w:rFonts w:eastAsiaTheme="minorEastAsia"/>
        </w:rPr>
        <w:t>1.</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7</w:t>
      </w:r>
    </w:p>
    <w:p w14:paraId="1AE5AAAF" w14:textId="03C234C9" w:rsidR="003D4F12" w:rsidRPr="00617DFE" w:rsidRDefault="007A066F" w:rsidP="00C86C56">
      <w:pPr>
        <w:pStyle w:val="l-L2"/>
        <w:tabs>
          <w:tab w:val="clear" w:pos="737"/>
        </w:tabs>
        <w:ind w:left="357"/>
        <w:rPr>
          <w:rFonts w:eastAsiaTheme="minorEastAsia"/>
        </w:rPr>
      </w:pPr>
      <w:r w:rsidRPr="00617DFE">
        <w:rPr>
          <w:rFonts w:eastAsiaTheme="minorEastAsia"/>
        </w:rPr>
        <w:t>2.</w:t>
      </w:r>
      <w:r w:rsidR="000843BA" w:rsidRPr="00617DFE">
        <w:rPr>
          <w:rFonts w:eastAsiaTheme="minorEastAsia"/>
        </w:rPr>
        <w:t xml:space="preserve"> r</w:t>
      </w:r>
      <w:r w:rsidR="003D4F12" w:rsidRPr="00617DFE">
        <w:rPr>
          <w:rFonts w:eastAsiaTheme="minorEastAsia"/>
        </w:rPr>
        <w:t>ok:</w:t>
      </w:r>
      <w:r w:rsidR="00F50C03" w:rsidRPr="00617DFE">
        <w:rPr>
          <w:rFonts w:eastAsiaTheme="minorEastAsia"/>
        </w:rPr>
        <w:t xml:space="preserve"> do </w:t>
      </w:r>
      <w:r w:rsidR="00F50C03" w:rsidRPr="00617DFE">
        <w:rPr>
          <w:rFonts w:eastAsiaTheme="minorEastAsia"/>
          <w:b/>
          <w:bCs/>
        </w:rPr>
        <w:t>15. 11. 202</w:t>
      </w:r>
      <w:r w:rsidR="00496646" w:rsidRPr="00617DFE">
        <w:rPr>
          <w:rFonts w:eastAsiaTheme="minorEastAsia"/>
          <w:b/>
          <w:bCs/>
        </w:rPr>
        <w:t>8</w:t>
      </w:r>
    </w:p>
    <w:p w14:paraId="77D1BB09" w14:textId="4C6FC75B" w:rsidR="003D4F12" w:rsidRPr="00617DFE" w:rsidRDefault="007A066F" w:rsidP="00C86C56">
      <w:pPr>
        <w:pStyle w:val="l-L2"/>
        <w:tabs>
          <w:tab w:val="clear" w:pos="737"/>
        </w:tabs>
        <w:ind w:left="357"/>
        <w:rPr>
          <w:rFonts w:eastAsiaTheme="minorEastAsia"/>
        </w:rPr>
      </w:pPr>
      <w:r w:rsidRPr="00617DFE">
        <w:rPr>
          <w:rFonts w:eastAsiaTheme="minorEastAsia"/>
        </w:rPr>
        <w:t>3.</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9</w:t>
      </w:r>
    </w:p>
    <w:p w14:paraId="4D04D09C" w14:textId="77777777" w:rsidR="003A026F" w:rsidRPr="00C3633B" w:rsidRDefault="003A026F" w:rsidP="003A026F">
      <w:pPr>
        <w:pStyle w:val="l-L2"/>
        <w:tabs>
          <w:tab w:val="clear" w:pos="737"/>
        </w:tabs>
        <w:ind w:left="737" w:hanging="737"/>
        <w:rPr>
          <w:rFonts w:eastAsiaTheme="minorEastAsia" w:cs="Arial"/>
        </w:rPr>
      </w:pPr>
      <w:bookmarkStart w:id="19" w:name="_Hlk125718798"/>
      <w:bookmarkEnd w:id="16"/>
    </w:p>
    <w:bookmarkEnd w:id="17"/>
    <w:bookmarkEnd w:id="19"/>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0"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0"/>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2E7880C5"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E6784C">
        <w:rPr>
          <w:rFonts w:cs="Arial"/>
        </w:rPr>
        <w:t xml:space="preserve">minimálně </w:t>
      </w:r>
      <w:proofErr w:type="gramStart"/>
      <w:r w:rsidR="00A36B74" w:rsidRPr="001A439B">
        <w:rPr>
          <w:rFonts w:cs="Arial"/>
          <w:b/>
          <w:bCs/>
        </w:rPr>
        <w:t>5.000.000,-</w:t>
      </w:r>
      <w:proofErr w:type="gramEnd"/>
      <w:r w:rsidR="00A36B74" w:rsidRPr="001A439B">
        <w:rPr>
          <w:rFonts w:cs="Arial"/>
          <w:b/>
          <w:bCs/>
        </w:rPr>
        <w:t xml:space="preserve"> </w:t>
      </w:r>
      <w:r w:rsidRPr="001A439B">
        <w:rPr>
          <w:rFonts w:cs="Arial"/>
          <w:b/>
          <w:bCs/>
        </w:rPr>
        <w:t>Kč.</w:t>
      </w:r>
      <w:r w:rsidRPr="003C6F82">
        <w:rPr>
          <w:rFonts w:cs="Arial"/>
        </w:rPr>
        <w:t xml:space="preserve"> 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1" w:name="_Hlk72494327"/>
      <w:r w:rsidRPr="00FA7A71">
        <w:rPr>
          <w:rFonts w:cs="Arial"/>
        </w:rPr>
        <w:t xml:space="preserve">. </w:t>
      </w:r>
      <w:r w:rsidR="001F5101" w:rsidRPr="00FA7A71">
        <w:rPr>
          <w:rFonts w:cs="Arial"/>
        </w:rPr>
        <w:t>Nedoložení uvedených dokumentů je důvodem, pro který může objednatel od smlouvy odstoupit.</w:t>
      </w:r>
    </w:p>
    <w:bookmarkEnd w:id="21"/>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2"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3"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3"/>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4"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4"/>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187D4263" w:rsidR="00E50C88" w:rsidRPr="001A439B" w:rsidRDefault="00414852" w:rsidP="00FE73DE">
      <w:pPr>
        <w:pStyle w:val="l-L2"/>
        <w:numPr>
          <w:ilvl w:val="0"/>
          <w:numId w:val="18"/>
        </w:numPr>
        <w:ind w:left="357" w:hanging="357"/>
        <w:rPr>
          <w:i/>
          <w:iCs/>
        </w:rPr>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E50C88" w:rsidRPr="001A439B">
        <w:t xml:space="preserve">Státní pozemkový </w:t>
      </w:r>
      <w:proofErr w:type="gramStart"/>
      <w:r w:rsidR="00E50C88" w:rsidRPr="001A439B">
        <w:t>úřad</w:t>
      </w:r>
      <w:r w:rsidR="00F765AF" w:rsidRPr="001A439B">
        <w:t xml:space="preserve">, </w:t>
      </w:r>
      <w:r w:rsidR="00E50C88" w:rsidRPr="001A439B">
        <w:t xml:space="preserve"> Krajský</w:t>
      </w:r>
      <w:proofErr w:type="gramEnd"/>
      <w:r w:rsidR="00E50C88" w:rsidRPr="001A439B">
        <w:t xml:space="preserve"> pozemkový úřad pro</w:t>
      </w:r>
      <w:r w:rsidR="00F765AF" w:rsidRPr="001A439B">
        <w:t xml:space="preserve"> Jihomoravský kraj, </w:t>
      </w:r>
      <w:r w:rsidR="00E50C88" w:rsidRPr="001A439B">
        <w:t xml:space="preserve">Pobočka </w:t>
      </w:r>
      <w:r w:rsidR="00F765AF" w:rsidRPr="001A439B">
        <w:t xml:space="preserve">Znojmo, nám. Armády 1213/8, 669 </w:t>
      </w:r>
      <w:proofErr w:type="gramStart"/>
      <w:r w:rsidR="00F765AF" w:rsidRPr="001A439B">
        <w:t>02  Znojmo</w:t>
      </w:r>
      <w:proofErr w:type="gramEnd"/>
      <w:r w:rsidR="00E50C88" w:rsidRPr="006E63A2">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5"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6" w:name="_Ref376427298"/>
      <w:bookmarkEnd w:id="25"/>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6"/>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2"/>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7" w:name="_Hlk43988301"/>
      <w:bookmarkStart w:id="28"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825306">
        <w:rPr>
          <w:rFonts w:cs="Arial"/>
        </w:rPr>
        <w:t>v </w:t>
      </w:r>
      <w:r w:rsidRPr="001A439B">
        <w:rPr>
          <w:rFonts w:cs="Arial"/>
        </w:rPr>
        <w:t xml:space="preserve">délce </w:t>
      </w:r>
      <w:r w:rsidR="00EC1BA2" w:rsidRPr="001A439B">
        <w:rPr>
          <w:rFonts w:cs="Arial"/>
        </w:rPr>
        <w:t>48</w:t>
      </w:r>
      <w:r w:rsidR="00FD7580" w:rsidRPr="001A439B">
        <w:rPr>
          <w:rFonts w:cs="Arial"/>
        </w:rPr>
        <w:t> </w:t>
      </w:r>
      <w:r w:rsidRPr="001A439B">
        <w:rPr>
          <w:rFonts w:cs="Arial"/>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7"/>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8"/>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9" w:name="_Ref376379662"/>
    </w:p>
    <w:p w14:paraId="4701EFEE" w14:textId="473E9926"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002EF6">
        <w:rPr>
          <w:rFonts w:cs="Arial"/>
        </w:rPr>
        <w:t>0,</w:t>
      </w:r>
      <w:r w:rsidR="00A2765C">
        <w:rPr>
          <w:rFonts w:cs="Arial"/>
        </w:rPr>
        <w:t>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0" w:name="_Ref376379666"/>
      <w:bookmarkEnd w:id="29"/>
    </w:p>
    <w:p w14:paraId="21F34C42" w14:textId="5752D84D"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7C0198">
        <w:rPr>
          <w:rFonts w:cs="Arial"/>
        </w:rPr>
        <w:t>0,</w:t>
      </w:r>
      <w:r w:rsidR="006C2199">
        <w:rPr>
          <w:rFonts w:cs="Arial"/>
        </w:rPr>
        <w:t>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0"/>
      <w:r w:rsidRPr="005832DA">
        <w:rPr>
          <w:rFonts w:cs="Arial"/>
          <w:i/>
          <w:iCs/>
        </w:rPr>
        <w:t xml:space="preserve"> </w:t>
      </w:r>
      <w:bookmarkStart w:id="31" w:name="_Ref376379668"/>
    </w:p>
    <w:p w14:paraId="29AA24CD" w14:textId="727CF4E5"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5F20C3">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1"/>
    </w:p>
    <w:p w14:paraId="758739BE" w14:textId="21E025B2"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824EB5">
        <w:rPr>
          <w:rFonts w:cs="Arial"/>
        </w:rPr>
        <w:t>0,5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2"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2"/>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3"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3"/>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4" w:name="_Hlk72334899"/>
      <w:r w:rsidRPr="003C6F82">
        <w:t xml:space="preserve">V případě zániku účinnosti této smlouvy odstoupením je zhotovitel povinen okamžitě ukončit stavební činnost a vyklidit zařízení staveniště společně s opuštěním staveniště </w:t>
      </w:r>
      <w:bookmarkEnd w:id="34"/>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5" w:name="_Hlk72495040"/>
      <w:r w:rsidRPr="00D91ACC">
        <w:t>Doručování a způsob komunikace, kontaktní osoby</w:t>
      </w:r>
    </w:p>
    <w:bookmarkEnd w:id="35"/>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06C3259D" w14:textId="2F12F196" w:rsidR="00314D67" w:rsidRPr="003C6F82" w:rsidRDefault="00314D67" w:rsidP="00314D67">
      <w:pPr>
        <w:pStyle w:val="l-L2"/>
        <w:tabs>
          <w:tab w:val="clear" w:pos="737"/>
          <w:tab w:val="num" w:pos="851"/>
          <w:tab w:val="left" w:pos="2835"/>
        </w:tabs>
      </w:pPr>
      <w:r>
        <w:tab/>
      </w:r>
      <w:r w:rsidRPr="003C6F82">
        <w:t>Jméno/funkce:</w:t>
      </w:r>
      <w:r>
        <w:tab/>
      </w:r>
      <w:r w:rsidR="00441E9D">
        <w:t>Ing. Stanislav Kadlčík</w:t>
      </w:r>
    </w:p>
    <w:p w14:paraId="0786AAD7" w14:textId="04CACBC1" w:rsidR="00314D67" w:rsidRPr="003C6F82" w:rsidRDefault="00314D67" w:rsidP="00314D67">
      <w:pPr>
        <w:pStyle w:val="l-L2"/>
        <w:tabs>
          <w:tab w:val="clear" w:pos="737"/>
          <w:tab w:val="num" w:pos="851"/>
          <w:tab w:val="left" w:pos="2835"/>
        </w:tabs>
      </w:pPr>
      <w:r>
        <w:tab/>
      </w:r>
      <w:r w:rsidRPr="003C6F82">
        <w:t>Tel.:</w:t>
      </w:r>
      <w:r w:rsidRPr="003C6F82">
        <w:tab/>
      </w:r>
      <w:r w:rsidR="00441E9D">
        <w:t>+420 727 957 281</w:t>
      </w:r>
    </w:p>
    <w:p w14:paraId="5454B36D" w14:textId="2A3B6807" w:rsidR="00314D67" w:rsidRPr="003C6F82" w:rsidRDefault="00314D67" w:rsidP="00314D67">
      <w:pPr>
        <w:pStyle w:val="l-L2"/>
        <w:tabs>
          <w:tab w:val="clear" w:pos="737"/>
          <w:tab w:val="num" w:pos="851"/>
          <w:tab w:val="left" w:pos="2835"/>
        </w:tabs>
      </w:pPr>
      <w:r>
        <w:tab/>
      </w:r>
      <w:r w:rsidRPr="003C6F82">
        <w:t>E-mail:</w:t>
      </w:r>
      <w:r>
        <w:tab/>
      </w:r>
      <w:r w:rsidR="00441E9D">
        <w:t>stanislav</w:t>
      </w:r>
      <w:r w:rsidR="00E57E31">
        <w:t>.</w:t>
      </w:r>
      <w:r w:rsidR="00441E9D">
        <w:t>kadlcik@spu.gov.cz</w:t>
      </w:r>
    </w:p>
    <w:p w14:paraId="507434B6" w14:textId="77777777" w:rsidR="00314D67" w:rsidRPr="003C6F82" w:rsidRDefault="00314D67" w:rsidP="00EF64EC">
      <w:pPr>
        <w:pStyle w:val="l-L2"/>
        <w:ind w:left="357"/>
      </w:pPr>
      <w:r w:rsidRPr="003C6F82">
        <w:t>Za zhotovitele:</w:t>
      </w:r>
    </w:p>
    <w:p w14:paraId="15171B56" w14:textId="4F5C9CC6" w:rsidR="00314D67" w:rsidRPr="003C6F82" w:rsidRDefault="00314D67" w:rsidP="00314D67">
      <w:pPr>
        <w:pStyle w:val="l-L2"/>
        <w:tabs>
          <w:tab w:val="clear" w:pos="737"/>
          <w:tab w:val="num" w:pos="851"/>
          <w:tab w:val="left" w:pos="2835"/>
        </w:tabs>
      </w:pPr>
      <w:r>
        <w:tab/>
      </w:r>
      <w:r w:rsidRPr="003C6F82">
        <w:t>Jméno/funkce:</w:t>
      </w:r>
      <w:r>
        <w:tab/>
      </w:r>
      <w:proofErr w:type="spellStart"/>
      <w:r w:rsidR="009B184D">
        <w:t>xxxxxxxxxxxxxx</w:t>
      </w:r>
      <w:proofErr w:type="spellEnd"/>
    </w:p>
    <w:p w14:paraId="32807754" w14:textId="5ACA54EC" w:rsidR="00314D67" w:rsidRPr="003C6F82" w:rsidRDefault="00314D67" w:rsidP="00314D67">
      <w:pPr>
        <w:pStyle w:val="l-L2"/>
        <w:tabs>
          <w:tab w:val="clear" w:pos="737"/>
          <w:tab w:val="num" w:pos="851"/>
          <w:tab w:val="left" w:pos="2835"/>
        </w:tabs>
      </w:pPr>
      <w:r>
        <w:tab/>
      </w:r>
      <w:r w:rsidRPr="003C6F82">
        <w:t>Tel.:</w:t>
      </w:r>
      <w:r>
        <w:tab/>
      </w:r>
      <w:proofErr w:type="spellStart"/>
      <w:r w:rsidR="009B184D">
        <w:t>xxxxxxxxxxxxxx</w:t>
      </w:r>
      <w:proofErr w:type="spellEnd"/>
    </w:p>
    <w:p w14:paraId="056E9721" w14:textId="1F28B5A8" w:rsidR="00314D67" w:rsidRDefault="00314D67" w:rsidP="00314D67">
      <w:pPr>
        <w:pStyle w:val="l-L2"/>
        <w:tabs>
          <w:tab w:val="clear" w:pos="737"/>
          <w:tab w:val="num" w:pos="851"/>
          <w:tab w:val="left" w:pos="2835"/>
        </w:tabs>
        <w:rPr>
          <w:snapToGrid w:val="0"/>
        </w:rPr>
      </w:pPr>
      <w:r>
        <w:tab/>
      </w:r>
      <w:r w:rsidRPr="003C6F82">
        <w:t>E-mail:</w:t>
      </w:r>
      <w:r>
        <w:tab/>
      </w:r>
      <w:proofErr w:type="spellStart"/>
      <w:r w:rsidR="009B184D">
        <w:t>xxxxxxxxxxxxxx</w:t>
      </w:r>
      <w:proofErr w:type="spellEnd"/>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6" w:name="_Hlk125972258"/>
      <w:bookmarkStart w:id="37"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6"/>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7"/>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8" w:name="_Hlk13049894"/>
      <w:bookmarkStart w:id="3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0" w:name="_Hlk13049910"/>
      <w:bookmarkEnd w:id="3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9"/>
    <w:bookmarkEnd w:id="40"/>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73A70B1F"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Pr="003C6F82">
        <w:t xml:space="preserve">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1A439B" w:rsidRDefault="00D77663" w:rsidP="00C27FB8">
      <w:pPr>
        <w:pStyle w:val="l-L2"/>
        <w:numPr>
          <w:ilvl w:val="0"/>
          <w:numId w:val="19"/>
        </w:numPr>
        <w:ind w:left="357" w:hanging="357"/>
      </w:pPr>
      <w:r w:rsidRPr="001A439B">
        <w:t xml:space="preserve">Smluvní strany jsou si plně vědomy zákonné povinnosti </w:t>
      </w:r>
      <w:r w:rsidR="00EB05CC" w:rsidRPr="001A439B">
        <w:t>uveřejnit dle zákona č. 340/2015 Sb., o zvláštních podmínkách účinnosti některých smluv, uveřejňování těchto smluv a o registru smluv (zákon o registru smluv)</w:t>
      </w:r>
      <w:r w:rsidRPr="001A439B">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1A439B">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1" w:name="_Hlk125972308"/>
    </w:p>
    <w:p w14:paraId="4E4D9DFB" w14:textId="77777777" w:rsidR="0014192D" w:rsidRPr="004B1343"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1A439B">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1"/>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2" w:name="_Hlk71731816"/>
    </w:p>
    <w:bookmarkEnd w:id="42"/>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77CDB24A" w:rsidR="00816123" w:rsidRDefault="00816123" w:rsidP="00816123">
      <w:pPr>
        <w:tabs>
          <w:tab w:val="left" w:pos="142"/>
          <w:tab w:val="left" w:pos="4678"/>
        </w:tabs>
        <w:jc w:val="both"/>
        <w:rPr>
          <w:rFonts w:cs="Arial"/>
        </w:rPr>
      </w:pPr>
      <w:r>
        <w:rPr>
          <w:rFonts w:cs="Arial"/>
        </w:rPr>
        <w:tab/>
      </w:r>
      <w:r w:rsidRPr="00C16C3A">
        <w:rPr>
          <w:rFonts w:cs="Arial"/>
        </w:rPr>
        <w:t>V</w:t>
      </w:r>
      <w:r w:rsidR="00D512DC">
        <w:rPr>
          <w:rFonts w:cs="Arial"/>
        </w:rPr>
        <w:t xml:space="preserve">e Znojmě </w:t>
      </w:r>
      <w:r w:rsidRPr="00C16C3A">
        <w:rPr>
          <w:rFonts w:cs="Arial"/>
        </w:rPr>
        <w:t>dne</w:t>
      </w:r>
      <w:r w:rsidR="3E230249" w:rsidRPr="00C16C3A">
        <w:rPr>
          <w:rFonts w:cs="Arial"/>
        </w:rPr>
        <w:t xml:space="preserve"> dle el. podpisu</w:t>
      </w:r>
      <w:r w:rsidR="009B184D">
        <w:rPr>
          <w:rFonts w:cs="Arial"/>
        </w:rPr>
        <w:t xml:space="preserve"> 1. 4. 2026</w:t>
      </w:r>
      <w:r>
        <w:rPr>
          <w:rFonts w:cs="Arial"/>
        </w:rPr>
        <w:tab/>
      </w:r>
      <w:r w:rsidRPr="00C16C3A">
        <w:rPr>
          <w:rFonts w:cs="Arial"/>
        </w:rPr>
        <w:t>V</w:t>
      </w:r>
      <w:r w:rsidR="00730D91">
        <w:rPr>
          <w:rFonts w:cs="Arial"/>
        </w:rPr>
        <w:t xml:space="preserve"> Kunovicích </w:t>
      </w:r>
      <w:r w:rsidRPr="00C16C3A">
        <w:rPr>
          <w:rFonts w:cs="Arial"/>
        </w:rPr>
        <w:t>dne</w:t>
      </w:r>
      <w:r w:rsidR="07E0B73D" w:rsidRPr="00C16C3A">
        <w:rPr>
          <w:rFonts w:cs="Arial"/>
        </w:rPr>
        <w:t xml:space="preserve"> dle el. podpisu</w:t>
      </w:r>
      <w:r w:rsidR="009B184D">
        <w:rPr>
          <w:rFonts w:cs="Arial"/>
        </w:rPr>
        <w:t xml:space="preserve"> 26. 3. 2026</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6A1AE3F6" w:rsidR="00FF69CD" w:rsidRPr="003D6BB1" w:rsidRDefault="00816123" w:rsidP="00FF69CD">
      <w:pPr>
        <w:tabs>
          <w:tab w:val="left" w:pos="142"/>
          <w:tab w:val="left" w:pos="4678"/>
        </w:tabs>
        <w:jc w:val="both"/>
        <w:rPr>
          <w:rFonts w:cs="Arial"/>
          <w:highlight w:val="yellow"/>
        </w:rPr>
      </w:pPr>
      <w:r>
        <w:rPr>
          <w:rFonts w:cs="Arial"/>
        </w:rPr>
        <w:tab/>
      </w:r>
      <w:r w:rsidR="00D512DC">
        <w:rPr>
          <w:rFonts w:cs="Arial"/>
        </w:rPr>
        <w:t>RNDr. Dagmar Benešovská</w:t>
      </w:r>
      <w:r>
        <w:rPr>
          <w:rFonts w:cs="Arial"/>
          <w:b/>
          <w:bCs/>
        </w:rPr>
        <w:tab/>
      </w:r>
      <w:r w:rsidR="00BE1C60" w:rsidRPr="003D6BB1">
        <w:rPr>
          <w:rFonts w:cs="Arial"/>
        </w:rPr>
        <w:t xml:space="preserve">Ing. Aleš </w:t>
      </w:r>
      <w:proofErr w:type="spellStart"/>
      <w:r w:rsidR="00BE1C60" w:rsidRPr="003D6BB1">
        <w:rPr>
          <w:rFonts w:cs="Arial"/>
        </w:rPr>
        <w:t>Galář</w:t>
      </w:r>
      <w:proofErr w:type="spellEnd"/>
      <w:r w:rsidR="00BE1C60" w:rsidRPr="003D6BB1">
        <w:rPr>
          <w:rFonts w:cs="Arial"/>
        </w:rPr>
        <w:t xml:space="preserve"> </w:t>
      </w:r>
    </w:p>
    <w:p w14:paraId="53434309" w14:textId="77777777" w:rsidR="00076178" w:rsidRDefault="00E37BE8">
      <w:pPr>
        <w:spacing w:before="0" w:after="200"/>
        <w:contextualSpacing w:val="0"/>
        <w:rPr>
          <w:rFonts w:cs="Arial"/>
        </w:rPr>
      </w:pPr>
      <w:r w:rsidRPr="00BE1C60">
        <w:rPr>
          <w:rFonts w:cs="Arial"/>
        </w:rPr>
        <w:t xml:space="preserve">  vedoucí pobočky</w:t>
      </w:r>
      <w:r w:rsidR="00BE1C60">
        <w:rPr>
          <w:rFonts w:cs="Arial"/>
        </w:rPr>
        <w:t xml:space="preserve">                                                jednatel</w:t>
      </w:r>
    </w:p>
    <w:p w14:paraId="29CA8505" w14:textId="77777777" w:rsidR="00076178" w:rsidRDefault="00076178">
      <w:pPr>
        <w:spacing w:before="0" w:after="200"/>
        <w:contextualSpacing w:val="0"/>
        <w:rPr>
          <w:rFonts w:cs="Arial"/>
        </w:rPr>
      </w:pPr>
    </w:p>
    <w:p w14:paraId="1A74847E" w14:textId="77777777" w:rsidR="00076178" w:rsidRDefault="00076178">
      <w:pPr>
        <w:spacing w:before="0" w:after="200"/>
        <w:contextualSpacing w:val="0"/>
        <w:rPr>
          <w:rFonts w:cs="Arial"/>
        </w:rPr>
      </w:pPr>
    </w:p>
    <w:p w14:paraId="342A4E1E" w14:textId="58D2E9DF" w:rsidR="00FA1DF6" w:rsidRPr="001A439B" w:rsidRDefault="00076178">
      <w:pPr>
        <w:spacing w:before="0" w:after="200"/>
        <w:contextualSpacing w:val="0"/>
        <w:rPr>
          <w:rFonts w:cs="Arial"/>
          <w:highlight w:val="yellow"/>
        </w:rPr>
      </w:pPr>
      <w:r>
        <w:rPr>
          <w:rFonts w:cs="Arial"/>
        </w:rPr>
        <w:t xml:space="preserve">Dokument vyhotovil a za správnost odpovídá: JUDr. Vladimír Ondroušek </w:t>
      </w:r>
      <w:r w:rsidR="00FA1DF6" w:rsidRPr="001A439B">
        <w:rPr>
          <w:rFonts w:cs="Arial"/>
          <w:highlight w:val="yellow"/>
        </w:rPr>
        <w:br w:type="page"/>
      </w:r>
    </w:p>
    <w:p w14:paraId="11130778" w14:textId="1CD83BED" w:rsidR="0094784B" w:rsidRPr="00CF36DC" w:rsidRDefault="00FF69CD" w:rsidP="00FF69CD">
      <w:pPr>
        <w:tabs>
          <w:tab w:val="left" w:pos="142"/>
          <w:tab w:val="left" w:pos="4678"/>
        </w:tabs>
        <w:jc w:val="both"/>
        <w:rPr>
          <w:rFonts w:cs="Arial"/>
          <w:b/>
          <w:bCs/>
        </w:rPr>
      </w:pPr>
      <w:r w:rsidRPr="00CF36DC">
        <w:rPr>
          <w:rFonts w:cs="Arial"/>
          <w:b/>
          <w:bCs/>
        </w:rPr>
        <w:t>P</w:t>
      </w:r>
      <w:r w:rsidR="00DC52C8" w:rsidRPr="00CF36DC">
        <w:rPr>
          <w:b/>
          <w:bCs/>
        </w:rPr>
        <w:t xml:space="preserve">říloha č. 1 </w:t>
      </w:r>
      <w:r w:rsidR="00DC52C8" w:rsidRPr="00CF36DC">
        <w:t>- Specifikace díla a závazný harmonogram postupu prací</w:t>
      </w:r>
    </w:p>
    <w:p w14:paraId="6474C8E9" w14:textId="77777777" w:rsidR="00F2406E" w:rsidRDefault="00F2406E">
      <w:pPr>
        <w:spacing w:before="0" w:after="200"/>
        <w:contextualSpacing w:val="0"/>
        <w:rPr>
          <w:i/>
          <w:iCs/>
          <w:highlight w:val="yellow"/>
        </w:rPr>
      </w:pPr>
    </w:p>
    <w:p w14:paraId="73BD9047" w14:textId="77777777" w:rsidR="00997D2D" w:rsidRPr="00CF36DC" w:rsidRDefault="00F2406E">
      <w:pPr>
        <w:spacing w:before="0" w:after="200"/>
        <w:contextualSpacing w:val="0"/>
      </w:pPr>
      <w:r w:rsidRPr="00CF36DC">
        <w:t xml:space="preserve">Výsadba části LBC7 a části LBC9 v </w:t>
      </w:r>
      <w:proofErr w:type="spellStart"/>
      <w:r w:rsidRPr="00CF36DC">
        <w:t>k.ú</w:t>
      </w:r>
      <w:proofErr w:type="spellEnd"/>
      <w:r w:rsidRPr="00CF36DC">
        <w:t xml:space="preserve">. Hrabětice. </w:t>
      </w:r>
      <w:r w:rsidRPr="00CF36DC">
        <w:br/>
      </w:r>
      <w:r w:rsidRPr="00CF36DC">
        <w:br/>
      </w:r>
      <w:r w:rsidRPr="00CF36DC">
        <w:rPr>
          <w:b/>
          <w:bCs/>
        </w:rPr>
        <w:t>Biocentrum LBC7</w:t>
      </w:r>
      <w:r w:rsidRPr="00CF36DC">
        <w:t xml:space="preserve"> </w:t>
      </w:r>
      <w:r w:rsidRPr="00CF36DC">
        <w:br/>
        <w:t xml:space="preserve">Biocentrum o výměře 1,7114 ha z celkové výměry 6,0993 ha, délka cca 375 m, šířka cca 160 m, doplnění stávajícího biocentra na pozemcích KN </w:t>
      </w:r>
      <w:proofErr w:type="spellStart"/>
      <w:r w:rsidRPr="00CF36DC">
        <w:t>p.č</w:t>
      </w:r>
      <w:proofErr w:type="spellEnd"/>
      <w:r w:rsidRPr="00CF36DC">
        <w:t xml:space="preserve">. 12 605 a 12 629, LV 10001 v </w:t>
      </w:r>
      <w:proofErr w:type="spellStart"/>
      <w:r w:rsidRPr="00CF36DC">
        <w:t>k.ú</w:t>
      </w:r>
      <w:proofErr w:type="spellEnd"/>
      <w:r w:rsidRPr="00CF36DC">
        <w:t xml:space="preserve">. Hrabětice, založený na orné půdě, druhová skladba dle STG. </w:t>
      </w:r>
      <w:r w:rsidRPr="00CF36DC">
        <w:br/>
      </w:r>
      <w:r w:rsidRPr="00CF36DC">
        <w:br/>
      </w:r>
      <w:r w:rsidRPr="00CF36DC">
        <w:rPr>
          <w:b/>
          <w:bCs/>
        </w:rPr>
        <w:t>Biocentrum LBC9</w:t>
      </w:r>
      <w:r w:rsidRPr="00CF36DC">
        <w:t xml:space="preserve"> </w:t>
      </w:r>
      <w:r w:rsidRPr="00CF36DC">
        <w:br/>
        <w:t xml:space="preserve">Biocentrum o výměře 1,5954 ha z celkové výměry 3,1516 ha, délka cca 223 m, šířka cca 183 m, doplnění stávajícího biocentra na pozemku KN </w:t>
      </w:r>
      <w:proofErr w:type="spellStart"/>
      <w:r w:rsidRPr="00CF36DC">
        <w:t>p.č</w:t>
      </w:r>
      <w:proofErr w:type="spellEnd"/>
      <w:r w:rsidRPr="00CF36DC">
        <w:t xml:space="preserve">. 12 574, LV 10001 v </w:t>
      </w:r>
      <w:proofErr w:type="spellStart"/>
      <w:r w:rsidRPr="00CF36DC">
        <w:t>k.ú</w:t>
      </w:r>
      <w:proofErr w:type="spellEnd"/>
      <w:r w:rsidRPr="00CF36DC">
        <w:t xml:space="preserve">. Hrabětice, založený na orné půdě, druhová skladba dle STG. </w:t>
      </w:r>
      <w:r w:rsidRPr="00CF36DC">
        <w:br/>
      </w:r>
      <w:r w:rsidRPr="00CF36DC">
        <w:br/>
        <w:t xml:space="preserve">Součástí realizace bude geodetické vytyčení pozemků před zahájením realizace služeb, zajištění provedení archeologického průzkumu a tříleté následné péče. </w:t>
      </w:r>
    </w:p>
    <w:p w14:paraId="382D5E8E" w14:textId="542F6FCD" w:rsidR="00FA1DF6" w:rsidRPr="00CF36DC" w:rsidRDefault="00997D2D">
      <w:pPr>
        <w:spacing w:before="0" w:after="200"/>
        <w:contextualSpacing w:val="0"/>
        <w:rPr>
          <w:i/>
          <w:iCs/>
        </w:rPr>
      </w:pPr>
      <w:r w:rsidRPr="00CF36DC">
        <w:t xml:space="preserve">Harmonogram </w:t>
      </w:r>
      <w:r w:rsidR="005F5704" w:rsidRPr="00CF36DC">
        <w:t>postupu</w:t>
      </w:r>
      <w:r w:rsidR="00EE588D">
        <w:t xml:space="preserve"> prací</w:t>
      </w:r>
      <w:r w:rsidR="005F5704" w:rsidRPr="00CF36DC">
        <w:t xml:space="preserve"> je stanoven v čl. V odst. 3 této smlouvy.</w:t>
      </w:r>
      <w:r w:rsidR="00F2406E" w:rsidRPr="00CF36DC">
        <w:br/>
      </w:r>
    </w:p>
    <w:p w14:paraId="41D9FCA3" w14:textId="23ECAA1D" w:rsidR="002A5A39" w:rsidRPr="00CF36DC" w:rsidRDefault="00DC52C8" w:rsidP="00DC52C8">
      <w:pPr>
        <w:tabs>
          <w:tab w:val="left" w:pos="142"/>
          <w:tab w:val="left" w:pos="4678"/>
        </w:tabs>
        <w:jc w:val="both"/>
      </w:pPr>
      <w:r w:rsidRPr="00CF36DC">
        <w:rPr>
          <w:b/>
          <w:bCs/>
        </w:rPr>
        <w:t>Příloha č. 2</w:t>
      </w:r>
      <w:r w:rsidRPr="00CF36DC">
        <w:t xml:space="preserve"> - Položkový nabídkový rozpočet zhotovitele včetně závazných jednotkových cen (oceněný </w:t>
      </w:r>
      <w:r w:rsidR="005F5704" w:rsidRPr="00CF36DC">
        <w:t xml:space="preserve">položkový výkaz </w:t>
      </w:r>
      <w:r w:rsidR="00E36036" w:rsidRPr="00CF36DC">
        <w:t>činností</w:t>
      </w:r>
      <w:r w:rsidRPr="00CF36DC">
        <w:t>)</w:t>
      </w:r>
    </w:p>
    <w:p w14:paraId="7BB93753" w14:textId="44A3287E" w:rsidR="00816123" w:rsidRPr="00DC52C8" w:rsidRDefault="003628DC" w:rsidP="00EE588D">
      <w:pPr>
        <w:spacing w:before="0" w:after="200"/>
        <w:contextualSpacing w:val="0"/>
        <w:rPr>
          <w:rFonts w:cs="Arial"/>
          <w:i/>
          <w:iCs/>
        </w:rPr>
      </w:pPr>
      <w:r>
        <w:rPr>
          <w:rFonts w:cs="Arial"/>
          <w:i/>
          <w:iCs/>
        </w:rPr>
        <w:t xml:space="preserve"> </w:t>
      </w:r>
    </w:p>
    <w:sectPr w:rsidR="00816123" w:rsidRPr="00DC52C8" w:rsidSect="004D3246">
      <w:headerReference w:type="default" r:id="rId8"/>
      <w:footerReference w:type="default" r:id="rId9"/>
      <w:headerReference w:type="first" r:id="rId10"/>
      <w:footerReference w:type="first" r:id="rId1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1166" w14:textId="77777777" w:rsidR="00F12CF1" w:rsidRDefault="00F12CF1" w:rsidP="006C3D15">
      <w:pPr>
        <w:spacing w:after="0" w:line="240" w:lineRule="auto"/>
      </w:pPr>
      <w:r>
        <w:separator/>
      </w:r>
    </w:p>
  </w:endnote>
  <w:endnote w:type="continuationSeparator" w:id="0">
    <w:p w14:paraId="3D815118" w14:textId="77777777" w:rsidR="00F12CF1" w:rsidRDefault="00F12CF1" w:rsidP="006C3D15">
      <w:pPr>
        <w:spacing w:after="0" w:line="240" w:lineRule="auto"/>
      </w:pPr>
      <w:r>
        <w:continuationSeparator/>
      </w:r>
    </w:p>
  </w:endnote>
  <w:endnote w:type="continuationNotice" w:id="1">
    <w:p w14:paraId="14713635" w14:textId="77777777" w:rsidR="00F12CF1" w:rsidRDefault="00F12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052D1574"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769CE4BB"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3243" w14:textId="77777777" w:rsidR="00F12CF1" w:rsidRDefault="00F12CF1" w:rsidP="006C3D15">
      <w:pPr>
        <w:spacing w:after="0" w:line="240" w:lineRule="auto"/>
      </w:pPr>
      <w:r>
        <w:separator/>
      </w:r>
    </w:p>
  </w:footnote>
  <w:footnote w:type="continuationSeparator" w:id="0">
    <w:p w14:paraId="240F7981" w14:textId="77777777" w:rsidR="00F12CF1" w:rsidRDefault="00F12CF1" w:rsidP="006C3D15">
      <w:pPr>
        <w:spacing w:after="0" w:line="240" w:lineRule="auto"/>
      </w:pPr>
      <w:r>
        <w:continuationSeparator/>
      </w:r>
    </w:p>
  </w:footnote>
  <w:footnote w:type="continuationNotice" w:id="1">
    <w:p w14:paraId="3C28301A" w14:textId="77777777" w:rsidR="00F12CF1" w:rsidRDefault="00F12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74BF2F24" w:rsidR="008D755D" w:rsidRPr="00236EEE" w:rsidRDefault="00617DFE" w:rsidP="00236EEE">
    <w:pPr>
      <w:jc w:val="center"/>
      <w:rPr>
        <w:sz w:val="18"/>
        <w:szCs w:val="18"/>
      </w:rPr>
    </w:pPr>
    <w:r>
      <w:t xml:space="preserve">                                                                                      </w:t>
    </w:r>
    <w:r w:rsidR="00A30127">
      <w:t xml:space="preserve">       </w:t>
    </w:r>
    <w:r w:rsidR="008D755D" w:rsidRPr="00236EEE">
      <w:rPr>
        <w:sz w:val="18"/>
        <w:szCs w:val="18"/>
      </w:rPr>
      <w:t>Č</w:t>
    </w:r>
    <w:r w:rsidRPr="00236EEE">
      <w:rPr>
        <w:sz w:val="18"/>
        <w:szCs w:val="18"/>
      </w:rPr>
      <w:t xml:space="preserve">íslo smlouvy </w:t>
    </w:r>
    <w:r w:rsidR="008D755D" w:rsidRPr="00236EEE">
      <w:rPr>
        <w:sz w:val="18"/>
        <w:szCs w:val="18"/>
      </w:rPr>
      <w:t>objednatele:</w:t>
    </w:r>
    <w:r w:rsidR="00A30127">
      <w:rPr>
        <w:sz w:val="18"/>
        <w:szCs w:val="18"/>
      </w:rPr>
      <w:t xml:space="preserve"> 815-2025-523206</w:t>
    </w:r>
  </w:p>
  <w:p w14:paraId="48B79E07" w14:textId="70463F0E" w:rsidR="008D755D" w:rsidRPr="00236EEE" w:rsidRDefault="00236EEE" w:rsidP="00236EEE">
    <w:pPr>
      <w:jc w:val="center"/>
      <w:rPr>
        <w:sz w:val="18"/>
        <w:szCs w:val="18"/>
      </w:rPr>
    </w:pPr>
    <w:r w:rsidRPr="00236EEE">
      <w:rPr>
        <w:sz w:val="18"/>
        <w:szCs w:val="18"/>
      </w:rPr>
      <w:t xml:space="preserve">                                                                                  </w:t>
    </w:r>
    <w:r>
      <w:rPr>
        <w:sz w:val="18"/>
        <w:szCs w:val="18"/>
      </w:rPr>
      <w:t xml:space="preserve">  </w:t>
    </w:r>
    <w:r w:rsidR="00F27355" w:rsidRPr="00236EEE">
      <w:rPr>
        <w:sz w:val="18"/>
        <w:szCs w:val="18"/>
      </w:rPr>
      <w:t>Č</w:t>
    </w:r>
    <w:r w:rsidR="00617DFE" w:rsidRPr="00236EEE">
      <w:rPr>
        <w:sz w:val="18"/>
        <w:szCs w:val="18"/>
      </w:rPr>
      <w:t xml:space="preserve">íslo smlouvy </w:t>
    </w:r>
    <w:r w:rsidR="008D755D" w:rsidRPr="00236EEE">
      <w:rPr>
        <w:sz w:val="18"/>
        <w:szCs w:val="18"/>
      </w:rPr>
      <w:t>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894" w14:textId="79A82D36" w:rsidR="00D047E5" w:rsidRPr="001A439B" w:rsidRDefault="00D047E5" w:rsidP="001A439B">
    <w:pPr>
      <w:rPr>
        <w:sz w:val="18"/>
        <w:szCs w:val="18"/>
      </w:rPr>
    </w:pPr>
    <w:r w:rsidRPr="001A439B">
      <w:rPr>
        <w:sz w:val="18"/>
        <w:szCs w:val="18"/>
      </w:rPr>
      <w:t xml:space="preserve">                                                                                                           </w:t>
    </w:r>
    <w:r w:rsidR="004E6320">
      <w:rPr>
        <w:sz w:val="18"/>
        <w:szCs w:val="18"/>
      </w:rPr>
      <w:t xml:space="preserve">    </w:t>
    </w:r>
    <w:r w:rsidRPr="001A439B">
      <w:rPr>
        <w:sz w:val="18"/>
        <w:szCs w:val="18"/>
      </w:rPr>
      <w:t xml:space="preserve">   </w:t>
    </w:r>
    <w:r w:rsidR="00386F3B" w:rsidRPr="001A439B">
      <w:rPr>
        <w:sz w:val="18"/>
        <w:szCs w:val="18"/>
      </w:rPr>
      <w:t xml:space="preserve">Číslo smlouvy objednatele: </w:t>
    </w:r>
    <w:r w:rsidR="004E6320">
      <w:rPr>
        <w:sz w:val="18"/>
        <w:szCs w:val="18"/>
      </w:rPr>
      <w:t>815-2025-523206</w:t>
    </w:r>
  </w:p>
  <w:p w14:paraId="6C2F528A" w14:textId="0E22BF6B" w:rsidR="008D755D" w:rsidRDefault="005D2452" w:rsidP="005D2452">
    <w:pPr>
      <w:jc w:val="center"/>
      <w:rPr>
        <w:sz w:val="18"/>
        <w:szCs w:val="18"/>
      </w:rPr>
    </w:pPr>
    <w:r>
      <w:rPr>
        <w:sz w:val="18"/>
        <w:szCs w:val="18"/>
      </w:rPr>
      <w:t xml:space="preserve">                                                                  </w:t>
    </w:r>
    <w:r w:rsidR="00D009E8">
      <w:rPr>
        <w:sz w:val="18"/>
        <w:szCs w:val="18"/>
      </w:rPr>
      <w:t xml:space="preserve">                              </w:t>
    </w:r>
    <w:r>
      <w:rPr>
        <w:sz w:val="18"/>
        <w:szCs w:val="18"/>
      </w:rPr>
      <w:t xml:space="preserve">  </w:t>
    </w:r>
    <w:r w:rsidR="008D755D" w:rsidRPr="001A439B">
      <w:rPr>
        <w:sz w:val="18"/>
        <w:szCs w:val="18"/>
      </w:rPr>
      <w:t>Č.j. objednatele:</w:t>
    </w:r>
    <w:r w:rsidR="00D009E8" w:rsidRPr="00D009E8">
      <w:t xml:space="preserve"> </w:t>
    </w:r>
    <w:r w:rsidR="00D009E8" w:rsidRPr="00D009E8">
      <w:rPr>
        <w:sz w:val="18"/>
        <w:szCs w:val="18"/>
      </w:rPr>
      <w:t>SPU 115727/2026</w:t>
    </w:r>
  </w:p>
  <w:p w14:paraId="23B54722" w14:textId="5FAA2173" w:rsidR="005D2452" w:rsidRPr="001A439B" w:rsidRDefault="005D2452" w:rsidP="001A439B">
    <w:pPr>
      <w:jc w:val="center"/>
      <w:rPr>
        <w:sz w:val="18"/>
        <w:szCs w:val="18"/>
      </w:rPr>
    </w:pPr>
    <w:r>
      <w:rPr>
        <w:sz w:val="18"/>
        <w:szCs w:val="18"/>
      </w:rPr>
      <w:t xml:space="preserve">                                               </w:t>
    </w:r>
    <w:r w:rsidR="00062E0C">
      <w:rPr>
        <w:sz w:val="18"/>
        <w:szCs w:val="18"/>
      </w:rPr>
      <w:t xml:space="preserve">                                         </w:t>
    </w:r>
    <w:r>
      <w:rPr>
        <w:sz w:val="18"/>
        <w:szCs w:val="18"/>
      </w:rPr>
      <w:t xml:space="preserve">   UID:</w:t>
    </w:r>
    <w:r w:rsidR="00062E0C" w:rsidRPr="00062E0C">
      <w:t xml:space="preserve"> </w:t>
    </w:r>
    <w:r w:rsidR="00062E0C" w:rsidRPr="00062E0C">
      <w:rPr>
        <w:sz w:val="18"/>
        <w:szCs w:val="18"/>
      </w:rPr>
      <w:t>spudms00000016499808</w:t>
    </w:r>
  </w:p>
  <w:p w14:paraId="6E7E600E" w14:textId="2B28CBFF" w:rsidR="008D755D" w:rsidRPr="001A439B" w:rsidRDefault="005D2452" w:rsidP="001A439B">
    <w:pPr>
      <w:jc w:val="center"/>
      <w:rPr>
        <w:sz w:val="18"/>
        <w:szCs w:val="18"/>
      </w:rPr>
    </w:pPr>
    <w:r>
      <w:rPr>
        <w:sz w:val="18"/>
        <w:szCs w:val="18"/>
      </w:rPr>
      <w:t xml:space="preserve">                                                                      </w:t>
    </w:r>
    <w:r w:rsidR="004734B9">
      <w:rPr>
        <w:sz w:val="18"/>
        <w:szCs w:val="18"/>
      </w:rPr>
      <w:t xml:space="preserve">               Číslo smlouvy</w:t>
    </w:r>
    <w:r w:rsidR="008D755D" w:rsidRPr="001A439B">
      <w:rPr>
        <w:sz w:val="18"/>
        <w:szCs w:val="18"/>
      </w:rPr>
      <w:t xml:space="preserve">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2EF6"/>
    <w:rsid w:val="00003001"/>
    <w:rsid w:val="00003103"/>
    <w:rsid w:val="00004170"/>
    <w:rsid w:val="000057C3"/>
    <w:rsid w:val="00007E10"/>
    <w:rsid w:val="000145C3"/>
    <w:rsid w:val="000208A0"/>
    <w:rsid w:val="000246D6"/>
    <w:rsid w:val="00026BCD"/>
    <w:rsid w:val="00030A24"/>
    <w:rsid w:val="00031BB1"/>
    <w:rsid w:val="00031E15"/>
    <w:rsid w:val="000326F4"/>
    <w:rsid w:val="000453FC"/>
    <w:rsid w:val="000458BD"/>
    <w:rsid w:val="00046A5D"/>
    <w:rsid w:val="00047E0F"/>
    <w:rsid w:val="00050E94"/>
    <w:rsid w:val="00052ADB"/>
    <w:rsid w:val="00053288"/>
    <w:rsid w:val="000559CD"/>
    <w:rsid w:val="000616D0"/>
    <w:rsid w:val="00062E0C"/>
    <w:rsid w:val="000639BD"/>
    <w:rsid w:val="00065C95"/>
    <w:rsid w:val="00066106"/>
    <w:rsid w:val="00067488"/>
    <w:rsid w:val="000711AF"/>
    <w:rsid w:val="000718D0"/>
    <w:rsid w:val="00073207"/>
    <w:rsid w:val="000735AF"/>
    <w:rsid w:val="00073AF7"/>
    <w:rsid w:val="00075ACD"/>
    <w:rsid w:val="00076178"/>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A6448"/>
    <w:rsid w:val="000B2250"/>
    <w:rsid w:val="000B5DAE"/>
    <w:rsid w:val="000B60B0"/>
    <w:rsid w:val="000C4868"/>
    <w:rsid w:val="000C5332"/>
    <w:rsid w:val="000C55CE"/>
    <w:rsid w:val="000D5965"/>
    <w:rsid w:val="000F5B02"/>
    <w:rsid w:val="00100E55"/>
    <w:rsid w:val="00101037"/>
    <w:rsid w:val="00103DE8"/>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37AD"/>
    <w:rsid w:val="001A439B"/>
    <w:rsid w:val="001A44BA"/>
    <w:rsid w:val="001A46FA"/>
    <w:rsid w:val="001A53CB"/>
    <w:rsid w:val="001A61DB"/>
    <w:rsid w:val="001A6C99"/>
    <w:rsid w:val="001B1A54"/>
    <w:rsid w:val="001B20B4"/>
    <w:rsid w:val="001B4DC8"/>
    <w:rsid w:val="001C0619"/>
    <w:rsid w:val="001C1F80"/>
    <w:rsid w:val="001C374A"/>
    <w:rsid w:val="001C5C37"/>
    <w:rsid w:val="001D539C"/>
    <w:rsid w:val="001D5FEC"/>
    <w:rsid w:val="001D6E4A"/>
    <w:rsid w:val="001D7555"/>
    <w:rsid w:val="001E0EAA"/>
    <w:rsid w:val="001E129A"/>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53CB"/>
    <w:rsid w:val="00236389"/>
    <w:rsid w:val="00236EEE"/>
    <w:rsid w:val="00237B29"/>
    <w:rsid w:val="002449A1"/>
    <w:rsid w:val="00244C1D"/>
    <w:rsid w:val="00245C7B"/>
    <w:rsid w:val="0025169E"/>
    <w:rsid w:val="0025574D"/>
    <w:rsid w:val="00257CD0"/>
    <w:rsid w:val="00261802"/>
    <w:rsid w:val="002624ED"/>
    <w:rsid w:val="00262A51"/>
    <w:rsid w:val="0026468F"/>
    <w:rsid w:val="00266407"/>
    <w:rsid w:val="00267CC8"/>
    <w:rsid w:val="00267E15"/>
    <w:rsid w:val="002731E1"/>
    <w:rsid w:val="00274CDE"/>
    <w:rsid w:val="002753B5"/>
    <w:rsid w:val="00276329"/>
    <w:rsid w:val="002824F0"/>
    <w:rsid w:val="002864DA"/>
    <w:rsid w:val="0029031B"/>
    <w:rsid w:val="00291726"/>
    <w:rsid w:val="00294102"/>
    <w:rsid w:val="002A04A6"/>
    <w:rsid w:val="002A0E91"/>
    <w:rsid w:val="002A11FC"/>
    <w:rsid w:val="002A4FD6"/>
    <w:rsid w:val="002A5396"/>
    <w:rsid w:val="002A5A39"/>
    <w:rsid w:val="002A6173"/>
    <w:rsid w:val="002B082D"/>
    <w:rsid w:val="002B248C"/>
    <w:rsid w:val="002B58F3"/>
    <w:rsid w:val="002B7947"/>
    <w:rsid w:val="002C3933"/>
    <w:rsid w:val="002C59B7"/>
    <w:rsid w:val="002D0A4E"/>
    <w:rsid w:val="002D15FF"/>
    <w:rsid w:val="002D1851"/>
    <w:rsid w:val="002D3032"/>
    <w:rsid w:val="002D3DA5"/>
    <w:rsid w:val="002E08DD"/>
    <w:rsid w:val="002E359D"/>
    <w:rsid w:val="002E6126"/>
    <w:rsid w:val="002F3B8A"/>
    <w:rsid w:val="002F5E5D"/>
    <w:rsid w:val="003014E2"/>
    <w:rsid w:val="00301C4E"/>
    <w:rsid w:val="00307CBD"/>
    <w:rsid w:val="00311E83"/>
    <w:rsid w:val="00311F47"/>
    <w:rsid w:val="00312C75"/>
    <w:rsid w:val="00312ED6"/>
    <w:rsid w:val="00313A9F"/>
    <w:rsid w:val="00314D67"/>
    <w:rsid w:val="003155CF"/>
    <w:rsid w:val="00323556"/>
    <w:rsid w:val="0032527A"/>
    <w:rsid w:val="00325832"/>
    <w:rsid w:val="00325D82"/>
    <w:rsid w:val="00327D29"/>
    <w:rsid w:val="00332612"/>
    <w:rsid w:val="003328BE"/>
    <w:rsid w:val="00346559"/>
    <w:rsid w:val="003468B0"/>
    <w:rsid w:val="00350B9E"/>
    <w:rsid w:val="0035241F"/>
    <w:rsid w:val="003524E9"/>
    <w:rsid w:val="00356F7D"/>
    <w:rsid w:val="00360125"/>
    <w:rsid w:val="003621C5"/>
    <w:rsid w:val="003628DC"/>
    <w:rsid w:val="0037366A"/>
    <w:rsid w:val="00373D17"/>
    <w:rsid w:val="003770D7"/>
    <w:rsid w:val="0037781E"/>
    <w:rsid w:val="00381351"/>
    <w:rsid w:val="0038344C"/>
    <w:rsid w:val="0038408C"/>
    <w:rsid w:val="00384B7C"/>
    <w:rsid w:val="00385A00"/>
    <w:rsid w:val="0038638E"/>
    <w:rsid w:val="00386F3B"/>
    <w:rsid w:val="003915CE"/>
    <w:rsid w:val="003932D1"/>
    <w:rsid w:val="0039429C"/>
    <w:rsid w:val="00395F22"/>
    <w:rsid w:val="00395FF2"/>
    <w:rsid w:val="003A026F"/>
    <w:rsid w:val="003A0486"/>
    <w:rsid w:val="003A0D1F"/>
    <w:rsid w:val="003A12CC"/>
    <w:rsid w:val="003A70AE"/>
    <w:rsid w:val="003B147D"/>
    <w:rsid w:val="003B3FD8"/>
    <w:rsid w:val="003B5728"/>
    <w:rsid w:val="003B5852"/>
    <w:rsid w:val="003B5D14"/>
    <w:rsid w:val="003C0AD4"/>
    <w:rsid w:val="003C71A5"/>
    <w:rsid w:val="003D03F5"/>
    <w:rsid w:val="003D1FA9"/>
    <w:rsid w:val="003D21B7"/>
    <w:rsid w:val="003D4F12"/>
    <w:rsid w:val="003D66F0"/>
    <w:rsid w:val="003D6BB1"/>
    <w:rsid w:val="003D7879"/>
    <w:rsid w:val="003D78C9"/>
    <w:rsid w:val="003D7C08"/>
    <w:rsid w:val="003E00DA"/>
    <w:rsid w:val="003E0C01"/>
    <w:rsid w:val="003E1FE8"/>
    <w:rsid w:val="003E578B"/>
    <w:rsid w:val="003F2620"/>
    <w:rsid w:val="003F59A6"/>
    <w:rsid w:val="0040196D"/>
    <w:rsid w:val="00402749"/>
    <w:rsid w:val="0040546D"/>
    <w:rsid w:val="0041441D"/>
    <w:rsid w:val="00414852"/>
    <w:rsid w:val="0042192D"/>
    <w:rsid w:val="0042195A"/>
    <w:rsid w:val="004236C9"/>
    <w:rsid w:val="00423C70"/>
    <w:rsid w:val="00431BCB"/>
    <w:rsid w:val="00433215"/>
    <w:rsid w:val="00441E9D"/>
    <w:rsid w:val="0044390C"/>
    <w:rsid w:val="004457CE"/>
    <w:rsid w:val="004468C8"/>
    <w:rsid w:val="00451799"/>
    <w:rsid w:val="00452CE0"/>
    <w:rsid w:val="004532E9"/>
    <w:rsid w:val="004541D8"/>
    <w:rsid w:val="0046199C"/>
    <w:rsid w:val="00463206"/>
    <w:rsid w:val="00463DA1"/>
    <w:rsid w:val="00465799"/>
    <w:rsid w:val="00470AE5"/>
    <w:rsid w:val="00470EE5"/>
    <w:rsid w:val="00471A19"/>
    <w:rsid w:val="00472206"/>
    <w:rsid w:val="00472302"/>
    <w:rsid w:val="004734B9"/>
    <w:rsid w:val="004752E1"/>
    <w:rsid w:val="00475B1D"/>
    <w:rsid w:val="00480099"/>
    <w:rsid w:val="00484897"/>
    <w:rsid w:val="004858A1"/>
    <w:rsid w:val="00486CA2"/>
    <w:rsid w:val="0049073A"/>
    <w:rsid w:val="00494022"/>
    <w:rsid w:val="00494DB7"/>
    <w:rsid w:val="00495A8D"/>
    <w:rsid w:val="00496646"/>
    <w:rsid w:val="004A27DD"/>
    <w:rsid w:val="004A405A"/>
    <w:rsid w:val="004A70F4"/>
    <w:rsid w:val="004B0D74"/>
    <w:rsid w:val="004B1343"/>
    <w:rsid w:val="004B3ED8"/>
    <w:rsid w:val="004B445D"/>
    <w:rsid w:val="004B5162"/>
    <w:rsid w:val="004B5241"/>
    <w:rsid w:val="004B547D"/>
    <w:rsid w:val="004C1132"/>
    <w:rsid w:val="004C5E36"/>
    <w:rsid w:val="004D19FE"/>
    <w:rsid w:val="004D23E0"/>
    <w:rsid w:val="004D3246"/>
    <w:rsid w:val="004D575F"/>
    <w:rsid w:val="004E0BAA"/>
    <w:rsid w:val="004E1355"/>
    <w:rsid w:val="004E6320"/>
    <w:rsid w:val="004F046B"/>
    <w:rsid w:val="004F0679"/>
    <w:rsid w:val="00502776"/>
    <w:rsid w:val="00504607"/>
    <w:rsid w:val="00510989"/>
    <w:rsid w:val="00514FD6"/>
    <w:rsid w:val="00517C65"/>
    <w:rsid w:val="00526154"/>
    <w:rsid w:val="00530307"/>
    <w:rsid w:val="00535630"/>
    <w:rsid w:val="00535A04"/>
    <w:rsid w:val="00536719"/>
    <w:rsid w:val="00547BCC"/>
    <w:rsid w:val="00554EC3"/>
    <w:rsid w:val="005567FF"/>
    <w:rsid w:val="005614E4"/>
    <w:rsid w:val="00561D72"/>
    <w:rsid w:val="00563034"/>
    <w:rsid w:val="0056340A"/>
    <w:rsid w:val="005642E3"/>
    <w:rsid w:val="005643D1"/>
    <w:rsid w:val="00565084"/>
    <w:rsid w:val="00567597"/>
    <w:rsid w:val="00576629"/>
    <w:rsid w:val="00576CB0"/>
    <w:rsid w:val="00577472"/>
    <w:rsid w:val="0057756A"/>
    <w:rsid w:val="005817D0"/>
    <w:rsid w:val="0058251A"/>
    <w:rsid w:val="00582D7F"/>
    <w:rsid w:val="005832DA"/>
    <w:rsid w:val="0058336C"/>
    <w:rsid w:val="00585EED"/>
    <w:rsid w:val="00586738"/>
    <w:rsid w:val="005904FF"/>
    <w:rsid w:val="00590AB2"/>
    <w:rsid w:val="00592A0D"/>
    <w:rsid w:val="00592C4F"/>
    <w:rsid w:val="0059350D"/>
    <w:rsid w:val="00597BAF"/>
    <w:rsid w:val="005A0A78"/>
    <w:rsid w:val="005A2012"/>
    <w:rsid w:val="005A56F2"/>
    <w:rsid w:val="005A5C11"/>
    <w:rsid w:val="005A7686"/>
    <w:rsid w:val="005B25FA"/>
    <w:rsid w:val="005B4745"/>
    <w:rsid w:val="005B4750"/>
    <w:rsid w:val="005B53B2"/>
    <w:rsid w:val="005C00E3"/>
    <w:rsid w:val="005C0200"/>
    <w:rsid w:val="005C131E"/>
    <w:rsid w:val="005C3FE9"/>
    <w:rsid w:val="005C58A5"/>
    <w:rsid w:val="005D0EB0"/>
    <w:rsid w:val="005D161D"/>
    <w:rsid w:val="005D2452"/>
    <w:rsid w:val="005D64C2"/>
    <w:rsid w:val="005E30B2"/>
    <w:rsid w:val="005E3913"/>
    <w:rsid w:val="005E61C9"/>
    <w:rsid w:val="005F0845"/>
    <w:rsid w:val="005F20C3"/>
    <w:rsid w:val="005F5704"/>
    <w:rsid w:val="005F5F82"/>
    <w:rsid w:val="006011F6"/>
    <w:rsid w:val="0060665D"/>
    <w:rsid w:val="006113A2"/>
    <w:rsid w:val="00612A5C"/>
    <w:rsid w:val="00615A3D"/>
    <w:rsid w:val="00616722"/>
    <w:rsid w:val="00616E93"/>
    <w:rsid w:val="00617DFE"/>
    <w:rsid w:val="00622CEE"/>
    <w:rsid w:val="00625603"/>
    <w:rsid w:val="00625A1E"/>
    <w:rsid w:val="006330D8"/>
    <w:rsid w:val="00634845"/>
    <w:rsid w:val="00636CB1"/>
    <w:rsid w:val="006445FC"/>
    <w:rsid w:val="00645032"/>
    <w:rsid w:val="0064618E"/>
    <w:rsid w:val="00646665"/>
    <w:rsid w:val="00650142"/>
    <w:rsid w:val="00651D8F"/>
    <w:rsid w:val="00655686"/>
    <w:rsid w:val="00655D72"/>
    <w:rsid w:val="006569DC"/>
    <w:rsid w:val="006569E4"/>
    <w:rsid w:val="00660DE5"/>
    <w:rsid w:val="0066109C"/>
    <w:rsid w:val="006615F7"/>
    <w:rsid w:val="0066185F"/>
    <w:rsid w:val="00661ABF"/>
    <w:rsid w:val="00662808"/>
    <w:rsid w:val="006634E2"/>
    <w:rsid w:val="00663681"/>
    <w:rsid w:val="0066399B"/>
    <w:rsid w:val="006705E2"/>
    <w:rsid w:val="00670CE5"/>
    <w:rsid w:val="0067359A"/>
    <w:rsid w:val="00674421"/>
    <w:rsid w:val="006815D8"/>
    <w:rsid w:val="00683664"/>
    <w:rsid w:val="00693320"/>
    <w:rsid w:val="00695841"/>
    <w:rsid w:val="006974B4"/>
    <w:rsid w:val="00697D9E"/>
    <w:rsid w:val="006A1064"/>
    <w:rsid w:val="006A44B1"/>
    <w:rsid w:val="006A46EA"/>
    <w:rsid w:val="006A5D3C"/>
    <w:rsid w:val="006B054A"/>
    <w:rsid w:val="006B54C6"/>
    <w:rsid w:val="006B63F1"/>
    <w:rsid w:val="006B7BCC"/>
    <w:rsid w:val="006C0BE7"/>
    <w:rsid w:val="006C2199"/>
    <w:rsid w:val="006C29F7"/>
    <w:rsid w:val="006C36BB"/>
    <w:rsid w:val="006C3D15"/>
    <w:rsid w:val="006C7D66"/>
    <w:rsid w:val="006D2200"/>
    <w:rsid w:val="006D4F1C"/>
    <w:rsid w:val="006D676E"/>
    <w:rsid w:val="006D6F32"/>
    <w:rsid w:val="006E63A2"/>
    <w:rsid w:val="006E75A6"/>
    <w:rsid w:val="006F2866"/>
    <w:rsid w:val="006F4416"/>
    <w:rsid w:val="006F5AB0"/>
    <w:rsid w:val="006F78F3"/>
    <w:rsid w:val="00701948"/>
    <w:rsid w:val="00703E8C"/>
    <w:rsid w:val="007102C7"/>
    <w:rsid w:val="007102FD"/>
    <w:rsid w:val="00710D78"/>
    <w:rsid w:val="007210B9"/>
    <w:rsid w:val="00721500"/>
    <w:rsid w:val="007218FB"/>
    <w:rsid w:val="00721BF6"/>
    <w:rsid w:val="007220A5"/>
    <w:rsid w:val="007278AC"/>
    <w:rsid w:val="00730D91"/>
    <w:rsid w:val="0073434C"/>
    <w:rsid w:val="007350D2"/>
    <w:rsid w:val="00735D95"/>
    <w:rsid w:val="00745CF0"/>
    <w:rsid w:val="00746553"/>
    <w:rsid w:val="00750E52"/>
    <w:rsid w:val="00751603"/>
    <w:rsid w:val="0075369D"/>
    <w:rsid w:val="00755995"/>
    <w:rsid w:val="007607E2"/>
    <w:rsid w:val="00760C2A"/>
    <w:rsid w:val="007637B1"/>
    <w:rsid w:val="00767B38"/>
    <w:rsid w:val="00770C04"/>
    <w:rsid w:val="00770D37"/>
    <w:rsid w:val="00772E3C"/>
    <w:rsid w:val="007739AF"/>
    <w:rsid w:val="00774494"/>
    <w:rsid w:val="00782440"/>
    <w:rsid w:val="00786F5E"/>
    <w:rsid w:val="00792027"/>
    <w:rsid w:val="0079317F"/>
    <w:rsid w:val="00793947"/>
    <w:rsid w:val="00794114"/>
    <w:rsid w:val="00794870"/>
    <w:rsid w:val="00795723"/>
    <w:rsid w:val="007958B9"/>
    <w:rsid w:val="007A066F"/>
    <w:rsid w:val="007A1339"/>
    <w:rsid w:val="007A1FC6"/>
    <w:rsid w:val="007A43FC"/>
    <w:rsid w:val="007A76EE"/>
    <w:rsid w:val="007B32E3"/>
    <w:rsid w:val="007B3796"/>
    <w:rsid w:val="007B5508"/>
    <w:rsid w:val="007B6C8C"/>
    <w:rsid w:val="007B7BE6"/>
    <w:rsid w:val="007C0198"/>
    <w:rsid w:val="007C3E15"/>
    <w:rsid w:val="007C4870"/>
    <w:rsid w:val="007C5225"/>
    <w:rsid w:val="007C5F1F"/>
    <w:rsid w:val="007C7627"/>
    <w:rsid w:val="007C7E59"/>
    <w:rsid w:val="007D0116"/>
    <w:rsid w:val="007D1BDA"/>
    <w:rsid w:val="007D3EAB"/>
    <w:rsid w:val="007D441C"/>
    <w:rsid w:val="007D4883"/>
    <w:rsid w:val="007E03E7"/>
    <w:rsid w:val="007E1772"/>
    <w:rsid w:val="007E1DCD"/>
    <w:rsid w:val="007E64E0"/>
    <w:rsid w:val="007F2533"/>
    <w:rsid w:val="007F2841"/>
    <w:rsid w:val="007F2F17"/>
    <w:rsid w:val="007F6229"/>
    <w:rsid w:val="007F68C4"/>
    <w:rsid w:val="00800330"/>
    <w:rsid w:val="00802F9E"/>
    <w:rsid w:val="00803839"/>
    <w:rsid w:val="00806420"/>
    <w:rsid w:val="00813EEC"/>
    <w:rsid w:val="0081462E"/>
    <w:rsid w:val="00815FF8"/>
    <w:rsid w:val="00816123"/>
    <w:rsid w:val="00817DDC"/>
    <w:rsid w:val="0082122C"/>
    <w:rsid w:val="008220E4"/>
    <w:rsid w:val="00822CBA"/>
    <w:rsid w:val="00824CE2"/>
    <w:rsid w:val="00824EB5"/>
    <w:rsid w:val="00825306"/>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73B48"/>
    <w:rsid w:val="008756DA"/>
    <w:rsid w:val="00881899"/>
    <w:rsid w:val="00882B62"/>
    <w:rsid w:val="0088470D"/>
    <w:rsid w:val="00890071"/>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C7053"/>
    <w:rsid w:val="008D4E02"/>
    <w:rsid w:val="008D62B3"/>
    <w:rsid w:val="008D755D"/>
    <w:rsid w:val="008D79AF"/>
    <w:rsid w:val="008E049A"/>
    <w:rsid w:val="008E09F9"/>
    <w:rsid w:val="008E0C14"/>
    <w:rsid w:val="008E1625"/>
    <w:rsid w:val="008E1CD6"/>
    <w:rsid w:val="008E32B2"/>
    <w:rsid w:val="008E3D71"/>
    <w:rsid w:val="008E7CB5"/>
    <w:rsid w:val="008F14A3"/>
    <w:rsid w:val="008F31E3"/>
    <w:rsid w:val="008F3797"/>
    <w:rsid w:val="008F653A"/>
    <w:rsid w:val="008F6D4A"/>
    <w:rsid w:val="008F757C"/>
    <w:rsid w:val="008F7FC9"/>
    <w:rsid w:val="0090112F"/>
    <w:rsid w:val="0090233F"/>
    <w:rsid w:val="0090747A"/>
    <w:rsid w:val="009102CE"/>
    <w:rsid w:val="009106B9"/>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4DDC"/>
    <w:rsid w:val="009563AF"/>
    <w:rsid w:val="00961B57"/>
    <w:rsid w:val="00967478"/>
    <w:rsid w:val="00967777"/>
    <w:rsid w:val="009725BB"/>
    <w:rsid w:val="00972E6C"/>
    <w:rsid w:val="00973498"/>
    <w:rsid w:val="00973A5E"/>
    <w:rsid w:val="0097548C"/>
    <w:rsid w:val="00975A70"/>
    <w:rsid w:val="00976B17"/>
    <w:rsid w:val="00977A7C"/>
    <w:rsid w:val="0098042A"/>
    <w:rsid w:val="00981358"/>
    <w:rsid w:val="00982262"/>
    <w:rsid w:val="009911AA"/>
    <w:rsid w:val="0099176F"/>
    <w:rsid w:val="00994BB7"/>
    <w:rsid w:val="00997D2D"/>
    <w:rsid w:val="009A0953"/>
    <w:rsid w:val="009A14CC"/>
    <w:rsid w:val="009A158F"/>
    <w:rsid w:val="009A6E2A"/>
    <w:rsid w:val="009A6F40"/>
    <w:rsid w:val="009A7D1C"/>
    <w:rsid w:val="009B1238"/>
    <w:rsid w:val="009B184D"/>
    <w:rsid w:val="009B30ED"/>
    <w:rsid w:val="009B3B28"/>
    <w:rsid w:val="009B6F8D"/>
    <w:rsid w:val="009B7F21"/>
    <w:rsid w:val="009C4BFD"/>
    <w:rsid w:val="009C6193"/>
    <w:rsid w:val="009C6A38"/>
    <w:rsid w:val="009D41FB"/>
    <w:rsid w:val="009D77FE"/>
    <w:rsid w:val="009E023A"/>
    <w:rsid w:val="009E25DB"/>
    <w:rsid w:val="009E48B6"/>
    <w:rsid w:val="009E50DE"/>
    <w:rsid w:val="009E69C2"/>
    <w:rsid w:val="009F09FF"/>
    <w:rsid w:val="009F0AB7"/>
    <w:rsid w:val="009F2387"/>
    <w:rsid w:val="00A00B10"/>
    <w:rsid w:val="00A03650"/>
    <w:rsid w:val="00A03A56"/>
    <w:rsid w:val="00A0418B"/>
    <w:rsid w:val="00A06001"/>
    <w:rsid w:val="00A13779"/>
    <w:rsid w:val="00A1450D"/>
    <w:rsid w:val="00A16AFD"/>
    <w:rsid w:val="00A2252A"/>
    <w:rsid w:val="00A24CAD"/>
    <w:rsid w:val="00A26287"/>
    <w:rsid w:val="00A26E5C"/>
    <w:rsid w:val="00A272B4"/>
    <w:rsid w:val="00A2765C"/>
    <w:rsid w:val="00A30127"/>
    <w:rsid w:val="00A306C2"/>
    <w:rsid w:val="00A33E28"/>
    <w:rsid w:val="00A34426"/>
    <w:rsid w:val="00A355F7"/>
    <w:rsid w:val="00A36B74"/>
    <w:rsid w:val="00A37140"/>
    <w:rsid w:val="00A42CB0"/>
    <w:rsid w:val="00A4384F"/>
    <w:rsid w:val="00A43F00"/>
    <w:rsid w:val="00A47B49"/>
    <w:rsid w:val="00A50F3E"/>
    <w:rsid w:val="00A51801"/>
    <w:rsid w:val="00A53DC4"/>
    <w:rsid w:val="00A62B0B"/>
    <w:rsid w:val="00A63CB2"/>
    <w:rsid w:val="00A7231C"/>
    <w:rsid w:val="00A8346A"/>
    <w:rsid w:val="00A8440C"/>
    <w:rsid w:val="00A84B85"/>
    <w:rsid w:val="00A91300"/>
    <w:rsid w:val="00A923F6"/>
    <w:rsid w:val="00A92711"/>
    <w:rsid w:val="00A95446"/>
    <w:rsid w:val="00AA03C9"/>
    <w:rsid w:val="00AA0B7B"/>
    <w:rsid w:val="00AA1804"/>
    <w:rsid w:val="00AA3DD6"/>
    <w:rsid w:val="00AA4ADB"/>
    <w:rsid w:val="00AA5313"/>
    <w:rsid w:val="00AA56B7"/>
    <w:rsid w:val="00AB031E"/>
    <w:rsid w:val="00AB31C2"/>
    <w:rsid w:val="00AB34FD"/>
    <w:rsid w:val="00AB472E"/>
    <w:rsid w:val="00AB4746"/>
    <w:rsid w:val="00AC6C17"/>
    <w:rsid w:val="00AC7B9A"/>
    <w:rsid w:val="00AD35CB"/>
    <w:rsid w:val="00AD4124"/>
    <w:rsid w:val="00AD5AE3"/>
    <w:rsid w:val="00AD6EEC"/>
    <w:rsid w:val="00AE44DC"/>
    <w:rsid w:val="00AE4B14"/>
    <w:rsid w:val="00AE4EF7"/>
    <w:rsid w:val="00AE66DF"/>
    <w:rsid w:val="00AE788D"/>
    <w:rsid w:val="00AF549E"/>
    <w:rsid w:val="00B005EC"/>
    <w:rsid w:val="00B04033"/>
    <w:rsid w:val="00B04178"/>
    <w:rsid w:val="00B05495"/>
    <w:rsid w:val="00B0701D"/>
    <w:rsid w:val="00B07399"/>
    <w:rsid w:val="00B10E59"/>
    <w:rsid w:val="00B13167"/>
    <w:rsid w:val="00B143AD"/>
    <w:rsid w:val="00B207E3"/>
    <w:rsid w:val="00B21A30"/>
    <w:rsid w:val="00B30859"/>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5528"/>
    <w:rsid w:val="00B864CF"/>
    <w:rsid w:val="00B90E36"/>
    <w:rsid w:val="00B933B2"/>
    <w:rsid w:val="00B9681E"/>
    <w:rsid w:val="00B970BD"/>
    <w:rsid w:val="00BA3B77"/>
    <w:rsid w:val="00BA4FD2"/>
    <w:rsid w:val="00BA5C3C"/>
    <w:rsid w:val="00BA78E0"/>
    <w:rsid w:val="00BB002D"/>
    <w:rsid w:val="00BB39D4"/>
    <w:rsid w:val="00BB4203"/>
    <w:rsid w:val="00BB542D"/>
    <w:rsid w:val="00BB6E2C"/>
    <w:rsid w:val="00BC0490"/>
    <w:rsid w:val="00BC0D8D"/>
    <w:rsid w:val="00BC3EF8"/>
    <w:rsid w:val="00BC4602"/>
    <w:rsid w:val="00BC4B12"/>
    <w:rsid w:val="00BC573D"/>
    <w:rsid w:val="00BD0CD3"/>
    <w:rsid w:val="00BD2083"/>
    <w:rsid w:val="00BD380F"/>
    <w:rsid w:val="00BD5CED"/>
    <w:rsid w:val="00BD6853"/>
    <w:rsid w:val="00BD6AED"/>
    <w:rsid w:val="00BD6BCA"/>
    <w:rsid w:val="00BD78E3"/>
    <w:rsid w:val="00BD7FB0"/>
    <w:rsid w:val="00BE1B0E"/>
    <w:rsid w:val="00BE1C60"/>
    <w:rsid w:val="00BE1F7D"/>
    <w:rsid w:val="00BE24D6"/>
    <w:rsid w:val="00BE4568"/>
    <w:rsid w:val="00BE5E59"/>
    <w:rsid w:val="00BF2B19"/>
    <w:rsid w:val="00BF3FEE"/>
    <w:rsid w:val="00BF5C9A"/>
    <w:rsid w:val="00BF62ED"/>
    <w:rsid w:val="00C05428"/>
    <w:rsid w:val="00C10445"/>
    <w:rsid w:val="00C11600"/>
    <w:rsid w:val="00C13FD0"/>
    <w:rsid w:val="00C165F8"/>
    <w:rsid w:val="00C203B8"/>
    <w:rsid w:val="00C23E83"/>
    <w:rsid w:val="00C241A3"/>
    <w:rsid w:val="00C2561A"/>
    <w:rsid w:val="00C25C26"/>
    <w:rsid w:val="00C27CCA"/>
    <w:rsid w:val="00C27FB8"/>
    <w:rsid w:val="00C34FED"/>
    <w:rsid w:val="00C350F4"/>
    <w:rsid w:val="00C351BC"/>
    <w:rsid w:val="00C437BD"/>
    <w:rsid w:val="00C43A78"/>
    <w:rsid w:val="00C53481"/>
    <w:rsid w:val="00C61505"/>
    <w:rsid w:val="00C61981"/>
    <w:rsid w:val="00C640D3"/>
    <w:rsid w:val="00C6477B"/>
    <w:rsid w:val="00C64A3F"/>
    <w:rsid w:val="00C70132"/>
    <w:rsid w:val="00C75641"/>
    <w:rsid w:val="00C77F7A"/>
    <w:rsid w:val="00C826E1"/>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B1901"/>
    <w:rsid w:val="00CB7EBD"/>
    <w:rsid w:val="00CC1CED"/>
    <w:rsid w:val="00CC70FE"/>
    <w:rsid w:val="00CD000D"/>
    <w:rsid w:val="00CD2334"/>
    <w:rsid w:val="00CD4B1F"/>
    <w:rsid w:val="00CE24B6"/>
    <w:rsid w:val="00CE68AA"/>
    <w:rsid w:val="00CE790C"/>
    <w:rsid w:val="00CF0E64"/>
    <w:rsid w:val="00CF33A0"/>
    <w:rsid w:val="00CF36DC"/>
    <w:rsid w:val="00CF3C51"/>
    <w:rsid w:val="00D0037C"/>
    <w:rsid w:val="00D009E8"/>
    <w:rsid w:val="00D02E85"/>
    <w:rsid w:val="00D047E5"/>
    <w:rsid w:val="00D10F51"/>
    <w:rsid w:val="00D120CB"/>
    <w:rsid w:val="00D1443A"/>
    <w:rsid w:val="00D164AD"/>
    <w:rsid w:val="00D25F6F"/>
    <w:rsid w:val="00D267B0"/>
    <w:rsid w:val="00D312E0"/>
    <w:rsid w:val="00D32127"/>
    <w:rsid w:val="00D32B8B"/>
    <w:rsid w:val="00D412B2"/>
    <w:rsid w:val="00D42F56"/>
    <w:rsid w:val="00D44ADB"/>
    <w:rsid w:val="00D512DC"/>
    <w:rsid w:val="00D518B6"/>
    <w:rsid w:val="00D51D5E"/>
    <w:rsid w:val="00D5232C"/>
    <w:rsid w:val="00D54A79"/>
    <w:rsid w:val="00D601BF"/>
    <w:rsid w:val="00D611EE"/>
    <w:rsid w:val="00D61C3D"/>
    <w:rsid w:val="00D6259E"/>
    <w:rsid w:val="00D641A1"/>
    <w:rsid w:val="00D67157"/>
    <w:rsid w:val="00D713E4"/>
    <w:rsid w:val="00D716D2"/>
    <w:rsid w:val="00D769BA"/>
    <w:rsid w:val="00D77663"/>
    <w:rsid w:val="00D80990"/>
    <w:rsid w:val="00D82ED1"/>
    <w:rsid w:val="00D83B48"/>
    <w:rsid w:val="00D83B79"/>
    <w:rsid w:val="00D85A1A"/>
    <w:rsid w:val="00D90DFA"/>
    <w:rsid w:val="00D91ACC"/>
    <w:rsid w:val="00D956C3"/>
    <w:rsid w:val="00D9606A"/>
    <w:rsid w:val="00DA2D20"/>
    <w:rsid w:val="00DB5F6F"/>
    <w:rsid w:val="00DB68FB"/>
    <w:rsid w:val="00DB691D"/>
    <w:rsid w:val="00DB7C5A"/>
    <w:rsid w:val="00DC1305"/>
    <w:rsid w:val="00DC4C72"/>
    <w:rsid w:val="00DC52C8"/>
    <w:rsid w:val="00DC605B"/>
    <w:rsid w:val="00DC619A"/>
    <w:rsid w:val="00DC67E6"/>
    <w:rsid w:val="00DC6B60"/>
    <w:rsid w:val="00DD3251"/>
    <w:rsid w:val="00DD3AAF"/>
    <w:rsid w:val="00DD68E3"/>
    <w:rsid w:val="00DD6AFB"/>
    <w:rsid w:val="00DD7BC3"/>
    <w:rsid w:val="00DE2117"/>
    <w:rsid w:val="00DE75D0"/>
    <w:rsid w:val="00DF33CF"/>
    <w:rsid w:val="00DF3EF7"/>
    <w:rsid w:val="00DF6A24"/>
    <w:rsid w:val="00E02684"/>
    <w:rsid w:val="00E02FCE"/>
    <w:rsid w:val="00E13265"/>
    <w:rsid w:val="00E234E7"/>
    <w:rsid w:val="00E23E3E"/>
    <w:rsid w:val="00E2422B"/>
    <w:rsid w:val="00E25EAD"/>
    <w:rsid w:val="00E30146"/>
    <w:rsid w:val="00E32271"/>
    <w:rsid w:val="00E33B2D"/>
    <w:rsid w:val="00E33D1A"/>
    <w:rsid w:val="00E345B9"/>
    <w:rsid w:val="00E349EE"/>
    <w:rsid w:val="00E350AF"/>
    <w:rsid w:val="00E36036"/>
    <w:rsid w:val="00E37BE8"/>
    <w:rsid w:val="00E4071B"/>
    <w:rsid w:val="00E40C84"/>
    <w:rsid w:val="00E458D0"/>
    <w:rsid w:val="00E4608E"/>
    <w:rsid w:val="00E50C88"/>
    <w:rsid w:val="00E51C2C"/>
    <w:rsid w:val="00E52A2C"/>
    <w:rsid w:val="00E55816"/>
    <w:rsid w:val="00E57E31"/>
    <w:rsid w:val="00E6175B"/>
    <w:rsid w:val="00E64309"/>
    <w:rsid w:val="00E646A8"/>
    <w:rsid w:val="00E6784C"/>
    <w:rsid w:val="00E6788A"/>
    <w:rsid w:val="00E67EE8"/>
    <w:rsid w:val="00E73632"/>
    <w:rsid w:val="00E7404C"/>
    <w:rsid w:val="00E76633"/>
    <w:rsid w:val="00E8404A"/>
    <w:rsid w:val="00E842DC"/>
    <w:rsid w:val="00E87CEF"/>
    <w:rsid w:val="00E92619"/>
    <w:rsid w:val="00EA0018"/>
    <w:rsid w:val="00EA0FC3"/>
    <w:rsid w:val="00EA2359"/>
    <w:rsid w:val="00EA3C61"/>
    <w:rsid w:val="00EA4879"/>
    <w:rsid w:val="00EB05CC"/>
    <w:rsid w:val="00EB52C3"/>
    <w:rsid w:val="00EC070B"/>
    <w:rsid w:val="00EC096F"/>
    <w:rsid w:val="00EC1A09"/>
    <w:rsid w:val="00EC1BA2"/>
    <w:rsid w:val="00EC3911"/>
    <w:rsid w:val="00EC59B2"/>
    <w:rsid w:val="00ED0193"/>
    <w:rsid w:val="00ED0B72"/>
    <w:rsid w:val="00ED2145"/>
    <w:rsid w:val="00EE153B"/>
    <w:rsid w:val="00EE2072"/>
    <w:rsid w:val="00EE37E1"/>
    <w:rsid w:val="00EE39B7"/>
    <w:rsid w:val="00EE438D"/>
    <w:rsid w:val="00EE588D"/>
    <w:rsid w:val="00EF1421"/>
    <w:rsid w:val="00EF1F9B"/>
    <w:rsid w:val="00EF3A87"/>
    <w:rsid w:val="00EF4135"/>
    <w:rsid w:val="00EF4C58"/>
    <w:rsid w:val="00EF64EC"/>
    <w:rsid w:val="00EF6D19"/>
    <w:rsid w:val="00EF7A64"/>
    <w:rsid w:val="00EF7BC6"/>
    <w:rsid w:val="00F05046"/>
    <w:rsid w:val="00F05B5A"/>
    <w:rsid w:val="00F0736A"/>
    <w:rsid w:val="00F1001C"/>
    <w:rsid w:val="00F12CF1"/>
    <w:rsid w:val="00F168DC"/>
    <w:rsid w:val="00F21FA4"/>
    <w:rsid w:val="00F2406E"/>
    <w:rsid w:val="00F25D08"/>
    <w:rsid w:val="00F26DA0"/>
    <w:rsid w:val="00F27355"/>
    <w:rsid w:val="00F27D78"/>
    <w:rsid w:val="00F303DC"/>
    <w:rsid w:val="00F323EE"/>
    <w:rsid w:val="00F33377"/>
    <w:rsid w:val="00F36BFB"/>
    <w:rsid w:val="00F4523F"/>
    <w:rsid w:val="00F45421"/>
    <w:rsid w:val="00F46648"/>
    <w:rsid w:val="00F50C03"/>
    <w:rsid w:val="00F5177A"/>
    <w:rsid w:val="00F51BC4"/>
    <w:rsid w:val="00F52265"/>
    <w:rsid w:val="00F5793D"/>
    <w:rsid w:val="00F6425C"/>
    <w:rsid w:val="00F664C7"/>
    <w:rsid w:val="00F66571"/>
    <w:rsid w:val="00F66A69"/>
    <w:rsid w:val="00F701C5"/>
    <w:rsid w:val="00F70B7F"/>
    <w:rsid w:val="00F71209"/>
    <w:rsid w:val="00F725B4"/>
    <w:rsid w:val="00F74945"/>
    <w:rsid w:val="00F765AF"/>
    <w:rsid w:val="00F803C3"/>
    <w:rsid w:val="00F8737C"/>
    <w:rsid w:val="00F90189"/>
    <w:rsid w:val="00F90A79"/>
    <w:rsid w:val="00F91EA0"/>
    <w:rsid w:val="00F92C42"/>
    <w:rsid w:val="00F9363E"/>
    <w:rsid w:val="00FA1DF6"/>
    <w:rsid w:val="00FA7A71"/>
    <w:rsid w:val="00FB0390"/>
    <w:rsid w:val="00FB0EDB"/>
    <w:rsid w:val="00FB22EB"/>
    <w:rsid w:val="00FB2326"/>
    <w:rsid w:val="00FB34F4"/>
    <w:rsid w:val="00FB3944"/>
    <w:rsid w:val="00FB4E4D"/>
    <w:rsid w:val="00FB5C76"/>
    <w:rsid w:val="00FB6187"/>
    <w:rsid w:val="00FB7B5D"/>
    <w:rsid w:val="00FC08B6"/>
    <w:rsid w:val="00FC2DC3"/>
    <w:rsid w:val="00FC4053"/>
    <w:rsid w:val="00FC62F7"/>
    <w:rsid w:val="00FC6924"/>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9607</Words>
  <Characters>56688</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2026-04-01T11:45:00Z</dcterms:created>
  <dcterms:modified xsi:type="dcterms:W3CDTF">2026-04-01T11:46:00Z</dcterms:modified>
</cp:coreProperties>
</file>