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4E3162E3" w14:textId="77777777" w:rsidR="009B7D85" w:rsidRPr="009B7D85" w:rsidRDefault="009B7D85" w:rsidP="009B7D85">
      <w:pPr>
        <w:spacing w:after="0"/>
        <w:jc w:val="both"/>
        <w:rPr>
          <w:rFonts w:cs="Arial"/>
          <w:b/>
          <w:szCs w:val="24"/>
        </w:rPr>
      </w:pPr>
      <w:r w:rsidRPr="009B7D85">
        <w:rPr>
          <w:rFonts w:cs="Arial"/>
          <w:b/>
          <w:szCs w:val="24"/>
        </w:rPr>
        <w:t>Česká republika – Státní pozemkový úřad</w:t>
      </w:r>
    </w:p>
    <w:p w14:paraId="57AB7023" w14:textId="77777777" w:rsidR="009B7D85" w:rsidRPr="009B7D85" w:rsidRDefault="009B7D85" w:rsidP="009B7D85">
      <w:pPr>
        <w:spacing w:after="0"/>
        <w:jc w:val="both"/>
        <w:rPr>
          <w:rFonts w:cs="Arial"/>
          <w:b/>
          <w:szCs w:val="24"/>
        </w:rPr>
      </w:pPr>
      <w:r w:rsidRPr="009B7D85">
        <w:rPr>
          <w:rFonts w:cs="Arial"/>
          <w:b/>
          <w:szCs w:val="24"/>
        </w:rPr>
        <w:t>Sídlo:</w:t>
      </w:r>
      <w:r w:rsidRPr="009B7D85">
        <w:rPr>
          <w:rFonts w:cs="Arial"/>
          <w:bCs/>
          <w:szCs w:val="24"/>
        </w:rPr>
        <w:t xml:space="preserve"> </w:t>
      </w:r>
      <w:bookmarkStart w:id="0" w:name="_Hlk16772519"/>
      <w:r w:rsidRPr="009B7D85">
        <w:rPr>
          <w:rFonts w:cs="Arial"/>
          <w:szCs w:val="24"/>
        </w:rPr>
        <w:t>Husinecká 1024/11a, 130 00 Praha 3</w:t>
      </w:r>
      <w:bookmarkEnd w:id="0"/>
    </w:p>
    <w:p w14:paraId="66F9C81A" w14:textId="77777777" w:rsidR="009B7D85" w:rsidRPr="009B7D85" w:rsidRDefault="009B7D85" w:rsidP="009B7D85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szCs w:val="22"/>
        </w:rPr>
      </w:pPr>
      <w:r w:rsidRPr="009B7D85">
        <w:rPr>
          <w:rFonts w:cs="Arial"/>
          <w:b/>
          <w:szCs w:val="22"/>
        </w:rPr>
        <w:t>Krajský pozemkový úřad pro Středočeský kraj a hl. město Praha</w:t>
      </w:r>
    </w:p>
    <w:p w14:paraId="177E8209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ind w:left="4536" w:hanging="4536"/>
        <w:contextualSpacing w:val="0"/>
        <w:jc w:val="both"/>
        <w:rPr>
          <w:rFonts w:cs="Arial"/>
          <w:b/>
          <w:szCs w:val="22"/>
        </w:rPr>
      </w:pPr>
      <w:r w:rsidRPr="009B7D85">
        <w:rPr>
          <w:rFonts w:cs="Arial"/>
          <w:b/>
          <w:szCs w:val="22"/>
        </w:rPr>
        <w:t xml:space="preserve">Adresa: </w:t>
      </w:r>
      <w:r w:rsidRPr="009B7D85">
        <w:rPr>
          <w:rFonts w:eastAsia="Calibri" w:cs="Arial"/>
          <w:b/>
          <w:color w:val="000000"/>
          <w:szCs w:val="22"/>
          <w:lang w:eastAsia="en-US"/>
        </w:rPr>
        <w:t>nám. Winstona Churchilla 1800/2, 130 00 Praha 3</w:t>
      </w:r>
    </w:p>
    <w:p w14:paraId="6B4F5F05" w14:textId="77777777" w:rsidR="009B7D85" w:rsidRPr="009B7D85" w:rsidRDefault="009B7D85" w:rsidP="009B7D85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9B7D85">
        <w:rPr>
          <w:rFonts w:cs="Arial"/>
          <w:b/>
          <w:szCs w:val="22"/>
        </w:rPr>
        <w:t xml:space="preserve">Pobočka Nymburk </w:t>
      </w:r>
    </w:p>
    <w:p w14:paraId="5EFD3528" w14:textId="77777777" w:rsidR="009B7D85" w:rsidRPr="009B7D85" w:rsidRDefault="009B7D85" w:rsidP="009B7D85">
      <w:pPr>
        <w:overflowPunct w:val="0"/>
        <w:autoSpaceDE w:val="0"/>
        <w:autoSpaceDN w:val="0"/>
        <w:adjustRightInd w:val="0"/>
        <w:spacing w:before="0" w:after="0"/>
        <w:contextualSpacing w:val="0"/>
        <w:jc w:val="both"/>
        <w:textAlignment w:val="baseline"/>
        <w:rPr>
          <w:rFonts w:cs="Arial"/>
          <w:b/>
          <w:szCs w:val="22"/>
        </w:rPr>
      </w:pPr>
      <w:r w:rsidRPr="009B7D85">
        <w:rPr>
          <w:rFonts w:cs="Arial"/>
          <w:b/>
          <w:szCs w:val="22"/>
        </w:rPr>
        <w:t>Adresa: Soudní 17/3, 288 02 Nymburk</w:t>
      </w:r>
    </w:p>
    <w:p w14:paraId="32ED2091" w14:textId="7542FEAF" w:rsidR="009B7D85" w:rsidRPr="009B7D85" w:rsidRDefault="009B7D85" w:rsidP="009B7D85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Lucida Sans Unicode" w:cs="Arial"/>
          <w:szCs w:val="24"/>
        </w:rPr>
      </w:pPr>
      <w:r w:rsidRPr="009B7D85">
        <w:rPr>
          <w:rFonts w:eastAsia="Lucida Sans Unicode" w:cs="Arial"/>
          <w:szCs w:val="24"/>
        </w:rPr>
        <w:t>zastoupen</w:t>
      </w:r>
      <w:r w:rsidR="0097791A">
        <w:rPr>
          <w:rFonts w:eastAsia="Lucida Sans Unicode" w:cs="Arial"/>
          <w:szCs w:val="24"/>
        </w:rPr>
        <w:t>á</w:t>
      </w:r>
      <w:r w:rsidRPr="009B7D85">
        <w:rPr>
          <w:rFonts w:eastAsia="Lucida Sans Unicode" w:cs="Arial"/>
          <w:szCs w:val="24"/>
        </w:rPr>
        <w:t xml:space="preserve">: </w:t>
      </w:r>
      <w:r w:rsidRPr="009B7D85">
        <w:rPr>
          <w:rFonts w:eastAsia="Lucida Sans Unicode" w:cs="Arial"/>
          <w:b/>
          <w:bCs/>
          <w:szCs w:val="24"/>
        </w:rPr>
        <w:t>Ing. Zdeňkem Jahnem,</w:t>
      </w:r>
      <w:r>
        <w:rPr>
          <w:rFonts w:eastAsia="Lucida Sans Unicode" w:cs="Arial"/>
          <w:b/>
          <w:bCs/>
          <w:szCs w:val="24"/>
        </w:rPr>
        <w:t xml:space="preserve"> </w:t>
      </w:r>
      <w:r w:rsidRPr="009B7D85">
        <w:rPr>
          <w:rFonts w:eastAsia="Lucida Sans Unicode" w:cs="Arial"/>
          <w:b/>
          <w:bCs/>
          <w:szCs w:val="24"/>
        </w:rPr>
        <w:t xml:space="preserve">CSc, vedoucím Pobočky </w:t>
      </w:r>
      <w:r w:rsidR="005661F5">
        <w:rPr>
          <w:rFonts w:eastAsia="Lucida Sans Unicode" w:cs="Arial"/>
          <w:b/>
          <w:bCs/>
          <w:szCs w:val="24"/>
        </w:rPr>
        <w:t>Nymburk</w:t>
      </w:r>
    </w:p>
    <w:p w14:paraId="4E0716C5" w14:textId="77777777" w:rsidR="009B7D85" w:rsidRPr="009B7D85" w:rsidRDefault="009B7D85" w:rsidP="009B7D8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 w:rsidRPr="009B7D85">
        <w:rPr>
          <w:rFonts w:eastAsia="Lucida Sans Unicode" w:cs="Arial"/>
          <w:szCs w:val="24"/>
        </w:rPr>
        <w:t>ve smluvních záležitostech oprávněn jednat:</w:t>
      </w:r>
      <w:r w:rsidRPr="009B7D85">
        <w:rPr>
          <w:rFonts w:eastAsia="Lucida Sans Unicode" w:cs="Arial"/>
          <w:szCs w:val="24"/>
        </w:rPr>
        <w:tab/>
        <w:t>Ing. Zdeněk Jahn, CSc</w:t>
      </w:r>
    </w:p>
    <w:p w14:paraId="010150F9" w14:textId="77777777" w:rsidR="009B7D85" w:rsidRPr="009B7D85" w:rsidRDefault="009B7D85" w:rsidP="009B7D8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 w:rsidRPr="009B7D85">
        <w:rPr>
          <w:rFonts w:eastAsia="Lucida Sans Unicode" w:cs="Arial"/>
          <w:szCs w:val="24"/>
        </w:rPr>
        <w:t xml:space="preserve">v </w:t>
      </w:r>
      <w:r w:rsidRPr="009B7D85">
        <w:rPr>
          <w:rFonts w:eastAsia="Lucida Sans Unicode" w:cs="Arial"/>
          <w:snapToGrid w:val="0"/>
          <w:szCs w:val="24"/>
        </w:rPr>
        <w:t>technických záležitostech oprávněn jednat:</w:t>
      </w:r>
      <w:r w:rsidRPr="009B7D85">
        <w:rPr>
          <w:rFonts w:eastAsia="Lucida Sans Unicode" w:cs="Arial"/>
          <w:snapToGrid w:val="0"/>
          <w:szCs w:val="24"/>
        </w:rPr>
        <w:tab/>
        <w:t xml:space="preserve">Ing. Jaroslav Poděbradský </w:t>
      </w:r>
    </w:p>
    <w:p w14:paraId="2A8C05EC" w14:textId="77777777" w:rsidR="009B7D85" w:rsidRPr="009B7D85" w:rsidRDefault="009B7D85" w:rsidP="009B7D8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eastAsia="Lucida Sans Unicode" w:cs="Arial"/>
          <w:szCs w:val="24"/>
        </w:rPr>
      </w:pPr>
      <w:r w:rsidRPr="009B7D85">
        <w:rPr>
          <w:rFonts w:eastAsia="Lucida Sans Unicode" w:cs="Arial"/>
          <w:szCs w:val="22"/>
        </w:rPr>
        <w:t xml:space="preserve">     Tel.:</w:t>
      </w:r>
      <w:r w:rsidRPr="009B7D85">
        <w:rPr>
          <w:rFonts w:eastAsia="Lucida Sans Unicode" w:cs="Arial"/>
          <w:szCs w:val="22"/>
        </w:rPr>
        <w:tab/>
        <w:t>+420 721 973 650</w:t>
      </w:r>
      <w:r w:rsidRPr="009B7D85">
        <w:rPr>
          <w:rFonts w:eastAsia="Lucida Sans Unicode" w:cs="Arial"/>
          <w:szCs w:val="22"/>
        </w:rPr>
        <w:tab/>
      </w:r>
      <w:r w:rsidRPr="009B7D85">
        <w:rPr>
          <w:rFonts w:eastAsia="Lucida Sans Unicode" w:cs="Arial"/>
          <w:szCs w:val="22"/>
        </w:rPr>
        <w:tab/>
        <w:t xml:space="preserve"> </w:t>
      </w:r>
    </w:p>
    <w:p w14:paraId="58CC01AE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9B7D85">
        <w:rPr>
          <w:rFonts w:eastAsia="Lucida Sans Unicode" w:cs="Arial"/>
          <w:szCs w:val="22"/>
        </w:rPr>
        <w:t xml:space="preserve">      E-mail:</w:t>
      </w:r>
      <w:r w:rsidRPr="009B7D85">
        <w:rPr>
          <w:rFonts w:eastAsia="Lucida Sans Unicode" w:cs="Arial"/>
          <w:szCs w:val="22"/>
        </w:rPr>
        <w:tab/>
        <w:t>jaroslav.podebradsky@spu.gov.cz</w:t>
      </w:r>
    </w:p>
    <w:p w14:paraId="2569587A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9B7D85">
        <w:rPr>
          <w:rFonts w:eastAsia="Lucida Sans Unicode" w:cs="Arial"/>
          <w:szCs w:val="22"/>
        </w:rPr>
        <w:t xml:space="preserve">      ID DS:</w:t>
      </w:r>
      <w:r w:rsidRPr="009B7D85">
        <w:rPr>
          <w:rFonts w:eastAsia="Lucida Sans Unicode" w:cs="Arial"/>
          <w:szCs w:val="22"/>
        </w:rPr>
        <w:tab/>
        <w:t>z49per3</w:t>
      </w:r>
    </w:p>
    <w:p w14:paraId="5573FD76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szCs w:val="22"/>
        </w:rPr>
      </w:pPr>
      <w:r w:rsidRPr="009B7D85">
        <w:rPr>
          <w:rFonts w:eastAsia="Lucida Sans Unicode" w:cs="Arial"/>
          <w:szCs w:val="22"/>
        </w:rPr>
        <w:t xml:space="preserve">      Bankovní spojení:</w:t>
      </w:r>
      <w:r w:rsidRPr="009B7D85">
        <w:rPr>
          <w:rFonts w:eastAsia="Lucida Sans Unicode" w:cs="Arial"/>
          <w:szCs w:val="22"/>
        </w:rPr>
        <w:tab/>
        <w:t xml:space="preserve">ČNB </w:t>
      </w:r>
      <w:r w:rsidRPr="009B7D85">
        <w:rPr>
          <w:rFonts w:eastAsia="Lucida Sans Unicode" w:cs="Arial"/>
          <w:szCs w:val="22"/>
        </w:rPr>
        <w:tab/>
      </w:r>
    </w:p>
    <w:p w14:paraId="5DCF7A19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9B7D85">
        <w:rPr>
          <w:rFonts w:eastAsia="Lucida Sans Unicode" w:cs="Arial"/>
          <w:bCs/>
          <w:szCs w:val="22"/>
        </w:rPr>
        <w:t xml:space="preserve">      Číslo účtu:</w:t>
      </w:r>
      <w:r w:rsidRPr="009B7D85">
        <w:rPr>
          <w:rFonts w:eastAsia="Lucida Sans Unicode" w:cs="Arial"/>
          <w:bCs/>
          <w:szCs w:val="22"/>
        </w:rPr>
        <w:tab/>
        <w:t>3723001/0710</w:t>
      </w:r>
    </w:p>
    <w:p w14:paraId="7B8BEFF0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9B7D85">
        <w:rPr>
          <w:rFonts w:eastAsia="Lucida Sans Unicode" w:cs="Arial"/>
          <w:bCs/>
          <w:szCs w:val="22"/>
        </w:rPr>
        <w:t xml:space="preserve">      IČO:</w:t>
      </w:r>
      <w:r w:rsidRPr="009B7D85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280C8BE" w14:textId="77777777" w:rsidR="009B7D85" w:rsidRPr="009B7D85" w:rsidRDefault="009B7D85" w:rsidP="009B7D85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rPr>
          <w:rFonts w:eastAsia="Lucida Sans Unicode" w:cs="Arial"/>
          <w:bCs/>
          <w:szCs w:val="22"/>
        </w:rPr>
      </w:pPr>
      <w:r w:rsidRPr="009B7D85">
        <w:rPr>
          <w:rFonts w:eastAsia="Lucida Sans Unicode" w:cs="Arial"/>
          <w:bCs/>
          <w:szCs w:val="22"/>
        </w:rPr>
        <w:t xml:space="preserve">      DIČ:</w:t>
      </w:r>
      <w:r w:rsidRPr="009B7D85">
        <w:rPr>
          <w:rFonts w:eastAsia="Lucida Sans Unicode" w:cs="Arial"/>
          <w:bCs/>
          <w:szCs w:val="22"/>
        </w:rPr>
        <w:tab/>
        <w:t xml:space="preserve">není plátcem DPH 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0CA6F3EA" w14:textId="77777777" w:rsidR="00370438" w:rsidRPr="005C59DC" w:rsidRDefault="00370438" w:rsidP="00370438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>
        <w:rPr>
          <w:rFonts w:cs="Arial"/>
          <w:b/>
        </w:rPr>
        <w:t>Atelier M.A.A.T., s.r.o.</w:t>
      </w:r>
    </w:p>
    <w:p w14:paraId="7BE8155F" w14:textId="77777777" w:rsidR="00370438" w:rsidRPr="005C59DC" w:rsidRDefault="00370438" w:rsidP="00370438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r>
        <w:rPr>
          <w:rFonts w:cs="Arial"/>
          <w:bCs/>
        </w:rPr>
        <w:t>Převrátilská 330/15, 390 01 Tábor</w:t>
      </w:r>
    </w:p>
    <w:p w14:paraId="1188D4A7" w14:textId="70CC84E2" w:rsidR="00370438" w:rsidRPr="005C59DC" w:rsidRDefault="00370438" w:rsidP="00370438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>
        <w:rPr>
          <w:rFonts w:cs="Arial"/>
        </w:rPr>
        <w:t>Bc. Ing. arch. Martin J</w:t>
      </w:r>
      <w:r w:rsidR="00F20ADC">
        <w:rPr>
          <w:rFonts w:cs="Arial"/>
        </w:rPr>
        <w:t>í</w:t>
      </w:r>
      <w:r>
        <w:rPr>
          <w:rFonts w:cs="Arial"/>
        </w:rPr>
        <w:t>rovský, PH.D., MBA, DiS.</w:t>
      </w:r>
    </w:p>
    <w:p w14:paraId="52FDC759" w14:textId="77777777" w:rsidR="0011516C" w:rsidRPr="005C59DC" w:rsidRDefault="00370438" w:rsidP="0011516C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bookmarkStart w:id="1" w:name="_Hlk225768346"/>
      <w:r w:rsidR="0011516C">
        <w:rPr>
          <w:rFonts w:cs="Arial"/>
        </w:rPr>
        <w:t>xxxxxxxxxxxxx</w:t>
      </w:r>
      <w:bookmarkEnd w:id="1"/>
    </w:p>
    <w:p w14:paraId="05416F88" w14:textId="5EA3C1CE" w:rsidR="00370438" w:rsidRPr="005C59DC" w:rsidRDefault="00370438" w:rsidP="0011516C">
      <w:pPr>
        <w:tabs>
          <w:tab w:val="left" w:pos="284"/>
          <w:tab w:val="left" w:pos="4678"/>
        </w:tabs>
        <w:spacing w:after="0" w:line="288" w:lineRule="auto"/>
        <w:rPr>
          <w:rFonts w:cs="Arial"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r w:rsidR="0011516C">
        <w:rPr>
          <w:rFonts w:cs="Arial"/>
        </w:rPr>
        <w:t>xxxxxxxxxxxxxxxxxx</w:t>
      </w:r>
    </w:p>
    <w:p w14:paraId="3A60736C" w14:textId="77777777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  <w:snapToGrid w:val="0"/>
        </w:rPr>
        <w:tab/>
        <w:t>ID DS:</w:t>
      </w:r>
      <w:r w:rsidRPr="005C59DC"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>a2993wr</w:t>
      </w:r>
    </w:p>
    <w:p w14:paraId="2138C6DC" w14:textId="74174AB6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>v technických záležitostech je oprávněn jednat:</w:t>
      </w:r>
      <w:r>
        <w:rPr>
          <w:rFonts w:cs="Arial"/>
        </w:rPr>
        <w:t xml:space="preserve"> </w:t>
      </w:r>
      <w:r w:rsidR="0011516C">
        <w:rPr>
          <w:rFonts w:cs="Arial"/>
        </w:rPr>
        <w:t>xxxxxxxxxxxxxxxxxxxxxxxxxxxxxxxxxx</w:t>
      </w:r>
    </w:p>
    <w:p w14:paraId="31FFE6A5" w14:textId="77777777" w:rsidR="0011516C" w:rsidRPr="005C59DC" w:rsidRDefault="00370438" w:rsidP="0011516C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="0011516C">
        <w:rPr>
          <w:rFonts w:cs="Arial"/>
        </w:rPr>
        <w:t>xxxxxxxxxxxxx</w:t>
      </w:r>
    </w:p>
    <w:p w14:paraId="7E66123D" w14:textId="6ECC3D9B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r w:rsidR="0011516C">
        <w:rPr>
          <w:rFonts w:cs="Arial"/>
        </w:rPr>
        <w:t>xxxxxxxxxxxxxxxxxx</w:t>
      </w:r>
    </w:p>
    <w:p w14:paraId="2CD69B08" w14:textId="59536E9D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ab/>
        <w:t>Bankovní spojení:</w:t>
      </w:r>
      <w:r w:rsidRPr="005C59DC">
        <w:rPr>
          <w:rFonts w:cs="Arial"/>
        </w:rPr>
        <w:tab/>
      </w:r>
      <w:r>
        <w:rPr>
          <w:rFonts w:cs="Arial"/>
        </w:rPr>
        <w:t>FIO Banka</w:t>
      </w:r>
      <w:r w:rsidR="00B760DB">
        <w:rPr>
          <w:rFonts w:cs="Arial"/>
        </w:rPr>
        <w:t>, a.s.</w:t>
      </w:r>
    </w:p>
    <w:p w14:paraId="400658E6" w14:textId="77777777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Číslo účtu:</w:t>
      </w:r>
      <w:r w:rsidRPr="005C59DC">
        <w:rPr>
          <w:rFonts w:cs="Arial"/>
        </w:rPr>
        <w:tab/>
      </w:r>
      <w:r>
        <w:rPr>
          <w:rFonts w:cs="Arial"/>
        </w:rPr>
        <w:t>2200224710/2010</w:t>
      </w:r>
    </w:p>
    <w:p w14:paraId="4E8D44F9" w14:textId="77777777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rPr>
          <w:rFonts w:cs="Arial"/>
          <w:b/>
        </w:rPr>
      </w:pPr>
      <w:r w:rsidRPr="005C59DC">
        <w:rPr>
          <w:rFonts w:cs="Arial"/>
        </w:rPr>
        <w:tab/>
        <w:t>IČO:</w:t>
      </w:r>
      <w:r w:rsidRPr="005C59DC">
        <w:rPr>
          <w:rFonts w:cs="Arial"/>
        </w:rPr>
        <w:tab/>
      </w:r>
      <w:r>
        <w:rPr>
          <w:rFonts w:cs="Arial"/>
        </w:rPr>
        <w:t>281 45 968</w:t>
      </w:r>
    </w:p>
    <w:p w14:paraId="1C9BE0FF" w14:textId="77777777" w:rsidR="00370438" w:rsidRPr="005C59DC" w:rsidRDefault="00370438" w:rsidP="0037043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DIČ:</w:t>
      </w:r>
      <w:r w:rsidRPr="005C59DC">
        <w:rPr>
          <w:rFonts w:cs="Arial"/>
        </w:rPr>
        <w:tab/>
      </w:r>
      <w:r>
        <w:rPr>
          <w:rFonts w:cs="Arial"/>
        </w:rPr>
        <w:t>CZ28145968</w:t>
      </w:r>
    </w:p>
    <w:p w14:paraId="231356A1" w14:textId="77777777" w:rsidR="00370438" w:rsidRPr="005C59DC" w:rsidRDefault="00370438" w:rsidP="00370438">
      <w:pPr>
        <w:spacing w:before="240" w:line="288" w:lineRule="auto"/>
        <w:rPr>
          <w:rFonts w:cs="Arial"/>
        </w:rPr>
      </w:pPr>
      <w:r w:rsidRPr="005C59DC">
        <w:rPr>
          <w:rFonts w:cs="Arial"/>
        </w:rPr>
        <w:t xml:space="preserve">Společnost je zapsaná v obchodním rejstříku vedeném u </w:t>
      </w:r>
      <w:r>
        <w:rPr>
          <w:rFonts w:cs="Arial"/>
        </w:rPr>
        <w:t xml:space="preserve">Krajského soudu v Českých Budějovicích, </w:t>
      </w:r>
      <w:r w:rsidRPr="005C59DC">
        <w:rPr>
          <w:rFonts w:cs="Arial"/>
        </w:rPr>
        <w:t>oddíl</w:t>
      </w:r>
      <w:r>
        <w:rPr>
          <w:rFonts w:cs="Arial"/>
        </w:rPr>
        <w:t xml:space="preserve"> C, </w:t>
      </w:r>
      <w:r w:rsidRPr="005C59DC">
        <w:rPr>
          <w:rFonts w:cs="Arial"/>
        </w:rPr>
        <w:t>vložka</w:t>
      </w:r>
      <w:r>
        <w:rPr>
          <w:rFonts w:cs="Arial"/>
        </w:rPr>
        <w:t xml:space="preserve"> 20339</w:t>
      </w:r>
      <w:r w:rsidRPr="005C59DC">
        <w:rPr>
          <w:rFonts w:cs="Arial"/>
          <w:snapToGrid w:val="0"/>
        </w:rPr>
        <w:t>.</w:t>
      </w:r>
    </w:p>
    <w:p w14:paraId="37EF169C" w14:textId="77777777" w:rsidR="00370438" w:rsidRPr="00085415" w:rsidRDefault="00370438" w:rsidP="00370438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FF45B7">
        <w:rPr>
          <w:b/>
          <w:bCs/>
        </w:rPr>
        <w:t>dozor</w:t>
      </w:r>
      <w:r w:rsidR="09B503B2" w:rsidRPr="00FF45B7">
        <w:rPr>
          <w:b/>
          <w:bCs/>
        </w:rPr>
        <w:t>u</w:t>
      </w:r>
      <w:r w:rsidR="004E62D6" w:rsidRPr="00FF45B7">
        <w:rPr>
          <w:b/>
          <w:bCs/>
        </w:rPr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3EDD95A8" w:rsidR="009B22A4" w:rsidRPr="003E4EA2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E4EA2">
        <w:t>Zhotovitel se zavazuje, že provede pro objednatele dozor</w:t>
      </w:r>
      <w:r w:rsidR="004E62D6" w:rsidRPr="003E4EA2">
        <w:t xml:space="preserve"> projektanta</w:t>
      </w:r>
      <w:r w:rsidRPr="003E4EA2">
        <w:t xml:space="preserve"> při realizaci </w:t>
      </w:r>
      <w:r w:rsidR="009B7D85">
        <w:t>děl</w:t>
      </w:r>
      <w:r w:rsidRPr="003E4EA2">
        <w:t>:</w:t>
      </w:r>
    </w:p>
    <w:p w14:paraId="1434A70C" w14:textId="6F74F8D3" w:rsidR="009B22A4" w:rsidRPr="003E4EA2" w:rsidRDefault="00911160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3E4EA2">
        <w:rPr>
          <w:rStyle w:val="l-L2Char"/>
          <w:rFonts w:cs="Arial"/>
          <w:szCs w:val="22"/>
        </w:rPr>
        <w:t xml:space="preserve">Název </w:t>
      </w:r>
      <w:r w:rsidR="005003F9" w:rsidRPr="003E4EA2">
        <w:rPr>
          <w:rStyle w:val="l-L2Char"/>
          <w:rFonts w:cs="Arial"/>
          <w:szCs w:val="22"/>
        </w:rPr>
        <w:t xml:space="preserve">a popis </w:t>
      </w:r>
      <w:r w:rsidR="009B7D85">
        <w:rPr>
          <w:rStyle w:val="l-L2Char"/>
          <w:rFonts w:cs="Arial"/>
          <w:szCs w:val="22"/>
        </w:rPr>
        <w:t>díla</w:t>
      </w:r>
      <w:r w:rsidR="005003F9" w:rsidRPr="003E4EA2">
        <w:rPr>
          <w:rStyle w:val="l-L2Char"/>
          <w:rFonts w:cs="Arial"/>
          <w:szCs w:val="22"/>
        </w:rPr>
        <w:t>:</w:t>
      </w:r>
    </w:p>
    <w:p w14:paraId="7A35D844" w14:textId="77777777" w:rsidR="009B7D85" w:rsidRDefault="009B7D85" w:rsidP="009B7D85">
      <w:pPr>
        <w:spacing w:before="0" w:after="200"/>
        <w:ind w:left="720"/>
        <w:jc w:val="both"/>
        <w:rPr>
          <w:rFonts w:eastAsia="Calibri"/>
          <w:b/>
          <w:bCs/>
          <w:iCs/>
          <w:szCs w:val="22"/>
          <w:lang w:eastAsia="en-US"/>
        </w:rPr>
      </w:pPr>
      <w:bookmarkStart w:id="2" w:name="_Hlk223342765"/>
      <w:r w:rsidRPr="009B7D85">
        <w:rPr>
          <w:rFonts w:eastAsia="Calibri"/>
          <w:b/>
          <w:bCs/>
          <w:iCs/>
          <w:szCs w:val="22"/>
          <w:lang w:eastAsia="en-US"/>
        </w:rPr>
        <w:t>LBC u Netřebic - řešené parcely KN 351, 465 k.ú. Rašovice u Nymburka</w:t>
      </w:r>
    </w:p>
    <w:p w14:paraId="7EB6B02C" w14:textId="77777777" w:rsidR="009B7D85" w:rsidRPr="009B7D85" w:rsidRDefault="009B7D85" w:rsidP="009B7D85">
      <w:pPr>
        <w:spacing w:before="0" w:after="200" w:line="240" w:lineRule="auto"/>
        <w:ind w:left="720"/>
        <w:jc w:val="both"/>
        <w:rPr>
          <w:rFonts w:eastAsia="Calibri" w:cs="Arial"/>
          <w:b/>
          <w:bCs/>
          <w:szCs w:val="22"/>
          <w:lang w:eastAsia="en-US"/>
        </w:rPr>
      </w:pPr>
      <w:r w:rsidRPr="009B7D85">
        <w:rPr>
          <w:rFonts w:eastAsia="Calibri" w:cs="Arial"/>
          <w:b/>
          <w:bCs/>
          <w:szCs w:val="22"/>
          <w:lang w:eastAsia="en-US"/>
        </w:rPr>
        <w:t>IP9 s funkcí větrolamu – řešená parcela KN 325 k.ú Rašovice u Nymburka</w:t>
      </w:r>
    </w:p>
    <w:p w14:paraId="41917169" w14:textId="77F93703" w:rsidR="009B7D85" w:rsidRPr="009B7D85" w:rsidRDefault="009B7D85" w:rsidP="009B7D85">
      <w:pPr>
        <w:spacing w:before="0" w:after="200" w:line="240" w:lineRule="auto"/>
        <w:ind w:left="720"/>
        <w:jc w:val="both"/>
        <w:rPr>
          <w:rFonts w:eastAsia="Calibri" w:cs="Arial"/>
          <w:b/>
          <w:bCs/>
          <w:szCs w:val="22"/>
          <w:lang w:eastAsia="en-US"/>
        </w:rPr>
      </w:pPr>
      <w:r w:rsidRPr="009B7D85">
        <w:rPr>
          <w:rFonts w:eastAsia="Calibri" w:cs="Arial"/>
          <w:b/>
          <w:bCs/>
          <w:szCs w:val="22"/>
          <w:lang w:eastAsia="en-US"/>
        </w:rPr>
        <w:t>IP7 – řešené parcely KN 3</w:t>
      </w:r>
      <w:r w:rsidR="005661F5">
        <w:rPr>
          <w:rFonts w:eastAsia="Calibri" w:cs="Arial"/>
          <w:b/>
          <w:bCs/>
          <w:szCs w:val="22"/>
          <w:lang w:eastAsia="en-US"/>
        </w:rPr>
        <w:t>8</w:t>
      </w:r>
      <w:r w:rsidRPr="009B7D85">
        <w:rPr>
          <w:rFonts w:eastAsia="Calibri" w:cs="Arial"/>
          <w:b/>
          <w:bCs/>
          <w:szCs w:val="22"/>
          <w:lang w:eastAsia="en-US"/>
        </w:rPr>
        <w:t>6, 451 a 4</w:t>
      </w:r>
      <w:r w:rsidR="005661F5">
        <w:rPr>
          <w:rFonts w:eastAsia="Calibri" w:cs="Arial"/>
          <w:b/>
          <w:bCs/>
          <w:szCs w:val="22"/>
          <w:lang w:eastAsia="en-US"/>
        </w:rPr>
        <w:t>4</w:t>
      </w:r>
      <w:r w:rsidRPr="009B7D85">
        <w:rPr>
          <w:rFonts w:eastAsia="Calibri" w:cs="Arial"/>
          <w:b/>
          <w:bCs/>
          <w:szCs w:val="22"/>
          <w:lang w:eastAsia="en-US"/>
        </w:rPr>
        <w:t>5 k.ú. Rašovice u Nymburka</w:t>
      </w:r>
    </w:p>
    <w:p w14:paraId="03B89281" w14:textId="7CFF360E" w:rsidR="009B7D85" w:rsidRPr="009B7D85" w:rsidRDefault="009B7D85" w:rsidP="009B7D85">
      <w:pPr>
        <w:spacing w:before="0" w:after="200" w:line="240" w:lineRule="auto"/>
        <w:ind w:left="720"/>
        <w:jc w:val="both"/>
        <w:rPr>
          <w:rFonts w:eastAsia="Calibri" w:cs="Arial"/>
          <w:b/>
          <w:bCs/>
          <w:szCs w:val="22"/>
          <w:lang w:eastAsia="en-US"/>
        </w:rPr>
      </w:pPr>
      <w:r w:rsidRPr="009B7D85">
        <w:rPr>
          <w:rFonts w:eastAsia="Calibri" w:cs="Arial"/>
          <w:b/>
          <w:bCs/>
          <w:szCs w:val="22"/>
          <w:lang w:eastAsia="en-US"/>
        </w:rPr>
        <w:t xml:space="preserve">KZ1 -  řešená parcela </w:t>
      </w:r>
      <w:r w:rsidR="005661F5">
        <w:rPr>
          <w:rFonts w:eastAsia="Calibri" w:cs="Arial"/>
          <w:b/>
          <w:bCs/>
          <w:szCs w:val="22"/>
          <w:lang w:eastAsia="en-US"/>
        </w:rPr>
        <w:t>713</w:t>
      </w:r>
      <w:r w:rsidRPr="009B7D85">
        <w:rPr>
          <w:rFonts w:eastAsia="Calibri" w:cs="Arial"/>
          <w:b/>
          <w:bCs/>
          <w:szCs w:val="22"/>
          <w:lang w:eastAsia="en-US"/>
        </w:rPr>
        <w:t xml:space="preserve"> k.ú. Chleby</w:t>
      </w:r>
    </w:p>
    <w:p w14:paraId="5AD90BAB" w14:textId="1BAD44C8" w:rsidR="009B7D85" w:rsidRPr="009B7D85" w:rsidRDefault="009B7D85" w:rsidP="009B7D85">
      <w:pPr>
        <w:spacing w:before="0" w:after="200" w:line="240" w:lineRule="auto"/>
        <w:ind w:left="720"/>
        <w:jc w:val="both"/>
        <w:rPr>
          <w:rFonts w:eastAsia="Calibri" w:cs="Arial"/>
          <w:b/>
          <w:bCs/>
          <w:szCs w:val="22"/>
          <w:lang w:eastAsia="en-US"/>
        </w:rPr>
      </w:pPr>
      <w:r w:rsidRPr="009B7D85">
        <w:rPr>
          <w:rFonts w:eastAsia="Calibri" w:cs="Arial"/>
          <w:b/>
          <w:bCs/>
          <w:szCs w:val="22"/>
          <w:lang w:eastAsia="en-US"/>
        </w:rPr>
        <w:t>KZ2 - řešená parcela KN 3</w:t>
      </w:r>
      <w:r w:rsidR="005661F5">
        <w:rPr>
          <w:rFonts w:eastAsia="Calibri" w:cs="Arial"/>
          <w:b/>
          <w:bCs/>
          <w:szCs w:val="22"/>
          <w:lang w:eastAsia="en-US"/>
        </w:rPr>
        <w:t>80</w:t>
      </w:r>
      <w:r w:rsidRPr="009B7D85">
        <w:rPr>
          <w:rFonts w:eastAsia="Calibri" w:cs="Arial"/>
          <w:b/>
          <w:bCs/>
          <w:szCs w:val="22"/>
          <w:lang w:eastAsia="en-US"/>
        </w:rPr>
        <w:t xml:space="preserve"> k.ú Rašovice u Nymburka</w:t>
      </w:r>
    </w:p>
    <w:bookmarkEnd w:id="2"/>
    <w:p w14:paraId="3E00805D" w14:textId="77777777" w:rsidR="005661F5" w:rsidRDefault="005661F5" w:rsidP="009B7D85">
      <w:pPr>
        <w:spacing w:before="0" w:line="240" w:lineRule="auto"/>
        <w:ind w:left="709"/>
        <w:jc w:val="both"/>
        <w:rPr>
          <w:rFonts w:cs="Arial"/>
          <w:szCs w:val="22"/>
        </w:rPr>
      </w:pPr>
    </w:p>
    <w:p w14:paraId="53A190C9" w14:textId="52FFF2A0" w:rsidR="009B7D85" w:rsidRPr="009B7D85" w:rsidRDefault="009B7D85" w:rsidP="009B7D85">
      <w:pPr>
        <w:spacing w:before="0" w:line="240" w:lineRule="auto"/>
        <w:ind w:left="709"/>
        <w:jc w:val="both"/>
        <w:rPr>
          <w:rFonts w:cs="Arial"/>
          <w:szCs w:val="22"/>
        </w:rPr>
      </w:pPr>
      <w:r w:rsidRPr="009B7D85">
        <w:rPr>
          <w:rFonts w:cs="Arial"/>
          <w:szCs w:val="22"/>
        </w:rPr>
        <w:t>Na parcelách 451, 4</w:t>
      </w:r>
      <w:r w:rsidR="0097791A">
        <w:rPr>
          <w:rFonts w:cs="Arial"/>
          <w:szCs w:val="22"/>
        </w:rPr>
        <w:t>4</w:t>
      </w:r>
      <w:r w:rsidRPr="009B7D85">
        <w:rPr>
          <w:rFonts w:cs="Arial"/>
          <w:szCs w:val="22"/>
        </w:rPr>
        <w:t xml:space="preserve">5 a 465 k.ú. Rašovice u Nymburka bude navrženo zatravnění vhodnou směsí pro umožnění přístupu a pojezdu obslužné techniky. </w:t>
      </w:r>
    </w:p>
    <w:p w14:paraId="28F9E596" w14:textId="6AAC059F" w:rsidR="00911160" w:rsidRPr="0027347A" w:rsidRDefault="00911160" w:rsidP="009B22A4">
      <w:pPr>
        <w:pStyle w:val="l-L2"/>
        <w:ind w:left="357"/>
        <w:rPr>
          <w:rStyle w:val="l-L2Char"/>
        </w:rPr>
      </w:pPr>
      <w:r w:rsidRPr="003E4EA2">
        <w:rPr>
          <w:rStyle w:val="l-L2Char"/>
          <w:rFonts w:cs="Arial"/>
          <w:szCs w:val="22"/>
        </w:rPr>
        <w:t>(dále jen „stavba</w:t>
      </w:r>
      <w:r w:rsidRPr="0027347A">
        <w:rPr>
          <w:rStyle w:val="l-L2Char"/>
          <w:rFonts w:cs="Arial"/>
          <w:szCs w:val="22"/>
        </w:rPr>
        <w:t>“).</w:t>
      </w:r>
    </w:p>
    <w:p w14:paraId="7A42F393" w14:textId="77777777" w:rsidR="00397219" w:rsidRPr="0027347A" w:rsidRDefault="00397219" w:rsidP="00987BFF">
      <w:pPr>
        <w:pStyle w:val="l-L2"/>
        <w:rPr>
          <w:rStyle w:val="l-L2Char"/>
        </w:rPr>
      </w:pPr>
    </w:p>
    <w:p w14:paraId="41B2CF88" w14:textId="6A40D70F" w:rsidR="00531C6F" w:rsidRPr="0027347A" w:rsidRDefault="00B83F26" w:rsidP="00987BFF">
      <w:pPr>
        <w:pStyle w:val="l-L1"/>
      </w:pPr>
      <w:r w:rsidRPr="0027347A">
        <w:t>Specifikace díla</w:t>
      </w:r>
    </w:p>
    <w:p w14:paraId="6DC07CF4" w14:textId="3C7F921B" w:rsidR="00B83F26" w:rsidRPr="00654BF5" w:rsidRDefault="00B83F26" w:rsidP="00A30016">
      <w:pPr>
        <w:pStyle w:val="l-L2"/>
        <w:numPr>
          <w:ilvl w:val="0"/>
          <w:numId w:val="13"/>
        </w:numPr>
      </w:pPr>
      <w:r w:rsidRPr="0027347A">
        <w:t xml:space="preserve">Výkonem dozoru </w:t>
      </w:r>
      <w:r w:rsidR="004E62D6" w:rsidRPr="0027347A">
        <w:t xml:space="preserve">projektanta </w:t>
      </w:r>
      <w:r w:rsidRPr="0027347A">
        <w:t xml:space="preserve">se zabezpečuje dodržování základních parametrů díla v souladu se </w:t>
      </w:r>
      <w:r w:rsidR="00BE6B7F" w:rsidRPr="0027347A">
        <w:t>schválenou dokumentací</w:t>
      </w:r>
      <w:r w:rsidR="00BE6B7F">
        <w:t xml:space="preserve"> pro provádění </w:t>
      </w:r>
      <w:r w:rsidR="009B7D85">
        <w:t>díla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2CAD856D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dohlíží na soulad </w:t>
      </w:r>
      <w:r w:rsidR="00A26EBA">
        <w:t>realizovaného díla</w:t>
      </w:r>
      <w:r w:rsidRPr="00F32916">
        <w:t xml:space="preserve"> s projektovou dokumentací,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</w:t>
      </w:r>
    </w:p>
    <w:p w14:paraId="34CBD067" w14:textId="68B6DABE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 xml:space="preserve">sleduje postup </w:t>
      </w:r>
      <w:r w:rsidR="00A26EBA">
        <w:t>realizace</w:t>
      </w:r>
      <w:r w:rsidRPr="00F32916">
        <w:t xml:space="preserve"> z technického hlediska a z hlediska časového plánu </w:t>
      </w:r>
      <w:r w:rsidR="00A26EBA">
        <w:t>realizace</w:t>
      </w:r>
    </w:p>
    <w:p w14:paraId="0A06C75A" w14:textId="637578F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bezodkladně na výzvu objednatele či zhotovitele </w:t>
      </w:r>
      <w:r w:rsidR="00EF1A5F" w:rsidRPr="00F32916">
        <w:t>kontrolních dnů</w:t>
      </w:r>
    </w:p>
    <w:p w14:paraId="411A898F" w14:textId="69F7D94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podává nutná vysvětlení k dokumentaci stavby, která je podkladem pro výkon </w:t>
      </w:r>
      <w:r w:rsidR="00A26EBA">
        <w:t>dozoru projektanta</w:t>
      </w:r>
      <w:r w:rsidRPr="00F32916">
        <w:t xml:space="preserve">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lastRenderedPageBreak/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26D0CA3D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="00A26EBA">
        <w:t>díla</w:t>
      </w:r>
      <w:r w:rsidRPr="00F32916">
        <w:t>,</w:t>
      </w:r>
      <w:r w:rsidR="00EF1A5F" w:rsidRPr="00F32916">
        <w:t xml:space="preserve"> koordinátor bezpečnosti práce</w:t>
      </w:r>
      <w:r w:rsidRPr="00F32916">
        <w:t xml:space="preserve">) při operativním řešení problémů vzniklých </w:t>
      </w:r>
      <w:r w:rsidR="00A26EBA">
        <w:t>při realizaci díla</w:t>
      </w:r>
      <w:r w:rsidRPr="00F32916">
        <w:t>,</w:t>
      </w:r>
    </w:p>
    <w:p w14:paraId="4AE0A441" w14:textId="48900D4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</w:t>
      </w:r>
      <w:r w:rsidR="00A26EBA">
        <w:t>dílo</w:t>
      </w:r>
      <w:r w:rsidRPr="00F32916">
        <w:t xml:space="preserve">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2C6F7083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aktivně se zúčastní přebírání </w:t>
      </w:r>
      <w:r w:rsidR="00A26EBA">
        <w:t>díla</w:t>
      </w:r>
      <w:r w:rsidRPr="00F32916">
        <w:t xml:space="preserve">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</w:t>
      </w:r>
      <w:r w:rsidR="00A26EBA">
        <w:t>díla</w:t>
      </w:r>
      <w:r w:rsidRPr="00F32916">
        <w:t xml:space="preserve"> objednatelem, přičemž aktivní účastí se rozumí kompletní samostatná prohlídka zhotovované</w:t>
      </w:r>
      <w:r w:rsidR="00A26EBA">
        <w:t>ho</w:t>
      </w:r>
      <w:r w:rsidRPr="00F32916">
        <w:t xml:space="preserve"> </w:t>
      </w:r>
      <w:r w:rsidR="00A26EBA">
        <w:t>díla</w:t>
      </w:r>
      <w:r w:rsidRPr="00F32916">
        <w:t xml:space="preserve">, upozorňování na vady a nedodělky </w:t>
      </w:r>
      <w:r w:rsidR="00A26EBA">
        <w:t>díla</w:t>
      </w:r>
      <w:r w:rsidRPr="00F32916">
        <w:t>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4A3C0FDB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závad,</w:t>
      </w:r>
    </w:p>
    <w:p w14:paraId="030A12F1" w14:textId="6134727D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po dokončení stavby zhotovitel vyhotoví zprávu o souladu </w:t>
      </w:r>
      <w:r w:rsidR="00107DBA">
        <w:t>realizovaného díla</w:t>
      </w:r>
      <w:r w:rsidRPr="00F32916">
        <w:t xml:space="preserve"> s 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3" w:name="_Hlk16163141"/>
    </w:p>
    <w:p w14:paraId="30F26FC7" w14:textId="397BC506" w:rsidR="007F7A37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FF45B7">
        <w:t xml:space="preserve">rámci </w:t>
      </w:r>
      <w:r w:rsidR="007F7A37">
        <w:t xml:space="preserve">výběrového </w:t>
      </w:r>
      <w:r w:rsidR="00FF45B7">
        <w:rPr>
          <w:i/>
          <w:iCs/>
        </w:rPr>
        <w:t xml:space="preserve"> </w:t>
      </w:r>
      <w:r w:rsidRPr="00FF45B7">
        <w:t>řízení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</w:t>
      </w:r>
      <w:r w:rsidR="00107DBA">
        <w:t>díla</w:t>
      </w:r>
      <w:r w:rsidR="007F7A37">
        <w:t>:</w:t>
      </w:r>
    </w:p>
    <w:p w14:paraId="25F15402" w14:textId="77777777" w:rsidR="005661F5" w:rsidRDefault="005661F5" w:rsidP="005661F5">
      <w:pPr>
        <w:pStyle w:val="l-L2"/>
        <w:ind w:left="360"/>
      </w:pPr>
    </w:p>
    <w:p w14:paraId="52931653" w14:textId="77777777" w:rsidR="005661F5" w:rsidRPr="005661F5" w:rsidRDefault="005661F5" w:rsidP="005661F5">
      <w:pPr>
        <w:pStyle w:val="l-L2"/>
        <w:tabs>
          <w:tab w:val="left" w:pos="851"/>
          <w:tab w:val="left" w:pos="2268"/>
        </w:tabs>
        <w:ind w:left="1080"/>
        <w:rPr>
          <w:rFonts w:eastAsia="Calibri"/>
          <w:b/>
          <w:bCs/>
          <w:iCs/>
          <w:szCs w:val="22"/>
          <w:lang w:eastAsia="en-US"/>
        </w:rPr>
      </w:pPr>
      <w:r w:rsidRPr="005661F5">
        <w:rPr>
          <w:rFonts w:eastAsia="Calibri"/>
          <w:b/>
          <w:bCs/>
          <w:iCs/>
          <w:szCs w:val="22"/>
          <w:lang w:eastAsia="en-US"/>
        </w:rPr>
        <w:t>LBC u Netřebic - řešené parcely KN 351, 465 k.ú. Rašovice u Nymburka</w:t>
      </w:r>
    </w:p>
    <w:p w14:paraId="6FCC57F3" w14:textId="77777777" w:rsidR="005661F5" w:rsidRPr="005661F5" w:rsidRDefault="005661F5" w:rsidP="005661F5">
      <w:pPr>
        <w:pStyle w:val="l-L2"/>
        <w:tabs>
          <w:tab w:val="left" w:pos="851"/>
          <w:tab w:val="left" w:pos="2268"/>
        </w:tabs>
        <w:ind w:left="1080"/>
        <w:rPr>
          <w:rFonts w:eastAsia="Calibri"/>
          <w:b/>
          <w:bCs/>
          <w:iCs/>
          <w:szCs w:val="22"/>
          <w:lang w:eastAsia="en-US"/>
        </w:rPr>
      </w:pPr>
      <w:r w:rsidRPr="005661F5">
        <w:rPr>
          <w:rFonts w:eastAsia="Calibri"/>
          <w:b/>
          <w:bCs/>
          <w:iCs/>
          <w:szCs w:val="22"/>
          <w:lang w:eastAsia="en-US"/>
        </w:rPr>
        <w:t>IP9 s funkcí větrolamu – řešená parcela KN 325 k.ú Rašovice u Nymburka</w:t>
      </w:r>
    </w:p>
    <w:p w14:paraId="0D56F167" w14:textId="77777777" w:rsidR="005661F5" w:rsidRPr="005661F5" w:rsidRDefault="005661F5" w:rsidP="005661F5">
      <w:pPr>
        <w:pStyle w:val="l-L2"/>
        <w:tabs>
          <w:tab w:val="left" w:pos="851"/>
          <w:tab w:val="left" w:pos="2268"/>
        </w:tabs>
        <w:ind w:left="1080"/>
        <w:rPr>
          <w:rFonts w:eastAsia="Calibri"/>
          <w:b/>
          <w:bCs/>
          <w:iCs/>
          <w:szCs w:val="22"/>
          <w:lang w:eastAsia="en-US"/>
        </w:rPr>
      </w:pPr>
      <w:r w:rsidRPr="005661F5">
        <w:rPr>
          <w:rFonts w:eastAsia="Calibri"/>
          <w:b/>
          <w:bCs/>
          <w:iCs/>
          <w:szCs w:val="22"/>
          <w:lang w:eastAsia="en-US"/>
        </w:rPr>
        <w:t>IP7 – řešené parcely KN 386, 451 a 445 k.ú. Rašovice u Nymburka</w:t>
      </w:r>
    </w:p>
    <w:p w14:paraId="5B77B417" w14:textId="77777777" w:rsidR="005661F5" w:rsidRPr="005661F5" w:rsidRDefault="005661F5" w:rsidP="005661F5">
      <w:pPr>
        <w:pStyle w:val="l-L2"/>
        <w:tabs>
          <w:tab w:val="left" w:pos="851"/>
          <w:tab w:val="left" w:pos="2268"/>
        </w:tabs>
        <w:ind w:left="1080"/>
        <w:rPr>
          <w:rFonts w:eastAsia="Calibri"/>
          <w:b/>
          <w:bCs/>
          <w:iCs/>
          <w:szCs w:val="22"/>
          <w:lang w:eastAsia="en-US"/>
        </w:rPr>
      </w:pPr>
      <w:r w:rsidRPr="005661F5">
        <w:rPr>
          <w:rFonts w:eastAsia="Calibri"/>
          <w:b/>
          <w:bCs/>
          <w:iCs/>
          <w:szCs w:val="22"/>
          <w:lang w:eastAsia="en-US"/>
        </w:rPr>
        <w:t>KZ1 -  řešená parcela 713 k.ú. Chleby</w:t>
      </w:r>
    </w:p>
    <w:p w14:paraId="01298F97" w14:textId="77777777" w:rsidR="005661F5" w:rsidRDefault="005661F5" w:rsidP="005661F5">
      <w:pPr>
        <w:pStyle w:val="l-L2"/>
        <w:tabs>
          <w:tab w:val="left" w:pos="851"/>
          <w:tab w:val="left" w:pos="2268"/>
        </w:tabs>
        <w:ind w:left="1080"/>
        <w:rPr>
          <w:rFonts w:eastAsia="Calibri"/>
          <w:b/>
          <w:bCs/>
          <w:iCs/>
          <w:szCs w:val="22"/>
          <w:lang w:eastAsia="en-US"/>
        </w:rPr>
      </w:pPr>
      <w:r w:rsidRPr="005661F5">
        <w:rPr>
          <w:rFonts w:eastAsia="Calibri"/>
          <w:b/>
          <w:bCs/>
          <w:iCs/>
          <w:szCs w:val="22"/>
          <w:lang w:eastAsia="en-US"/>
        </w:rPr>
        <w:t>KZ2 - řešená parcela KN 380 k.ú Rašovice u Nymburka</w:t>
      </w:r>
    </w:p>
    <w:p w14:paraId="7C485452" w14:textId="77777777" w:rsidR="005661F5" w:rsidRDefault="005661F5" w:rsidP="005661F5">
      <w:pPr>
        <w:pStyle w:val="l-L2"/>
        <w:tabs>
          <w:tab w:val="left" w:pos="851"/>
          <w:tab w:val="left" w:pos="2268"/>
        </w:tabs>
        <w:ind w:left="1080"/>
        <w:rPr>
          <w:rFonts w:eastAsia="Calibri"/>
          <w:b/>
          <w:bCs/>
          <w:iCs/>
          <w:szCs w:val="22"/>
          <w:lang w:eastAsia="en-US"/>
        </w:rPr>
      </w:pPr>
    </w:p>
    <w:p w14:paraId="5F732522" w14:textId="327637D2" w:rsidR="009C6A12" w:rsidRPr="009C6A12" w:rsidRDefault="002E2A05" w:rsidP="005661F5">
      <w:pPr>
        <w:pStyle w:val="l-L2"/>
        <w:tabs>
          <w:tab w:val="left" w:pos="851"/>
          <w:tab w:val="left" w:pos="2268"/>
        </w:tabs>
        <w:ind w:left="1080"/>
      </w:pPr>
      <w:r w:rsidRPr="00397219">
        <w:t>dle projektové dokumentace</w:t>
      </w:r>
      <w:r w:rsidR="00542A63" w:rsidRPr="00397219">
        <w:t>.</w:t>
      </w:r>
      <w:bookmarkEnd w:id="3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E782811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="00A32824">
        <w:t>předání a převzetí díla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</w:t>
      </w:r>
      <w:r w:rsidR="00A32824">
        <w:t xml:space="preserve">díla </w:t>
      </w:r>
      <w:r w:rsidR="00716FB1">
        <w:t xml:space="preserve">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1476547E" w:rsidR="00015DD0" w:rsidRDefault="00015DD0" w:rsidP="00A30016">
      <w:pPr>
        <w:pStyle w:val="l-L2"/>
        <w:numPr>
          <w:ilvl w:val="0"/>
          <w:numId w:val="11"/>
        </w:numPr>
      </w:pPr>
      <w:r w:rsidRPr="009C6A12">
        <w:t xml:space="preserve">Místem poskytování plnění bude především místo </w:t>
      </w:r>
      <w:r w:rsidR="00A32824">
        <w:t>realizace díla</w:t>
      </w:r>
      <w:r w:rsidRPr="009C6A12">
        <w:t xml:space="preserve">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10656C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4E1054">
        <w:rPr>
          <w:rFonts w:cs="Arial"/>
        </w:rPr>
        <w:t>zadávacím</w:t>
      </w:r>
      <w:r w:rsidR="5765A8C5" w:rsidRPr="004E1054">
        <w:rPr>
          <w:rFonts w:cs="Arial"/>
        </w:rPr>
        <w:t>/výběrovém</w:t>
      </w:r>
      <w:r w:rsidR="00653A09" w:rsidRPr="004E1054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</w:t>
      </w:r>
      <w:r w:rsidR="00A32824">
        <w:rPr>
          <w:rFonts w:cs="Arial"/>
        </w:rPr>
        <w:t>díla</w:t>
      </w:r>
      <w:r w:rsidR="00653A09" w:rsidRPr="5170DEB6">
        <w:rPr>
          <w:rFonts w:cs="Arial"/>
        </w:rPr>
        <w:t>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5FB1AE73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4E1054">
        <w:t xml:space="preserve">nejméně </w:t>
      </w:r>
      <w:r w:rsidR="00A32824">
        <w:t>5</w:t>
      </w:r>
      <w:r w:rsidR="004E1054" w:rsidRPr="004E1054">
        <w:t>00 000</w:t>
      </w:r>
      <w:r w:rsidR="00C76848">
        <w:t> </w:t>
      </w:r>
      <w:r w:rsidR="00E36A32" w:rsidRPr="00F16EEB">
        <w:t xml:space="preserve">Kč. </w:t>
      </w:r>
      <w:r w:rsidRPr="00F16EEB">
        <w:t xml:space="preserve">Zhotovitel se zavazuje, </w:t>
      </w:r>
      <w:r w:rsidRPr="00F16EEB">
        <w:lastRenderedPageBreak/>
        <w:t>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03CA10B5" w:rsidR="007C5C7F" w:rsidRDefault="00254993" w:rsidP="00A30016">
      <w:pPr>
        <w:pStyle w:val="l-L2"/>
        <w:numPr>
          <w:ilvl w:val="0"/>
          <w:numId w:val="6"/>
        </w:numPr>
      </w:pPr>
      <w:r w:rsidRPr="001B5403">
        <w:t>Objednatel se zavazuje zaplatit zhotoviteli za</w:t>
      </w:r>
      <w:r w:rsidR="002F28FF" w:rsidRPr="001B5403">
        <w:t xml:space="preserve"> řádné</w:t>
      </w:r>
      <w:r w:rsidRPr="001B5403">
        <w:t xml:space="preserve"> provedení díla cenu ve </w:t>
      </w:r>
      <w:r w:rsidR="007C5C7F" w:rsidRPr="001B5403">
        <w:t>výši</w:t>
      </w:r>
      <w:r w:rsidR="00924023" w:rsidRPr="001B5403">
        <w:t xml:space="preserve"> </w:t>
      </w:r>
      <w:r w:rsidR="00874B67" w:rsidRPr="00874B67">
        <w:rPr>
          <w:b/>
          <w:bCs/>
        </w:rPr>
        <w:t xml:space="preserve">70 000,- </w:t>
      </w:r>
      <w:r w:rsidR="007C5C7F" w:rsidRPr="00874B67">
        <w:rPr>
          <w:b/>
          <w:bCs/>
        </w:rPr>
        <w:t>Kč</w:t>
      </w:r>
      <w:r w:rsidR="007C5C7F" w:rsidRPr="001B5403">
        <w:t xml:space="preserve"> bez</w:t>
      </w:r>
      <w:r w:rsidR="002973F2" w:rsidRPr="001B5403">
        <w:t> </w:t>
      </w:r>
      <w:r w:rsidR="007C5C7F" w:rsidRPr="001B5403">
        <w:t>DP</w:t>
      </w:r>
      <w:r w:rsidR="00761ABA" w:rsidRPr="001B5403">
        <w:t>H</w:t>
      </w:r>
      <w:r w:rsidR="007C5C7F" w:rsidRPr="001B5403">
        <w:t xml:space="preserve"> (slovy:</w:t>
      </w:r>
      <w:r w:rsidR="008E5BF1" w:rsidRPr="001B5403">
        <w:t xml:space="preserve"> </w:t>
      </w:r>
      <w:r w:rsidR="00874B67">
        <w:t>sedmdesáttisíc</w:t>
      </w:r>
      <w:r w:rsidR="008E5BF1" w:rsidRPr="001B5403">
        <w:t xml:space="preserve"> </w:t>
      </w:r>
      <w:r w:rsidR="005C23CD" w:rsidRPr="001B5403">
        <w:t>korun</w:t>
      </w:r>
      <w:r w:rsidR="00CE7F49" w:rsidRPr="001B5403">
        <w:t xml:space="preserve"> </w:t>
      </w:r>
      <w:r w:rsidR="005C23CD" w:rsidRPr="001B5403">
        <w:t>českých</w:t>
      </w:r>
      <w:r w:rsidR="007C5C7F" w:rsidRPr="001B5403">
        <w:t>).</w:t>
      </w:r>
      <w:r w:rsidR="008E5BF1" w:rsidRPr="001B5403">
        <w:t xml:space="preserve"> </w:t>
      </w:r>
      <w:r w:rsidR="007C5C7F" w:rsidRPr="001B5403">
        <w:t xml:space="preserve">Výše </w:t>
      </w:r>
      <w:r w:rsidRPr="001B5403">
        <w:t>ceny</w:t>
      </w:r>
      <w:r w:rsidR="007C5C7F" w:rsidRPr="001B5403">
        <w:t xml:space="preserve"> byla stanovena dohodou smluvních stran na základě nabídky </w:t>
      </w:r>
      <w:r w:rsidR="002C491C" w:rsidRPr="001B5403">
        <w:t xml:space="preserve">zhotovitele </w:t>
      </w:r>
      <w:r w:rsidR="007C5C7F" w:rsidRPr="001B5403">
        <w:t>ze dne</w:t>
      </w:r>
      <w:r w:rsidR="008E5BF1" w:rsidRPr="001B5403">
        <w:t xml:space="preserve"> </w:t>
      </w:r>
      <w:r w:rsidR="00874B67">
        <w:t>16.3.2026</w:t>
      </w:r>
      <w:r w:rsidR="00815F47" w:rsidRPr="001B5403">
        <w:t>.</w:t>
      </w:r>
      <w:r w:rsidR="007C5C7F" w:rsidRPr="001B5403">
        <w:t xml:space="preserve"> Tato </w:t>
      </w:r>
      <w:r w:rsidRPr="001B5403">
        <w:t>cena</w:t>
      </w:r>
      <w:r w:rsidR="007C5C7F" w:rsidRPr="001B5403">
        <w:t xml:space="preserve"> je</w:t>
      </w:r>
      <w:r w:rsidR="00A22E65" w:rsidRPr="001B5403">
        <w:t xml:space="preserve"> konečná</w:t>
      </w:r>
      <w:r w:rsidR="007C5C7F" w:rsidRPr="001B5403">
        <w:t xml:space="preserve">. </w:t>
      </w:r>
      <w:r w:rsidR="00063376" w:rsidRPr="001B5403">
        <w:t>V ceně jsou zahrnuty veškeré náklady poskytovatele související s</w:t>
      </w:r>
      <w:r w:rsidR="005F186C" w:rsidRPr="001B5403">
        <w:t> </w:t>
      </w:r>
      <w:r w:rsidR="00063376" w:rsidRPr="001B5403">
        <w:t>komplexním zajištěním celého předmětu smlouvy</w:t>
      </w:r>
      <w:r w:rsidR="002233D7" w:rsidRPr="001B5403">
        <w:t>.</w:t>
      </w:r>
      <w:r w:rsidR="005F186C" w:rsidRPr="001B5403">
        <w:t xml:space="preserve"> </w:t>
      </w:r>
      <w:r w:rsidR="005C23CD" w:rsidRPr="001B5403">
        <w:t>Zhotovitel je plátcem DPH, která bude účtována podle předpisů platných v době účtování.</w:t>
      </w:r>
      <w:r w:rsidR="005F186C" w:rsidRPr="001B5403">
        <w:t xml:space="preserve"> </w:t>
      </w:r>
      <w:r w:rsidR="007C5C7F" w:rsidRPr="001B5403">
        <w:t xml:space="preserve">Výši celkové ceny </w:t>
      </w:r>
      <w:r w:rsidRPr="001B5403">
        <w:t>díla</w:t>
      </w:r>
      <w:r w:rsidR="007C5C7F" w:rsidRPr="001B5403">
        <w:t xml:space="preserve"> je možné změnit, dojde-li ke změně sazby DPH.</w:t>
      </w:r>
      <w:r w:rsidR="007214D7" w:rsidRPr="001B5403">
        <w:t xml:space="preserve"> Celkovou cenu lze také změnit v souladu se ZZVZ a s ohledem na změnu termínu </w:t>
      </w:r>
      <w:bookmarkStart w:id="4" w:name="_Hlk223348472"/>
      <w:r w:rsidR="007214D7" w:rsidRPr="001B5403">
        <w:t>plnění.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701"/>
        <w:gridCol w:w="1843"/>
        <w:gridCol w:w="2546"/>
      </w:tblGrid>
      <w:tr w:rsidR="00351E0C" w:rsidRPr="00874B67" w14:paraId="1965CF96" w14:textId="77777777" w:rsidTr="00874B67">
        <w:trPr>
          <w:jc w:val="center"/>
        </w:trPr>
        <w:tc>
          <w:tcPr>
            <w:tcW w:w="2972" w:type="dxa"/>
          </w:tcPr>
          <w:p w14:paraId="205600FA" w14:textId="265BC19C" w:rsidR="00351E0C" w:rsidRPr="00874B67" w:rsidRDefault="00351E0C" w:rsidP="00351E0C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Výkon DP při realizaci díla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70480C" w14:textId="4D054C08" w:rsidR="00351E0C" w:rsidRPr="00874B67" w:rsidRDefault="00351E0C" w:rsidP="00443425">
            <w:pPr>
              <w:spacing w:before="0" w:after="0"/>
              <w:contextualSpacing w:val="0"/>
              <w:jc w:val="center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 xml:space="preserve">Cena celkem </w:t>
            </w:r>
            <w:r w:rsidR="00874B67">
              <w:rPr>
                <w:rFonts w:cs="Arial"/>
                <w:b/>
                <w:bCs/>
                <w:sz w:val="20"/>
              </w:rPr>
              <w:t xml:space="preserve">v Kč </w:t>
            </w:r>
            <w:r w:rsidRPr="00874B67">
              <w:rPr>
                <w:rFonts w:cs="Arial"/>
                <w:b/>
                <w:bCs/>
                <w:sz w:val="20"/>
              </w:rPr>
              <w:t>bez DPH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488A3F0" w14:textId="3B3936FF" w:rsidR="00351E0C" w:rsidRPr="00874B67" w:rsidRDefault="00351E0C" w:rsidP="00443425">
            <w:pPr>
              <w:spacing w:before="0" w:after="0"/>
              <w:contextualSpacing w:val="0"/>
              <w:jc w:val="center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Samostatně DPH</w:t>
            </w:r>
            <w:r w:rsidR="00874B67">
              <w:rPr>
                <w:rFonts w:cs="Arial"/>
                <w:b/>
                <w:bCs/>
                <w:sz w:val="20"/>
              </w:rPr>
              <w:t xml:space="preserve"> v Kč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19061524" w14:textId="77D53334" w:rsidR="00351E0C" w:rsidRPr="00874B67" w:rsidRDefault="00351E0C" w:rsidP="00443425">
            <w:pPr>
              <w:spacing w:before="0" w:after="0"/>
              <w:contextualSpacing w:val="0"/>
              <w:jc w:val="center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 xml:space="preserve">Cena celkem </w:t>
            </w:r>
            <w:r w:rsidR="00874B67">
              <w:rPr>
                <w:rFonts w:cs="Arial"/>
                <w:b/>
                <w:bCs/>
                <w:sz w:val="20"/>
              </w:rPr>
              <w:t xml:space="preserve">v Kč </w:t>
            </w:r>
            <w:r w:rsidRPr="00874B67">
              <w:rPr>
                <w:rFonts w:cs="Arial"/>
                <w:b/>
                <w:bCs/>
                <w:sz w:val="20"/>
              </w:rPr>
              <w:t>včetně DPH</w:t>
            </w:r>
          </w:p>
        </w:tc>
      </w:tr>
      <w:tr w:rsidR="00351E0C" w:rsidRPr="00874B67" w14:paraId="550845D9" w14:textId="77777777" w:rsidTr="00874B67">
        <w:trPr>
          <w:jc w:val="center"/>
        </w:trPr>
        <w:tc>
          <w:tcPr>
            <w:tcW w:w="2972" w:type="dxa"/>
          </w:tcPr>
          <w:p w14:paraId="39A803D6" w14:textId="77777777" w:rsidR="00351E0C" w:rsidRPr="00874B67" w:rsidRDefault="00351E0C" w:rsidP="00351E0C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LBC u Netřebic,</w:t>
            </w:r>
          </w:p>
          <w:p w14:paraId="71D9683C" w14:textId="094BBD40" w:rsidR="00351E0C" w:rsidRPr="00874B67" w:rsidRDefault="00351E0C" w:rsidP="00351E0C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sz w:val="20"/>
              </w:rPr>
              <w:t xml:space="preserve"> DP při realizaci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C80AF39" w14:textId="5A32E376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10</w:t>
            </w:r>
            <w:r>
              <w:rPr>
                <w:rFonts w:cs="Arial"/>
                <w:sz w:val="20"/>
              </w:rPr>
              <w:t> </w:t>
            </w:r>
            <w:r w:rsidRPr="00874B67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>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FCEE710" w14:textId="2CB3F832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2 100,-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2F8323FC" w14:textId="3821A0B2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12 100,-</w:t>
            </w:r>
          </w:p>
        </w:tc>
      </w:tr>
      <w:tr w:rsidR="00351E0C" w:rsidRPr="00874B67" w14:paraId="50066D40" w14:textId="77777777" w:rsidTr="00874B67">
        <w:trPr>
          <w:jc w:val="center"/>
        </w:trPr>
        <w:tc>
          <w:tcPr>
            <w:tcW w:w="2972" w:type="dxa"/>
          </w:tcPr>
          <w:p w14:paraId="33E917F3" w14:textId="77777777" w:rsidR="00351E0C" w:rsidRPr="00874B67" w:rsidRDefault="00351E0C" w:rsidP="00351E0C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0489B73" w14:textId="34BEC9ED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C8039E8" w14:textId="71CADE49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840,- 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6E3A5CC9" w14:textId="38CA0D77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4 840,-</w:t>
            </w:r>
          </w:p>
        </w:tc>
      </w:tr>
      <w:tr w:rsidR="00874B67" w:rsidRPr="00874B67" w14:paraId="423F0191" w14:textId="77777777" w:rsidTr="00874B67">
        <w:trPr>
          <w:jc w:val="center"/>
        </w:trPr>
        <w:tc>
          <w:tcPr>
            <w:tcW w:w="2972" w:type="dxa"/>
          </w:tcPr>
          <w:p w14:paraId="219A0F30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E455D3C" w14:textId="1BA7E15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36169480" w14:textId="127CD798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840,- 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1B4BB3D7" w14:textId="5A67A7E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4 840,-</w:t>
            </w:r>
          </w:p>
        </w:tc>
      </w:tr>
      <w:tr w:rsidR="00874B67" w:rsidRPr="00874B67" w14:paraId="31F23A3C" w14:textId="77777777" w:rsidTr="00874B67">
        <w:trPr>
          <w:jc w:val="center"/>
        </w:trPr>
        <w:tc>
          <w:tcPr>
            <w:tcW w:w="2972" w:type="dxa"/>
          </w:tcPr>
          <w:p w14:paraId="062BF5F0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F86BEFE" w14:textId="55A11FE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F5A0910" w14:textId="21520311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840,- 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4C1A8F24" w14:textId="624C595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4 840,-</w:t>
            </w:r>
          </w:p>
        </w:tc>
      </w:tr>
      <w:tr w:rsidR="00351E0C" w:rsidRPr="00874B67" w14:paraId="744DD92E" w14:textId="77777777" w:rsidTr="00874B67">
        <w:trPr>
          <w:jc w:val="center"/>
        </w:trPr>
        <w:tc>
          <w:tcPr>
            <w:tcW w:w="2972" w:type="dxa"/>
          </w:tcPr>
          <w:p w14:paraId="34B0E7B0" w14:textId="3675E5CA" w:rsidR="00351E0C" w:rsidRPr="00874B67" w:rsidRDefault="00351E0C" w:rsidP="00351E0C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IP9 s funkcí větrolamu, DP při realizaci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1B52741" w14:textId="712D8D55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1DAF93B3" w14:textId="7359DEB1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1 050,-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73C1FE83" w14:textId="77C97600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6 050,-</w:t>
            </w:r>
          </w:p>
        </w:tc>
      </w:tr>
      <w:tr w:rsidR="00351E0C" w:rsidRPr="00874B67" w14:paraId="7D680791" w14:textId="77777777" w:rsidTr="00874B67">
        <w:trPr>
          <w:jc w:val="center"/>
        </w:trPr>
        <w:tc>
          <w:tcPr>
            <w:tcW w:w="2972" w:type="dxa"/>
          </w:tcPr>
          <w:p w14:paraId="4A0D1452" w14:textId="77777777" w:rsidR="00351E0C" w:rsidRPr="00874B67" w:rsidRDefault="00351E0C" w:rsidP="00351E0C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2D160F5" w14:textId="4A5C260B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58188AB" w14:textId="27EC9FBA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3564F717" w14:textId="428855D8" w:rsidR="00351E0C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bookmarkEnd w:id="4"/>
      <w:tr w:rsidR="00874B67" w:rsidRPr="00874B67" w14:paraId="5F3AF507" w14:textId="77777777" w:rsidTr="00874B67">
        <w:trPr>
          <w:jc w:val="center"/>
        </w:trPr>
        <w:tc>
          <w:tcPr>
            <w:tcW w:w="2972" w:type="dxa"/>
          </w:tcPr>
          <w:p w14:paraId="1AF73A31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802EAA" w14:textId="6AB236D8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58AE076" w14:textId="51EEFCF8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1BD1EB42" w14:textId="586BA3A3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47BD2AF4" w14:textId="77777777" w:rsidTr="00874B67">
        <w:trPr>
          <w:jc w:val="center"/>
        </w:trPr>
        <w:tc>
          <w:tcPr>
            <w:tcW w:w="2972" w:type="dxa"/>
          </w:tcPr>
          <w:p w14:paraId="73D6F444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865D608" w14:textId="54F9BED4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15D0B82A" w14:textId="1645276A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0335F323" w14:textId="34544502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1 210,-</w:t>
            </w:r>
          </w:p>
        </w:tc>
      </w:tr>
      <w:tr w:rsidR="00874B67" w:rsidRPr="00874B67" w14:paraId="46766965" w14:textId="77777777" w:rsidTr="00874B67">
        <w:trPr>
          <w:jc w:val="center"/>
        </w:trPr>
        <w:tc>
          <w:tcPr>
            <w:tcW w:w="2972" w:type="dxa"/>
          </w:tcPr>
          <w:p w14:paraId="308C2A68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Interakční prvek IP7</w:t>
            </w:r>
          </w:p>
          <w:p w14:paraId="3F25B70C" w14:textId="3B6F0108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realizaci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4EC2120" w14:textId="3EE7BB6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11BF9355" w14:textId="6B14ED5E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1 050,-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7D83DB06" w14:textId="2D517BC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6 050,-</w:t>
            </w:r>
          </w:p>
        </w:tc>
      </w:tr>
      <w:tr w:rsidR="00874B67" w:rsidRPr="00874B67" w14:paraId="1899A19A" w14:textId="77777777" w:rsidTr="00874B67">
        <w:trPr>
          <w:jc w:val="center"/>
        </w:trPr>
        <w:tc>
          <w:tcPr>
            <w:tcW w:w="2972" w:type="dxa"/>
          </w:tcPr>
          <w:p w14:paraId="3C1C4902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429B8E8" w14:textId="22E9A6C2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FA75453" w14:textId="78AF1D3E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015AEF44" w14:textId="7101B946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33CE599B" w14:textId="77777777" w:rsidTr="00874B67">
        <w:trPr>
          <w:jc w:val="center"/>
        </w:trPr>
        <w:tc>
          <w:tcPr>
            <w:tcW w:w="2972" w:type="dxa"/>
          </w:tcPr>
          <w:p w14:paraId="58D956A1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4DD40FC" w14:textId="6A2DA60B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712C149" w14:textId="7447D852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058E0123" w14:textId="0342CA50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6957955C" w14:textId="77777777" w:rsidTr="00874B67">
        <w:trPr>
          <w:jc w:val="center"/>
        </w:trPr>
        <w:tc>
          <w:tcPr>
            <w:tcW w:w="2972" w:type="dxa"/>
          </w:tcPr>
          <w:p w14:paraId="0E506A80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E126626" w14:textId="345810BE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2E59BBD" w14:textId="31870CE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1D949CFF" w14:textId="250726DB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1 210,-</w:t>
            </w:r>
          </w:p>
        </w:tc>
      </w:tr>
      <w:tr w:rsidR="00874B67" w:rsidRPr="00874B67" w14:paraId="466C5C87" w14:textId="77777777" w:rsidTr="00874B67">
        <w:trPr>
          <w:jc w:val="center"/>
        </w:trPr>
        <w:tc>
          <w:tcPr>
            <w:tcW w:w="2972" w:type="dxa"/>
          </w:tcPr>
          <w:p w14:paraId="3816BE8D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Krajinná zeleň KZ1</w:t>
            </w:r>
          </w:p>
          <w:p w14:paraId="6009E980" w14:textId="6EE1DB9F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realizaci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74FAFBC" w14:textId="5B721046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715B024" w14:textId="6EAFFFDD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1 470,-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26131DD6" w14:textId="786B925F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8 470,-</w:t>
            </w:r>
          </w:p>
        </w:tc>
      </w:tr>
      <w:tr w:rsidR="00874B67" w:rsidRPr="00874B67" w14:paraId="45DDEFFA" w14:textId="77777777" w:rsidTr="00874B67">
        <w:trPr>
          <w:jc w:val="center"/>
        </w:trPr>
        <w:tc>
          <w:tcPr>
            <w:tcW w:w="2972" w:type="dxa"/>
          </w:tcPr>
          <w:p w14:paraId="23878938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1A7E451" w14:textId="0C22F35A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0EEA907" w14:textId="2CCC82FD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630,-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1ED754D3" w14:textId="6A92949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3 630,-</w:t>
            </w:r>
          </w:p>
        </w:tc>
      </w:tr>
      <w:tr w:rsidR="00874B67" w:rsidRPr="00874B67" w14:paraId="4EC94C01" w14:textId="77777777" w:rsidTr="00874B67">
        <w:trPr>
          <w:jc w:val="center"/>
        </w:trPr>
        <w:tc>
          <w:tcPr>
            <w:tcW w:w="2972" w:type="dxa"/>
          </w:tcPr>
          <w:p w14:paraId="6E4C350A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C9BBE0F" w14:textId="505790D0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7DD74858" w14:textId="4A5B5A5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46FF64C2" w14:textId="2DA5D98E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7F46C178" w14:textId="77777777" w:rsidTr="00874B67">
        <w:trPr>
          <w:jc w:val="center"/>
        </w:trPr>
        <w:tc>
          <w:tcPr>
            <w:tcW w:w="2972" w:type="dxa"/>
          </w:tcPr>
          <w:p w14:paraId="1B75A0ED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AAB606B" w14:textId="4E97F28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B9EA4D0" w14:textId="36400BFF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4025A564" w14:textId="5218FF24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7E9CAF53" w14:textId="77777777" w:rsidTr="00874B67">
        <w:trPr>
          <w:jc w:val="center"/>
        </w:trPr>
        <w:tc>
          <w:tcPr>
            <w:tcW w:w="2972" w:type="dxa"/>
          </w:tcPr>
          <w:p w14:paraId="487A4D7C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Krajinná zeleň KZ2</w:t>
            </w:r>
          </w:p>
          <w:p w14:paraId="5879181F" w14:textId="799453DE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realizaci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89F3D19" w14:textId="01327645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FF7A7C5" w14:textId="1793976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1 470,-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6AEC198A" w14:textId="23CF1392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8 470,-</w:t>
            </w:r>
          </w:p>
        </w:tc>
      </w:tr>
      <w:tr w:rsidR="00874B67" w:rsidRPr="00874B67" w14:paraId="43391C45" w14:textId="77777777" w:rsidTr="00874B67">
        <w:trPr>
          <w:jc w:val="center"/>
        </w:trPr>
        <w:tc>
          <w:tcPr>
            <w:tcW w:w="2972" w:type="dxa"/>
          </w:tcPr>
          <w:p w14:paraId="138269C7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D20A5E7" w14:textId="62CC3723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388941A5" w14:textId="15F43A53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630,-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04A82FA9" w14:textId="26282ACB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3 630,-</w:t>
            </w:r>
          </w:p>
        </w:tc>
      </w:tr>
      <w:tr w:rsidR="00874B67" w:rsidRPr="00874B67" w14:paraId="4B4AD5AC" w14:textId="77777777" w:rsidTr="00874B67">
        <w:trPr>
          <w:jc w:val="center"/>
        </w:trPr>
        <w:tc>
          <w:tcPr>
            <w:tcW w:w="2972" w:type="dxa"/>
          </w:tcPr>
          <w:p w14:paraId="00FE4D8D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6F1BC77" w14:textId="5C5E6A2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72D7FB71" w14:textId="2D1B3A8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62D61E07" w14:textId="08A11727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5DD78C21" w14:textId="77777777" w:rsidTr="00874B67">
        <w:trPr>
          <w:jc w:val="center"/>
        </w:trPr>
        <w:tc>
          <w:tcPr>
            <w:tcW w:w="2972" w:type="dxa"/>
          </w:tcPr>
          <w:p w14:paraId="10F40D3D" w14:textId="77777777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sz w:val="20"/>
              </w:rPr>
            </w:pPr>
            <w:r w:rsidRPr="00874B67">
              <w:rPr>
                <w:rFonts w:cs="Arial"/>
                <w:sz w:val="20"/>
              </w:rPr>
              <w:t>DP při následné péči III rok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DACAA42" w14:textId="2701D8EF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40CA2A8" w14:textId="0CEC1149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420,-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53C8EA76" w14:textId="575FC36F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2 420,-</w:t>
            </w:r>
          </w:p>
        </w:tc>
      </w:tr>
      <w:tr w:rsidR="00874B67" w:rsidRPr="00874B67" w14:paraId="7ADE626D" w14:textId="77777777" w:rsidTr="00874B67">
        <w:trPr>
          <w:jc w:val="center"/>
        </w:trPr>
        <w:tc>
          <w:tcPr>
            <w:tcW w:w="2972" w:type="dxa"/>
          </w:tcPr>
          <w:p w14:paraId="7B0F2EB7" w14:textId="5AB8D43C" w:rsidR="00874B67" w:rsidRPr="00874B67" w:rsidRDefault="00874B67" w:rsidP="00874B67">
            <w:pPr>
              <w:spacing w:before="0" w:after="0"/>
              <w:contextualSpacing w:val="0"/>
              <w:jc w:val="both"/>
              <w:rPr>
                <w:rFonts w:cs="Arial"/>
                <w:b/>
                <w:bCs/>
                <w:sz w:val="20"/>
              </w:rPr>
            </w:pPr>
            <w:r w:rsidRPr="00874B6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0802B61" w14:textId="184F32FA" w:rsidR="00874B67" w:rsidRPr="00874B67" w:rsidRDefault="00874B67" w:rsidP="00443425">
            <w:pPr>
              <w:spacing w:before="0" w:after="0"/>
              <w:contextualSpacing w:val="0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70 000,-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00CD652" w14:textId="5E2D343E" w:rsidR="00874B67" w:rsidRPr="00874B67" w:rsidRDefault="00443425" w:rsidP="00443425">
            <w:pPr>
              <w:spacing w:before="0" w:after="0"/>
              <w:contextualSpacing w:val="0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14 700,-</w:t>
            </w:r>
          </w:p>
        </w:tc>
        <w:tc>
          <w:tcPr>
            <w:tcW w:w="2546" w:type="dxa"/>
            <w:tcMar>
              <w:left w:w="85" w:type="dxa"/>
              <w:right w:w="85" w:type="dxa"/>
            </w:tcMar>
          </w:tcPr>
          <w:p w14:paraId="2786D677" w14:textId="39031180" w:rsidR="00874B67" w:rsidRPr="00874B67" w:rsidRDefault="00443425" w:rsidP="00443425">
            <w:pPr>
              <w:spacing w:before="0" w:after="0"/>
              <w:contextualSpacing w:val="0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84 700,-</w:t>
            </w:r>
          </w:p>
        </w:tc>
      </w:tr>
    </w:tbl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752B1189" w:rsidR="003C6AA3" w:rsidRDefault="00701D8A" w:rsidP="00A30016">
      <w:pPr>
        <w:pStyle w:val="l-L2"/>
        <w:numPr>
          <w:ilvl w:val="0"/>
          <w:numId w:val="16"/>
        </w:numPr>
      </w:pPr>
      <w:r w:rsidRPr="00D91927">
        <w:t>Faktura bude vystavena po odstranění všech vad a</w:t>
      </w:r>
      <w:r w:rsidR="005A1F51">
        <w:t> </w:t>
      </w:r>
      <w:r w:rsidRPr="00D91927">
        <w:t>nedodělků zjištěných při předání a převzetí stavby</w:t>
      </w:r>
      <w:r w:rsidR="007C397F">
        <w:t>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lastRenderedPageBreak/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24F987F1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CC0B17">
        <w:t xml:space="preserve">, </w:t>
      </w:r>
      <w:r>
        <w:t>KPÚ pro</w:t>
      </w:r>
      <w:r w:rsidR="00CC0B17">
        <w:t xml:space="preserve"> </w:t>
      </w:r>
      <w:r w:rsidR="007C397F">
        <w:t>Středočeský kraj</w:t>
      </w:r>
      <w:r w:rsidR="0097791A">
        <w:t xml:space="preserve"> a hl. město Praha</w:t>
      </w:r>
      <w:r w:rsidR="00CC0B17">
        <w:t xml:space="preserve">, </w:t>
      </w:r>
      <w:r>
        <w:t>Pobočka</w:t>
      </w:r>
      <w:r w:rsidR="00CC0B17">
        <w:t xml:space="preserve"> </w:t>
      </w:r>
      <w:r w:rsidR="007C397F">
        <w:t>Nymburk</w:t>
      </w:r>
      <w:r w:rsidR="00CC0B17">
        <w:t xml:space="preserve">, </w:t>
      </w:r>
      <w:r w:rsidR="007C397F">
        <w:t>Soudní 17/3, 288 02 Nymburk</w:t>
      </w:r>
      <w:r w:rsidR="00CC0B17"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lastRenderedPageBreak/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50D12AB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1B5403" w:rsidRPr="001B5403">
        <w:rPr>
          <w:b/>
          <w:bCs/>
        </w:rPr>
        <w:t>31.12.20</w:t>
      </w:r>
      <w:r w:rsidR="007C397F">
        <w:rPr>
          <w:b/>
          <w:bCs/>
        </w:rPr>
        <w:t>36</w:t>
      </w:r>
      <w:r w:rsidR="001B5403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1B5403" w:rsidRDefault="00E64472" w:rsidP="00A30016">
      <w:pPr>
        <w:pStyle w:val="l-L2"/>
        <w:numPr>
          <w:ilvl w:val="0"/>
          <w:numId w:val="3"/>
        </w:numPr>
      </w:pPr>
      <w:r w:rsidRPr="001B5403">
        <w:t>Smluvní strany jsou si plně vědomy zákonné povinnosti u</w:t>
      </w:r>
      <w:r w:rsidR="003C703B" w:rsidRPr="001B5403">
        <w:t>veřejnit dle zákona č.</w:t>
      </w:r>
      <w:r w:rsidR="00A2459C" w:rsidRPr="001B5403">
        <w:t> </w:t>
      </w:r>
      <w:r w:rsidR="003C703B" w:rsidRPr="001B5403">
        <w:t>340/2015 Sb., o zvláštních podmínkách účinnosti některých smluv, uveřejňování těchto smluv a o registru smluv (zákon o registru smluv)</w:t>
      </w:r>
      <w:r w:rsidRPr="001B5403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Zhotovitel dále výslovně prohlašuje a bere na vědomí, že tato smlouva nepředstavuje jeho obchod</w:t>
      </w:r>
      <w:r w:rsidRPr="001B5403">
        <w:t>ní tajemství ani neobsahuje jeho důvěrné informace</w:t>
      </w:r>
      <w:r w:rsidR="001C5582" w:rsidRPr="001B5403">
        <w:t xml:space="preserve"> </w:t>
      </w:r>
      <w:r w:rsidR="001C5582" w:rsidRPr="001B5403">
        <w:rPr>
          <w:i/>
          <w:iCs/>
        </w:rPr>
        <w:t>a souhlasí s tím, aby tato smlouva, včetně veškerých změn a dodatků, byla v plném rozsahu</w:t>
      </w:r>
      <w:r w:rsidRPr="001B5403">
        <w:rPr>
          <w:i/>
          <w:iCs/>
        </w:rPr>
        <w:t xml:space="preserve"> </w:t>
      </w:r>
      <w:r w:rsidR="001C5582" w:rsidRPr="001B5403">
        <w:rPr>
          <w:i/>
          <w:iCs/>
        </w:rPr>
        <w:t>uv</w:t>
      </w:r>
      <w:r w:rsidR="00E7616C" w:rsidRPr="001B5403">
        <w:rPr>
          <w:i/>
          <w:iCs/>
        </w:rPr>
        <w:t xml:space="preserve">eřejněna </w:t>
      </w:r>
      <w:r w:rsidRPr="001B5403">
        <w:rPr>
          <w:i/>
          <w:iCs/>
        </w:rPr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4086361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 xml:space="preserve">V průběhu </w:t>
      </w:r>
      <w:r w:rsidR="007C397F">
        <w:t>realizace</w:t>
      </w:r>
      <w:r w:rsidRPr="00BC3C0B">
        <w:t xml:space="preserve">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1B5403" w:rsidRDefault="0076345A" w:rsidP="00A30016">
      <w:pPr>
        <w:pStyle w:val="l-L2"/>
        <w:numPr>
          <w:ilvl w:val="0"/>
          <w:numId w:val="3"/>
        </w:numPr>
      </w:pPr>
      <w:r w:rsidRPr="001B5403">
        <w:lastRenderedPageBreak/>
        <w:t>Smlouva nabývá platnosti dnem podpisu smluvních stran</w:t>
      </w:r>
      <w:r w:rsidR="00035616" w:rsidRPr="001B5403">
        <w:t xml:space="preserve"> </w:t>
      </w:r>
      <w:r w:rsidR="00035616" w:rsidRPr="003E4EA2">
        <w:t>a účinnosti dnem jejího uveřejnění v</w:t>
      </w:r>
      <w:r w:rsidRPr="003E4EA2">
        <w:t xml:space="preserve"> registru smluv dle ust. §</w:t>
      </w:r>
      <w:r w:rsidR="00281042" w:rsidRPr="003E4EA2">
        <w:t> </w:t>
      </w:r>
      <w:r w:rsidRPr="003E4EA2">
        <w:t>6 odst.</w:t>
      </w:r>
      <w:r w:rsidR="00281042" w:rsidRPr="003E4EA2">
        <w:t> </w:t>
      </w:r>
      <w:r w:rsidRPr="003E4EA2">
        <w:t>1 zákona o registru smluv</w:t>
      </w:r>
      <w:r w:rsidRPr="001B5403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2795EC2A" w14:textId="77777777" w:rsidR="00B77D06" w:rsidRDefault="00B77D06" w:rsidP="007C577B">
      <w:pPr>
        <w:pStyle w:val="l-L2"/>
      </w:pPr>
    </w:p>
    <w:p w14:paraId="1D842FA4" w14:textId="7EB9D254" w:rsidR="00B77D06" w:rsidRPr="00B77D06" w:rsidRDefault="00B77D06" w:rsidP="007C577B">
      <w:pPr>
        <w:pStyle w:val="l-L2"/>
        <w:rPr>
          <w:sz w:val="20"/>
          <w:szCs w:val="20"/>
        </w:rPr>
      </w:pPr>
      <w:r w:rsidRPr="00B77D06">
        <w:rPr>
          <w:sz w:val="20"/>
          <w:szCs w:val="20"/>
        </w:rPr>
        <w:t>Za správnost: Ing. Vendula Marešová</w:t>
      </w:r>
    </w:p>
    <w:p w14:paraId="556313F6" w14:textId="77777777" w:rsidR="00B77D06" w:rsidRDefault="00B77D06" w:rsidP="007C577B">
      <w:pPr>
        <w:pStyle w:val="l-L2"/>
      </w:pPr>
    </w:p>
    <w:p w14:paraId="3E12FB67" w14:textId="77777777" w:rsidR="00B77D06" w:rsidRDefault="00B77D06" w:rsidP="007C577B">
      <w:pPr>
        <w:pStyle w:val="l-L2"/>
      </w:pPr>
    </w:p>
    <w:p w14:paraId="2D6C0203" w14:textId="77777777" w:rsidR="00B77D06" w:rsidRDefault="00B77D06" w:rsidP="007C577B">
      <w:pPr>
        <w:pStyle w:val="l-L2"/>
      </w:pPr>
    </w:p>
    <w:p w14:paraId="769A5106" w14:textId="71EB519F" w:rsidR="00370438" w:rsidRPr="00085415" w:rsidRDefault="00370438" w:rsidP="00370438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Pr="00085415">
        <w:rPr>
          <w:rFonts w:cs="Arial"/>
        </w:rPr>
        <w:t>V</w:t>
      </w:r>
      <w:r>
        <w:rPr>
          <w:rFonts w:cs="Arial"/>
        </w:rPr>
        <w:t xml:space="preserve"> Nymburce</w:t>
      </w:r>
      <w:r w:rsidRPr="0008541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11516C">
        <w:rPr>
          <w:rFonts w:cs="Arial"/>
        </w:rPr>
        <w:t>31.3.2026</w:t>
      </w:r>
      <w:r w:rsidRPr="00085415">
        <w:rPr>
          <w:rFonts w:cs="Arial"/>
        </w:rPr>
        <w:tab/>
        <w:t>V</w:t>
      </w:r>
      <w:r>
        <w:rPr>
          <w:rFonts w:cs="Arial"/>
        </w:rPr>
        <w:t xml:space="preserve"> Táboře </w:t>
      </w:r>
      <w:r w:rsidRPr="00085415">
        <w:rPr>
          <w:rFonts w:cs="Arial"/>
        </w:rPr>
        <w:t>dne</w:t>
      </w:r>
      <w:r>
        <w:rPr>
          <w:rFonts w:cs="Arial"/>
        </w:rPr>
        <w:t xml:space="preserve"> </w:t>
      </w:r>
      <w:r w:rsidR="0011516C">
        <w:rPr>
          <w:rFonts w:cs="Arial"/>
        </w:rPr>
        <w:t>30.3.2026</w:t>
      </w:r>
    </w:p>
    <w:p w14:paraId="1923454C" w14:textId="77777777" w:rsidR="00370438" w:rsidRDefault="00370438" w:rsidP="00370438">
      <w:pPr>
        <w:tabs>
          <w:tab w:val="left" w:pos="142"/>
          <w:tab w:val="left" w:pos="4678"/>
        </w:tabs>
        <w:rPr>
          <w:rFonts w:cs="Arial"/>
        </w:rPr>
      </w:pPr>
    </w:p>
    <w:p w14:paraId="792640A9" w14:textId="77777777" w:rsidR="00370438" w:rsidRDefault="00370438" w:rsidP="00370438">
      <w:pPr>
        <w:tabs>
          <w:tab w:val="left" w:pos="142"/>
          <w:tab w:val="left" w:pos="4678"/>
        </w:tabs>
        <w:rPr>
          <w:rFonts w:cs="Arial"/>
        </w:rPr>
      </w:pPr>
    </w:p>
    <w:p w14:paraId="4B8B7B3F" w14:textId="77777777" w:rsidR="00370438" w:rsidRPr="009E2E7B" w:rsidRDefault="00370438" w:rsidP="00370438">
      <w:pPr>
        <w:tabs>
          <w:tab w:val="left" w:pos="142"/>
          <w:tab w:val="left" w:pos="4678"/>
        </w:tabs>
        <w:rPr>
          <w:rFonts w:cs="Arial"/>
          <w:i/>
          <w:iCs/>
          <w:sz w:val="18"/>
          <w:szCs w:val="18"/>
        </w:rPr>
      </w:pPr>
      <w:r w:rsidRPr="009E2E7B">
        <w:rPr>
          <w:rFonts w:cs="Arial"/>
          <w:i/>
          <w:iCs/>
          <w:sz w:val="18"/>
          <w:szCs w:val="18"/>
        </w:rPr>
        <w:tab/>
        <w:t>„elektronicky podepsáno“</w:t>
      </w:r>
      <w:r w:rsidRPr="009E2E7B">
        <w:rPr>
          <w:rFonts w:cs="Arial"/>
          <w:i/>
          <w:iCs/>
          <w:sz w:val="18"/>
          <w:szCs w:val="18"/>
        </w:rPr>
        <w:tab/>
        <w:t>„elektronicky podepsáno“</w:t>
      </w:r>
    </w:p>
    <w:p w14:paraId="4103F06F" w14:textId="77777777" w:rsidR="00370438" w:rsidRPr="00085415" w:rsidRDefault="00370438" w:rsidP="00370438">
      <w:pPr>
        <w:tabs>
          <w:tab w:val="left" w:pos="142"/>
          <w:tab w:val="left" w:pos="4678"/>
        </w:tabs>
        <w:rPr>
          <w:rFonts w:cs="Arial"/>
        </w:rPr>
      </w:pPr>
    </w:p>
    <w:p w14:paraId="4F2BB647" w14:textId="77777777" w:rsidR="00370438" w:rsidRPr="00085415" w:rsidRDefault="00370438" w:rsidP="00370438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  <w:t>...................................................</w:t>
      </w:r>
    </w:p>
    <w:p w14:paraId="5AFCA778" w14:textId="77777777" w:rsidR="00370438" w:rsidRPr="00085415" w:rsidRDefault="00370438" w:rsidP="00370438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  <w:t>Zhotovitel</w:t>
      </w:r>
    </w:p>
    <w:p w14:paraId="29B19317" w14:textId="77777777" w:rsidR="00370438" w:rsidRPr="00085415" w:rsidRDefault="00370438" w:rsidP="00370438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  <w:b/>
          <w:bCs/>
        </w:rPr>
        <w:tab/>
      </w:r>
    </w:p>
    <w:p w14:paraId="1C2512AD" w14:textId="78464116" w:rsidR="004D5088" w:rsidRDefault="00370438" w:rsidP="00370438">
      <w:pPr>
        <w:tabs>
          <w:tab w:val="left" w:pos="142"/>
          <w:tab w:val="left" w:pos="4678"/>
        </w:tabs>
        <w:rPr>
          <w:szCs w:val="24"/>
        </w:rPr>
      </w:pPr>
      <w:r w:rsidRPr="00085415">
        <w:rPr>
          <w:rFonts w:cs="Arial"/>
          <w:b/>
          <w:bCs/>
        </w:rPr>
        <w:tab/>
      </w:r>
      <w:r>
        <w:rPr>
          <w:rFonts w:cs="Arial"/>
          <w:b/>
          <w:bCs/>
        </w:rPr>
        <w:t xml:space="preserve">Ing. Zdeněk Jahn, CSc.                      </w:t>
      </w:r>
      <w:r w:rsidRPr="006E45BB">
        <w:rPr>
          <w:b/>
          <w:bCs/>
          <w:szCs w:val="24"/>
          <w:lang w:eastAsia="en-US"/>
        </w:rPr>
        <w:t>Bc. Ing. arch. Martin J</w:t>
      </w:r>
      <w:r w:rsidR="00F20ADC">
        <w:rPr>
          <w:b/>
          <w:bCs/>
          <w:szCs w:val="24"/>
          <w:lang w:eastAsia="en-US"/>
        </w:rPr>
        <w:t>í</w:t>
      </w:r>
      <w:r w:rsidRPr="006E45BB">
        <w:rPr>
          <w:b/>
          <w:bCs/>
          <w:szCs w:val="24"/>
          <w:lang w:eastAsia="en-US"/>
        </w:rPr>
        <w:t>rovský, Ph.D., MBA, DiS.</w:t>
      </w:r>
      <w:r w:rsidRPr="006E45BB">
        <w:rPr>
          <w:szCs w:val="24"/>
          <w:lang w:eastAsia="en-US"/>
        </w:rPr>
        <w:t xml:space="preserve"> </w:t>
      </w:r>
      <w:r>
        <w:rPr>
          <w:lang w:eastAsia="en-US"/>
        </w:rPr>
        <w:t xml:space="preserve">   </w:t>
      </w:r>
      <w:r w:rsidRPr="009E2E7B">
        <w:rPr>
          <w:rFonts w:cs="Arial"/>
        </w:rPr>
        <w:t xml:space="preserve">vedoucí Pobočky </w:t>
      </w:r>
      <w:r>
        <w:rPr>
          <w:rFonts w:cs="Arial"/>
        </w:rPr>
        <w:t>Nymburk                                  jednatel Atelier M.A.A.T., s.r.o</w:t>
      </w:r>
    </w:p>
    <w:p w14:paraId="24EDF162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27800D5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7E37968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D2F6197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EC519C8" w14:textId="77777777" w:rsidR="004D5088" w:rsidRPr="00A30016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sectPr w:rsidR="004D5088" w:rsidRPr="00A30016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356E8A6B" w:rsidR="00B94C77" w:rsidRPr="00370438" w:rsidRDefault="00370438" w:rsidP="005661F5">
    <w:pPr>
      <w:rPr>
        <w:sz w:val="20"/>
      </w:rPr>
    </w:pPr>
    <w:r>
      <w:rPr>
        <w:sz w:val="20"/>
      </w:rPr>
      <w:t xml:space="preserve">                                                                                                         </w:t>
    </w:r>
    <w:r w:rsidR="005661F5" w:rsidRPr="00370438">
      <w:rPr>
        <w:sz w:val="20"/>
      </w:rPr>
      <w:t>č</w:t>
    </w:r>
    <w:r w:rsidR="00B94C77" w:rsidRPr="00370438">
      <w:rPr>
        <w:sz w:val="20"/>
      </w:rPr>
      <w:t>.j. objednatele:</w:t>
    </w:r>
    <w:r w:rsidR="00C960D5" w:rsidRPr="00370438">
      <w:rPr>
        <w:sz w:val="20"/>
      </w:rPr>
      <w:t xml:space="preserve"> </w:t>
    </w:r>
    <w:r w:rsidRPr="00370438">
      <w:rPr>
        <w:sz w:val="20"/>
      </w:rPr>
      <w:t>44-2026-537209</w:t>
    </w:r>
  </w:p>
  <w:p w14:paraId="365F3CEA" w14:textId="0CF78A59" w:rsidR="00FC0936" w:rsidRPr="00370438" w:rsidRDefault="00C960D5" w:rsidP="00C81463">
    <w:pPr>
      <w:jc w:val="center"/>
      <w:rPr>
        <w:sz w:val="20"/>
      </w:rPr>
    </w:pPr>
    <w:r w:rsidRPr="00370438">
      <w:rPr>
        <w:sz w:val="20"/>
      </w:rPr>
      <w:t xml:space="preserve">                                                     </w:t>
    </w:r>
    <w:r w:rsidR="00370438">
      <w:rPr>
        <w:sz w:val="20"/>
      </w:rPr>
      <w:t xml:space="preserve">                                      </w:t>
    </w:r>
    <w:r w:rsidR="00FC0936" w:rsidRPr="00370438">
      <w:rPr>
        <w:sz w:val="20"/>
      </w:rPr>
      <w:t xml:space="preserve">UID: </w:t>
    </w:r>
    <w:r w:rsidR="00370438" w:rsidRPr="00370438">
      <w:rPr>
        <w:sz w:val="20"/>
      </w:rPr>
      <w:t>spudms00000016498713</w:t>
    </w:r>
  </w:p>
  <w:p w14:paraId="4BE65E1E" w14:textId="34D8A585" w:rsidR="00B94C77" w:rsidRPr="00370438" w:rsidRDefault="00C960D5" w:rsidP="00C81463">
    <w:pPr>
      <w:jc w:val="center"/>
      <w:rPr>
        <w:sz w:val="20"/>
      </w:rPr>
    </w:pPr>
    <w:r w:rsidRPr="00370438">
      <w:rPr>
        <w:sz w:val="20"/>
      </w:rPr>
      <w:t xml:space="preserve">                                                               </w:t>
    </w:r>
    <w:r w:rsidR="005661F5" w:rsidRPr="00370438">
      <w:rPr>
        <w:sz w:val="20"/>
      </w:rPr>
      <w:t xml:space="preserve">    č</w:t>
    </w:r>
    <w:r w:rsidR="00B94C77" w:rsidRPr="00370438">
      <w:rPr>
        <w:sz w:val="20"/>
      </w:rPr>
      <w:t>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19688E"/>
    <w:multiLevelType w:val="hybridMultilevel"/>
    <w:tmpl w:val="731206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3A09E1"/>
    <w:multiLevelType w:val="hybridMultilevel"/>
    <w:tmpl w:val="706090A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6"/>
  </w:num>
  <w:num w:numId="4" w16cid:durableId="123817459">
    <w:abstractNumId w:val="14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7"/>
  </w:num>
  <w:num w:numId="10" w16cid:durableId="901986671">
    <w:abstractNumId w:val="15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770928622">
    <w:abstractNumId w:val="13"/>
  </w:num>
  <w:num w:numId="18" w16cid:durableId="258485987">
    <w:abstractNumId w:val="18"/>
  </w:num>
  <w:num w:numId="19" w16cid:durableId="1035078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2F"/>
    <w:rsid w:val="00060167"/>
    <w:rsid w:val="00060990"/>
    <w:rsid w:val="00061009"/>
    <w:rsid w:val="000618A9"/>
    <w:rsid w:val="00061AA5"/>
    <w:rsid w:val="00063376"/>
    <w:rsid w:val="00067924"/>
    <w:rsid w:val="000722A3"/>
    <w:rsid w:val="0008091E"/>
    <w:rsid w:val="00087745"/>
    <w:rsid w:val="00087A0A"/>
    <w:rsid w:val="00090512"/>
    <w:rsid w:val="00093C5B"/>
    <w:rsid w:val="000A3862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07DBA"/>
    <w:rsid w:val="00112268"/>
    <w:rsid w:val="0011516C"/>
    <w:rsid w:val="00126A2D"/>
    <w:rsid w:val="0012753E"/>
    <w:rsid w:val="00133258"/>
    <w:rsid w:val="001348A2"/>
    <w:rsid w:val="00150D22"/>
    <w:rsid w:val="00162376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B5403"/>
    <w:rsid w:val="001C0AA4"/>
    <w:rsid w:val="001C168E"/>
    <w:rsid w:val="001C2336"/>
    <w:rsid w:val="001C4314"/>
    <w:rsid w:val="001C5582"/>
    <w:rsid w:val="001D1547"/>
    <w:rsid w:val="001D363B"/>
    <w:rsid w:val="001D6745"/>
    <w:rsid w:val="001E4DC2"/>
    <w:rsid w:val="001E5C6A"/>
    <w:rsid w:val="001E6314"/>
    <w:rsid w:val="001F221A"/>
    <w:rsid w:val="001F43CE"/>
    <w:rsid w:val="001F54ED"/>
    <w:rsid w:val="001F6EA0"/>
    <w:rsid w:val="00202197"/>
    <w:rsid w:val="002030E8"/>
    <w:rsid w:val="002045CC"/>
    <w:rsid w:val="00205270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36023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347A"/>
    <w:rsid w:val="002754B6"/>
    <w:rsid w:val="00281042"/>
    <w:rsid w:val="00282DD4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4AB3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1E0C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0438"/>
    <w:rsid w:val="00371FB9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4EA2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1835"/>
    <w:rsid w:val="0044232D"/>
    <w:rsid w:val="00443425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B7AA5"/>
    <w:rsid w:val="004C0349"/>
    <w:rsid w:val="004C0885"/>
    <w:rsid w:val="004C38D1"/>
    <w:rsid w:val="004D5088"/>
    <w:rsid w:val="004D6A6C"/>
    <w:rsid w:val="004D73F3"/>
    <w:rsid w:val="004E1054"/>
    <w:rsid w:val="004E2267"/>
    <w:rsid w:val="004E62D6"/>
    <w:rsid w:val="005003F9"/>
    <w:rsid w:val="00505E0D"/>
    <w:rsid w:val="005077E5"/>
    <w:rsid w:val="00510C6C"/>
    <w:rsid w:val="00512091"/>
    <w:rsid w:val="00512127"/>
    <w:rsid w:val="005127B2"/>
    <w:rsid w:val="0051649A"/>
    <w:rsid w:val="00523990"/>
    <w:rsid w:val="00524D03"/>
    <w:rsid w:val="0052573B"/>
    <w:rsid w:val="00530002"/>
    <w:rsid w:val="00531C6F"/>
    <w:rsid w:val="0053577C"/>
    <w:rsid w:val="00541D40"/>
    <w:rsid w:val="00542A63"/>
    <w:rsid w:val="00543AEB"/>
    <w:rsid w:val="005444EE"/>
    <w:rsid w:val="0054478C"/>
    <w:rsid w:val="00554450"/>
    <w:rsid w:val="00557EB4"/>
    <w:rsid w:val="005661F5"/>
    <w:rsid w:val="005700BC"/>
    <w:rsid w:val="00571A48"/>
    <w:rsid w:val="00571FFD"/>
    <w:rsid w:val="00572C8B"/>
    <w:rsid w:val="00574F3E"/>
    <w:rsid w:val="00577773"/>
    <w:rsid w:val="00586DD2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36392"/>
    <w:rsid w:val="006464FF"/>
    <w:rsid w:val="00653A09"/>
    <w:rsid w:val="006543D6"/>
    <w:rsid w:val="00654BF5"/>
    <w:rsid w:val="00656BC1"/>
    <w:rsid w:val="006642C9"/>
    <w:rsid w:val="006662DA"/>
    <w:rsid w:val="00673EFE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2AA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1CD0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97F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4EF3"/>
    <w:rsid w:val="007F521D"/>
    <w:rsid w:val="007F7A37"/>
    <w:rsid w:val="00810A43"/>
    <w:rsid w:val="00814C88"/>
    <w:rsid w:val="00815E94"/>
    <w:rsid w:val="00815F47"/>
    <w:rsid w:val="00816B62"/>
    <w:rsid w:val="008226B6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4B67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38D2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1F93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7791A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4CB0"/>
    <w:rsid w:val="009B0115"/>
    <w:rsid w:val="009B22A4"/>
    <w:rsid w:val="009B2915"/>
    <w:rsid w:val="009B3EC8"/>
    <w:rsid w:val="009B4D42"/>
    <w:rsid w:val="009B6FC5"/>
    <w:rsid w:val="009B7615"/>
    <w:rsid w:val="009B7D85"/>
    <w:rsid w:val="009C08A0"/>
    <w:rsid w:val="009C0CA5"/>
    <w:rsid w:val="009C0F24"/>
    <w:rsid w:val="009C3271"/>
    <w:rsid w:val="009C58BD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327E"/>
    <w:rsid w:val="009F43E6"/>
    <w:rsid w:val="00A00B86"/>
    <w:rsid w:val="00A022B9"/>
    <w:rsid w:val="00A11C49"/>
    <w:rsid w:val="00A12D5B"/>
    <w:rsid w:val="00A1694B"/>
    <w:rsid w:val="00A22993"/>
    <w:rsid w:val="00A22E65"/>
    <w:rsid w:val="00A2459C"/>
    <w:rsid w:val="00A26EBA"/>
    <w:rsid w:val="00A30016"/>
    <w:rsid w:val="00A32824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0DB"/>
    <w:rsid w:val="00B7615A"/>
    <w:rsid w:val="00B77D06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04532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1463"/>
    <w:rsid w:val="00C8621E"/>
    <w:rsid w:val="00C93BFE"/>
    <w:rsid w:val="00C95B0E"/>
    <w:rsid w:val="00C960D5"/>
    <w:rsid w:val="00C97348"/>
    <w:rsid w:val="00CA4C8F"/>
    <w:rsid w:val="00CA7572"/>
    <w:rsid w:val="00CB3BB5"/>
    <w:rsid w:val="00CB4F7C"/>
    <w:rsid w:val="00CB72CB"/>
    <w:rsid w:val="00CC07D3"/>
    <w:rsid w:val="00CC0B17"/>
    <w:rsid w:val="00CC3E8C"/>
    <w:rsid w:val="00CC45A0"/>
    <w:rsid w:val="00CC7A7E"/>
    <w:rsid w:val="00CD628A"/>
    <w:rsid w:val="00CD7362"/>
    <w:rsid w:val="00CE7F49"/>
    <w:rsid w:val="00CF0417"/>
    <w:rsid w:val="00CF116D"/>
    <w:rsid w:val="00CF205B"/>
    <w:rsid w:val="00CF38A5"/>
    <w:rsid w:val="00CF3DAE"/>
    <w:rsid w:val="00CF4506"/>
    <w:rsid w:val="00D0196C"/>
    <w:rsid w:val="00D01ACB"/>
    <w:rsid w:val="00D02089"/>
    <w:rsid w:val="00D02C2B"/>
    <w:rsid w:val="00D03DA7"/>
    <w:rsid w:val="00D063D9"/>
    <w:rsid w:val="00D12D68"/>
    <w:rsid w:val="00D1571A"/>
    <w:rsid w:val="00D178FE"/>
    <w:rsid w:val="00D2184E"/>
    <w:rsid w:val="00D274CE"/>
    <w:rsid w:val="00D32776"/>
    <w:rsid w:val="00D34FC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0ADC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0936"/>
    <w:rsid w:val="00FC3888"/>
    <w:rsid w:val="00FC7980"/>
    <w:rsid w:val="00FD23A6"/>
    <w:rsid w:val="00FD4E9D"/>
    <w:rsid w:val="00FD564D"/>
    <w:rsid w:val="00FD62FB"/>
    <w:rsid w:val="00FE31AB"/>
    <w:rsid w:val="00FE6640"/>
    <w:rsid w:val="00FF0932"/>
    <w:rsid w:val="00FF45B7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E0C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ada3fa48-c231-4f9d-a491-19361e04fcb4"/>
    <ds:schemaRef ds:uri="http://purl.org/dc/elements/1.1/"/>
    <ds:schemaRef ds:uri="2046fdb6-fa60-49a6-a635-1115ab0d2074"/>
    <ds:schemaRef ds:uri="85f4b5cc-4033-44c7-b405-f5eed34c815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3508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Marešová Vendula Ing.</cp:lastModifiedBy>
  <cp:revision>3</cp:revision>
  <cp:lastPrinted>2026-03-25T09:01:00Z</cp:lastPrinted>
  <dcterms:created xsi:type="dcterms:W3CDTF">2026-03-30T11:14:00Z</dcterms:created>
  <dcterms:modified xsi:type="dcterms:W3CDTF">2026-03-31T07:58:00Z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