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CC12FAB" w:rsidR="00643372" w:rsidRDefault="00643372" w:rsidP="00891714">
      <w:pPr>
        <w:overflowPunct w:val="0"/>
        <w:autoSpaceDE w:val="0"/>
        <w:autoSpaceDN w:val="0"/>
        <w:adjustRightInd w:val="0"/>
        <w:spacing w:after="0"/>
        <w:ind w:left="3545" w:firstLine="709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8909A2">
        <w:rPr>
          <w:rFonts w:ascii="Arial" w:eastAsia="Times New Roman" w:hAnsi="Arial" w:cs="Arial"/>
          <w:b/>
          <w:lang w:eastAsia="cs-CZ"/>
        </w:rPr>
        <w:t>5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4EF7F4DC" w14:textId="3E848A22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FF71A5">
        <w:rPr>
          <w:rFonts w:cs="Arial"/>
          <w:b/>
          <w:bCs/>
          <w:sz w:val="24"/>
        </w:rPr>
        <w:t xml:space="preserve"> </w:t>
      </w:r>
      <w:r w:rsidR="007B1581">
        <w:rPr>
          <w:rFonts w:cs="Arial"/>
          <w:b/>
          <w:bCs/>
          <w:sz w:val="24"/>
        </w:rPr>
        <w:t>v </w:t>
      </w:r>
      <w:proofErr w:type="spellStart"/>
      <w:r w:rsidR="007B1581">
        <w:rPr>
          <w:rFonts w:cs="Arial"/>
          <w:b/>
          <w:bCs/>
          <w:sz w:val="24"/>
        </w:rPr>
        <w:t>k.ú</w:t>
      </w:r>
      <w:proofErr w:type="spellEnd"/>
      <w:r w:rsidR="007B1581">
        <w:rPr>
          <w:rFonts w:cs="Arial"/>
          <w:b/>
          <w:bCs/>
          <w:sz w:val="24"/>
        </w:rPr>
        <w:t xml:space="preserve">. </w:t>
      </w:r>
      <w:r w:rsidR="00FF71A5">
        <w:rPr>
          <w:rFonts w:cs="Arial"/>
          <w:b/>
          <w:bCs/>
          <w:sz w:val="24"/>
        </w:rPr>
        <w:t>Ludvíkovice</w:t>
      </w:r>
      <w:r w:rsidR="00643372" w:rsidRPr="00D9780F">
        <w:rPr>
          <w:rFonts w:eastAsia="Times New Roman" w:cs="Arial"/>
          <w:b/>
        </w:rPr>
        <w:t xml:space="preserve"> 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CF727C">
        <w:rPr>
          <w:rFonts w:cs="Arial"/>
          <w:sz w:val="22"/>
        </w:rPr>
        <w:t xml:space="preserve"> 664-2022-508207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CF727C">
        <w:rPr>
          <w:rFonts w:cs="Arial"/>
          <w:sz w:val="22"/>
        </w:rPr>
        <w:t>8. 8. 2022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BCF21B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8A7DD1">
        <w:rPr>
          <w:rFonts w:ascii="Arial" w:hAnsi="Arial" w:cs="Arial"/>
        </w:rPr>
        <w:t xml:space="preserve">. </w:t>
      </w:r>
      <w:r w:rsidR="00E11D3E">
        <w:rPr>
          <w:rFonts w:ascii="Arial" w:hAnsi="Arial" w:cs="Arial"/>
        </w:rPr>
        <w:t xml:space="preserve">2 a </w:t>
      </w:r>
      <w:r w:rsidR="00F96A82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1E26262E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7F1712">
        <w:rPr>
          <w:rFonts w:ascii="Arial" w:hAnsi="Arial" w:cs="Arial"/>
        </w:rPr>
        <w:t>pro Ústecký kraj</w:t>
      </w:r>
      <w:bookmarkEnd w:id="0"/>
    </w:p>
    <w:p w14:paraId="7A81486D" w14:textId="1FE2E8D9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7F1712">
        <w:rPr>
          <w:rFonts w:ascii="Arial" w:hAnsi="Arial" w:cs="Arial"/>
          <w:b/>
          <w:bCs/>
          <w:snapToGrid w:val="0"/>
        </w:rPr>
        <w:t>Děčín,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7F1712">
        <w:rPr>
          <w:rFonts w:ascii="Arial" w:eastAsia="Times New Roman" w:hAnsi="Arial" w:cs="Arial"/>
          <w:b/>
          <w:bCs/>
          <w:snapToGrid w:val="0"/>
          <w:lang w:eastAsia="cs-CZ"/>
        </w:rPr>
        <w:t>28. října 979/19</w:t>
      </w:r>
      <w:r w:rsidR="004A6A03">
        <w:rPr>
          <w:rFonts w:ascii="Arial" w:eastAsia="Times New Roman" w:hAnsi="Arial" w:cs="Arial"/>
          <w:b/>
          <w:bCs/>
          <w:snapToGrid w:val="0"/>
          <w:lang w:eastAsia="cs-CZ"/>
        </w:rPr>
        <w:t>, 405 02 Děčín I.</w:t>
      </w:r>
    </w:p>
    <w:p w14:paraId="70B1E0FA" w14:textId="77777777" w:rsidR="00B463F4" w:rsidRPr="00BF554C" w:rsidRDefault="00B463F4" w:rsidP="00B463F4">
      <w:pPr>
        <w:spacing w:after="120"/>
        <w:ind w:left="567"/>
        <w:jc w:val="both"/>
        <w:rPr>
          <w:rFonts w:ascii="Arial" w:hAnsi="Arial" w:cs="Arial"/>
        </w:rPr>
      </w:pPr>
      <w:bookmarkStart w:id="1" w:name="_Hlk215041580"/>
      <w:bookmarkStart w:id="2" w:name="_Hlk214960540"/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Mgr. Jaroslavou </w:t>
      </w:r>
      <w:proofErr w:type="spellStart"/>
      <w:r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>, ředitelkou KPÚ pro Ústecký kraj</w:t>
      </w:r>
    </w:p>
    <w:bookmarkEnd w:id="1"/>
    <w:p w14:paraId="4AA45C62" w14:textId="77777777" w:rsidR="008B43AE" w:rsidRPr="00BF554C" w:rsidRDefault="008B43AE" w:rsidP="008B43A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Mgr. Jaroslavou </w:t>
      </w:r>
      <w:proofErr w:type="spellStart"/>
      <w:r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>, ředitelkou KPÚ pro Ústecký kraj</w:t>
      </w:r>
    </w:p>
    <w:bookmarkEnd w:id="2"/>
    <w:p w14:paraId="43225A82" w14:textId="77777777" w:rsidR="00260D39" w:rsidRPr="00ED6435" w:rsidRDefault="00260D39" w:rsidP="00260D3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Annou Havlíkovou, KPÚ pro Ústecký kraj, Pobočka Děčín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BB0BEBB" w14:textId="77777777" w:rsidR="008571A7" w:rsidRPr="00BF554C" w:rsidRDefault="008571A7" w:rsidP="008571A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727 956 725</w:t>
      </w:r>
    </w:p>
    <w:p w14:paraId="2691EBFE" w14:textId="77777777" w:rsidR="008571A7" w:rsidRPr="00ED6435" w:rsidRDefault="008571A7" w:rsidP="008571A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a.havlikova@spucr.cz</w:t>
      </w:r>
    </w:p>
    <w:p w14:paraId="471743DE" w14:textId="77777777" w:rsidR="008571A7" w:rsidRPr="00BF554C" w:rsidRDefault="008571A7" w:rsidP="008571A7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62937842" w14:textId="77777777" w:rsidR="008571A7" w:rsidRPr="00BF554C" w:rsidRDefault="008571A7" w:rsidP="008571A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4E79694C" w14:textId="77777777" w:rsidR="008571A7" w:rsidRPr="00BF554C" w:rsidRDefault="008571A7" w:rsidP="008571A7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22C962FA" w14:textId="77777777" w:rsidR="008571A7" w:rsidRPr="00BF554C" w:rsidRDefault="008571A7" w:rsidP="008571A7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663E823" w14:textId="77777777" w:rsidR="00566A4F" w:rsidRDefault="00566A4F" w:rsidP="00566A4F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3C5E674B" w14:textId="75033061" w:rsidR="00253878" w:rsidRPr="00BF554C" w:rsidRDefault="00253878" w:rsidP="00253878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764DE39B" w14:textId="0681A22C" w:rsid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39226F">
        <w:rPr>
          <w:rFonts w:ascii="Arial" w:hAnsi="Arial" w:cs="Arial"/>
          <w:bCs/>
        </w:rPr>
        <w:t xml:space="preserve">se sídlem </w:t>
      </w:r>
      <w:r w:rsidR="0039226F" w:rsidRPr="0039226F">
        <w:rPr>
          <w:rFonts w:ascii="Arial" w:hAnsi="Arial" w:cs="Arial"/>
          <w:snapToGrid w:val="0"/>
        </w:rPr>
        <w:t>v Plzni, Plachého 40, IČO: 29099323</w:t>
      </w:r>
    </w:p>
    <w:p w14:paraId="3826328D" w14:textId="77777777" w:rsidR="00E92FF0" w:rsidRPr="00B0597B" w:rsidRDefault="00E92FF0" w:rsidP="00E92FF0">
      <w:pPr>
        <w:spacing w:after="120"/>
        <w:ind w:left="567"/>
        <w:jc w:val="both"/>
        <w:rPr>
          <w:rFonts w:ascii="Arial" w:hAnsi="Arial" w:cs="Arial"/>
          <w:bCs/>
        </w:rPr>
      </w:pPr>
      <w:r w:rsidRPr="00B0597B">
        <w:rPr>
          <w:rFonts w:ascii="Arial" w:hAnsi="Arial" w:cs="Arial"/>
          <w:snapToGrid w:val="0"/>
        </w:rPr>
        <w:t xml:space="preserve">Zastoupená: </w:t>
      </w:r>
      <w:r w:rsidRPr="00B0597B">
        <w:rPr>
          <w:rFonts w:ascii="Arial" w:eastAsia="Calibri" w:hAnsi="Arial" w:cs="Arial"/>
          <w:lang w:eastAsia="cs-CZ"/>
        </w:rPr>
        <w:t>Mgr.</w:t>
      </w:r>
      <w:r>
        <w:rPr>
          <w:rFonts w:ascii="Arial" w:eastAsia="Calibri" w:hAnsi="Arial" w:cs="Arial"/>
          <w:lang w:eastAsia="cs-CZ"/>
        </w:rPr>
        <w:t xml:space="preserve"> </w:t>
      </w:r>
      <w:r w:rsidRPr="00B0597B">
        <w:rPr>
          <w:rFonts w:ascii="Arial" w:eastAsia="Calibri" w:hAnsi="Arial" w:cs="Arial"/>
          <w:lang w:eastAsia="cs-CZ"/>
        </w:rPr>
        <w:t>Barborou Salátovou</w:t>
      </w:r>
    </w:p>
    <w:p w14:paraId="5783CB2F" w14:textId="20B4A44D" w:rsidR="00566A4F" w:rsidRPr="00B0597B" w:rsidRDefault="00566A4F" w:rsidP="00566A4F">
      <w:pPr>
        <w:spacing w:after="120"/>
        <w:ind w:left="567"/>
        <w:jc w:val="both"/>
        <w:rPr>
          <w:rFonts w:ascii="Arial" w:hAnsi="Arial" w:cs="Arial"/>
        </w:rPr>
      </w:pPr>
      <w:r w:rsidRPr="00B0597B">
        <w:rPr>
          <w:rFonts w:ascii="Arial" w:hAnsi="Arial" w:cs="Arial"/>
        </w:rPr>
        <w:t>Ve smluvních záležitostech zastoupená</w:t>
      </w:r>
      <w:r w:rsidRPr="00B0597B">
        <w:rPr>
          <w:rFonts w:ascii="Arial" w:hAnsi="Arial" w:cs="Arial"/>
          <w:bCs/>
        </w:rPr>
        <w:t xml:space="preserve">: </w:t>
      </w:r>
      <w:r w:rsidRPr="00B0597B">
        <w:rPr>
          <w:rFonts w:ascii="Arial" w:eastAsia="Calibri" w:hAnsi="Arial" w:cs="Arial"/>
          <w:lang w:eastAsia="cs-CZ"/>
        </w:rPr>
        <w:t>Mgr.</w:t>
      </w:r>
      <w:r>
        <w:rPr>
          <w:rFonts w:ascii="Arial" w:eastAsia="Calibri" w:hAnsi="Arial" w:cs="Arial"/>
          <w:lang w:eastAsia="cs-CZ"/>
        </w:rPr>
        <w:t xml:space="preserve"> </w:t>
      </w:r>
      <w:r w:rsidRPr="00B0597B">
        <w:rPr>
          <w:rFonts w:ascii="Arial" w:eastAsia="Calibri" w:hAnsi="Arial" w:cs="Arial"/>
          <w:lang w:eastAsia="cs-CZ"/>
        </w:rPr>
        <w:t>Barbor</w:t>
      </w:r>
      <w:r w:rsidR="00656BA5">
        <w:rPr>
          <w:rFonts w:ascii="Arial" w:eastAsia="Calibri" w:hAnsi="Arial" w:cs="Arial"/>
          <w:lang w:eastAsia="cs-CZ"/>
        </w:rPr>
        <w:t>ou</w:t>
      </w:r>
      <w:r w:rsidRPr="00B0597B">
        <w:rPr>
          <w:rFonts w:ascii="Arial" w:eastAsia="Calibri" w:hAnsi="Arial" w:cs="Arial"/>
          <w:lang w:eastAsia="cs-CZ"/>
        </w:rPr>
        <w:t xml:space="preserve"> Salátov</w:t>
      </w:r>
      <w:r w:rsidR="00656BA5">
        <w:rPr>
          <w:rFonts w:ascii="Arial" w:eastAsia="Calibri" w:hAnsi="Arial" w:cs="Arial"/>
          <w:lang w:eastAsia="cs-CZ"/>
        </w:rPr>
        <w:t>ou</w:t>
      </w:r>
      <w:r w:rsidRPr="00B0597B">
        <w:rPr>
          <w:rFonts w:ascii="Arial" w:eastAsia="Calibri" w:hAnsi="Arial" w:cs="Arial"/>
          <w:lang w:eastAsia="cs-CZ"/>
        </w:rPr>
        <w:t>, Ing.</w:t>
      </w:r>
      <w:r>
        <w:rPr>
          <w:rFonts w:ascii="Arial" w:eastAsia="Calibri" w:hAnsi="Arial" w:cs="Arial"/>
          <w:lang w:eastAsia="cs-CZ"/>
        </w:rPr>
        <w:t xml:space="preserve"> </w:t>
      </w:r>
      <w:r w:rsidRPr="00B0597B">
        <w:rPr>
          <w:rFonts w:ascii="Arial" w:eastAsia="Calibri" w:hAnsi="Arial" w:cs="Arial"/>
          <w:lang w:eastAsia="cs-CZ"/>
        </w:rPr>
        <w:t>Helen</w:t>
      </w:r>
      <w:r w:rsidR="00656BA5">
        <w:rPr>
          <w:rFonts w:ascii="Arial" w:eastAsia="Calibri" w:hAnsi="Arial" w:cs="Arial"/>
          <w:lang w:eastAsia="cs-CZ"/>
        </w:rPr>
        <w:t>ou</w:t>
      </w:r>
      <w:r w:rsidRPr="00B0597B">
        <w:rPr>
          <w:rFonts w:ascii="Arial" w:eastAsia="Calibri" w:hAnsi="Arial" w:cs="Arial"/>
          <w:lang w:eastAsia="cs-CZ"/>
        </w:rPr>
        <w:t xml:space="preserve"> Krausov</w:t>
      </w:r>
      <w:r w:rsidR="00656BA5">
        <w:rPr>
          <w:rFonts w:ascii="Arial" w:eastAsia="Calibri" w:hAnsi="Arial" w:cs="Arial"/>
          <w:lang w:eastAsia="cs-CZ"/>
        </w:rPr>
        <w:t>ou</w:t>
      </w:r>
    </w:p>
    <w:p w14:paraId="5FB7815D" w14:textId="1661A570" w:rsidR="00566A4F" w:rsidRPr="00B0597B" w:rsidRDefault="00566A4F" w:rsidP="00A679C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napToGrid w:val="0"/>
        </w:rPr>
      </w:pPr>
      <w:r w:rsidRPr="00B0597B">
        <w:rPr>
          <w:rFonts w:ascii="Arial" w:hAnsi="Arial" w:cs="Arial"/>
        </w:rPr>
        <w:t xml:space="preserve">V technických záležitostech zastoupená: </w:t>
      </w:r>
      <w:r w:rsidR="00A679C6">
        <w:rPr>
          <w:rFonts w:ascii="Arial" w:eastAsia="Calibri" w:hAnsi="Arial" w:cs="Arial"/>
          <w:lang w:eastAsia="cs-CZ"/>
        </w:rPr>
        <w:t>XXXXXXXXXX,</w:t>
      </w:r>
      <w:r w:rsidRPr="00B0597B">
        <w:rPr>
          <w:rFonts w:ascii="Arial" w:eastAsia="Calibri" w:hAnsi="Arial" w:cs="Arial"/>
          <w:lang w:eastAsia="cs-CZ"/>
        </w:rPr>
        <w:t xml:space="preserve"> </w:t>
      </w:r>
      <w:r w:rsidR="00A679C6">
        <w:rPr>
          <w:rFonts w:ascii="Arial" w:eastAsia="Calibri" w:hAnsi="Arial" w:cs="Arial"/>
          <w:lang w:eastAsia="cs-CZ"/>
        </w:rPr>
        <w:t>XXXXXXXXXX, XXXXXXXXXX</w:t>
      </w:r>
      <w:r w:rsidRPr="00B0597B">
        <w:rPr>
          <w:rFonts w:ascii="Arial" w:eastAsia="Calibri" w:hAnsi="Arial" w:cs="Arial"/>
          <w:lang w:eastAsia="cs-CZ"/>
        </w:rPr>
        <w:t xml:space="preserve">, </w:t>
      </w:r>
      <w:r w:rsidR="00A679C6">
        <w:rPr>
          <w:rFonts w:ascii="Arial" w:eastAsia="Calibri" w:hAnsi="Arial" w:cs="Arial"/>
          <w:lang w:eastAsia="cs-CZ"/>
        </w:rPr>
        <w:t>XXXXXXXXXX</w:t>
      </w:r>
    </w:p>
    <w:p w14:paraId="6512F425" w14:textId="77777777" w:rsidR="000A4EA8" w:rsidRPr="002A445B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2A445B">
        <w:rPr>
          <w:rFonts w:ascii="Arial" w:hAnsi="Arial" w:cs="Arial"/>
          <w:b/>
          <w:bCs/>
        </w:rPr>
        <w:t>Kontaktní údaje:</w:t>
      </w:r>
    </w:p>
    <w:p w14:paraId="74592CDF" w14:textId="77777777" w:rsidR="00A679C6" w:rsidRDefault="002A445B" w:rsidP="002A44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679C6">
        <w:rPr>
          <w:rFonts w:ascii="Arial" w:eastAsia="Calibri" w:hAnsi="Arial" w:cs="Arial"/>
          <w:lang w:eastAsia="cs-CZ"/>
        </w:rPr>
        <w:t>XXXXXXXXXX</w:t>
      </w:r>
      <w:r w:rsidR="00A679C6" w:rsidRPr="00BF554C">
        <w:rPr>
          <w:rFonts w:ascii="Arial" w:hAnsi="Arial" w:cs="Arial"/>
        </w:rPr>
        <w:t xml:space="preserve"> </w:t>
      </w:r>
    </w:p>
    <w:p w14:paraId="64D2EE7F" w14:textId="601A5455" w:rsidR="002A445B" w:rsidRPr="00BF554C" w:rsidRDefault="002A445B" w:rsidP="002A44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A679C6">
        <w:rPr>
          <w:rFonts w:ascii="Arial" w:eastAsia="Calibri" w:hAnsi="Arial" w:cs="Arial"/>
          <w:lang w:eastAsia="cs-CZ"/>
        </w:rPr>
        <w:t>XXXXXXXXXX</w:t>
      </w:r>
    </w:p>
    <w:p w14:paraId="0B1464DE" w14:textId="77777777" w:rsidR="002A445B" w:rsidRPr="00BF554C" w:rsidRDefault="002A445B" w:rsidP="002A445B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qzhp5bf</w:t>
      </w:r>
    </w:p>
    <w:p w14:paraId="286E4D40" w14:textId="77777777" w:rsidR="002A445B" w:rsidRPr="00BF554C" w:rsidRDefault="002A445B" w:rsidP="002A44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lastRenderedPageBreak/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Raiffeisenbank a.s.</w:t>
      </w:r>
    </w:p>
    <w:p w14:paraId="2A96575C" w14:textId="77777777" w:rsidR="002A445B" w:rsidRPr="00BF554C" w:rsidRDefault="002A445B" w:rsidP="002A44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5279999001/5500</w:t>
      </w:r>
    </w:p>
    <w:p w14:paraId="64A2265B" w14:textId="77777777" w:rsidR="002A445B" w:rsidRPr="00BF554C" w:rsidRDefault="002A445B" w:rsidP="002A445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CZ29099323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2A445B">
        <w:rPr>
          <w:rFonts w:ascii="Arial" w:hAnsi="Arial" w:cs="Arial"/>
          <w:bCs/>
        </w:rPr>
        <w:t xml:space="preserve">(dále jen </w:t>
      </w:r>
      <w:r w:rsidRPr="002A445B">
        <w:rPr>
          <w:rFonts w:ascii="Arial" w:hAnsi="Arial" w:cs="Arial"/>
          <w:b/>
          <w:bCs/>
        </w:rPr>
        <w:t>„Zhotovitel“</w:t>
      </w:r>
      <w:r w:rsidRPr="002A445B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558589F6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69216B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7244E54E" w14:textId="3D2A9323" w:rsidR="00DA5BAC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984007">
        <w:rPr>
          <w:rFonts w:ascii="Arial" w:hAnsi="Arial" w:cs="Arial"/>
          <w:szCs w:val="22"/>
        </w:rPr>
        <w:t xml:space="preserve">Předmětem </w:t>
      </w:r>
      <w:r w:rsidR="002159EA" w:rsidRPr="00984007">
        <w:rPr>
          <w:rFonts w:ascii="Arial" w:hAnsi="Arial" w:cs="Arial"/>
          <w:szCs w:val="22"/>
        </w:rPr>
        <w:t xml:space="preserve">dodatku </w:t>
      </w:r>
      <w:r w:rsidR="00DA5BAC" w:rsidRPr="00984007">
        <w:rPr>
          <w:rFonts w:ascii="Arial" w:hAnsi="Arial" w:cs="Arial"/>
          <w:szCs w:val="22"/>
        </w:rPr>
        <w:t>je změna počtu měrných jednotek a termínů dílčích částí hlavního celku 6.3.1</w:t>
      </w:r>
      <w:r w:rsidR="009A31AD" w:rsidRPr="00984007">
        <w:rPr>
          <w:rFonts w:ascii="Arial" w:hAnsi="Arial" w:cs="Arial"/>
          <w:szCs w:val="22"/>
        </w:rPr>
        <w:t xml:space="preserve"> </w:t>
      </w:r>
      <w:r w:rsidR="00DA5BAC" w:rsidRPr="00984007">
        <w:rPr>
          <w:rFonts w:ascii="Arial" w:hAnsi="Arial" w:cs="Arial"/>
          <w:szCs w:val="22"/>
        </w:rPr>
        <w:t>Vypracování plánu společných zařízení ("PSZ").</w:t>
      </w:r>
      <w:r w:rsidR="00DA5BAC" w:rsidRPr="00984007">
        <w:rPr>
          <w:rFonts w:ascii="Arial" w:eastAsia="Calibri" w:hAnsi="Arial" w:cs="Arial"/>
          <w:snapToGrid/>
          <w:color w:val="000000"/>
          <w:kern w:val="0"/>
          <w:szCs w:val="22"/>
          <w:lang w:eastAsia="cs-CZ"/>
          <w14:ligatures w14:val="none"/>
        </w:rPr>
        <w:t xml:space="preserve"> </w:t>
      </w:r>
      <w:r w:rsidR="00DA5BAC" w:rsidRPr="00984007">
        <w:rPr>
          <w:rFonts w:ascii="Arial" w:hAnsi="Arial" w:cs="Arial"/>
          <w:szCs w:val="22"/>
        </w:rPr>
        <w:t>Jedná se o nepodstatné změny závazku ze Smlouvy</w:t>
      </w:r>
      <w:r w:rsidR="00834097" w:rsidRPr="00984007">
        <w:rPr>
          <w:rFonts w:ascii="Arial" w:hAnsi="Arial" w:cs="Arial"/>
          <w:szCs w:val="22"/>
        </w:rPr>
        <w:t xml:space="preserve"> </w:t>
      </w:r>
      <w:r w:rsidR="00DA5BAC" w:rsidRPr="00984007">
        <w:rPr>
          <w:rFonts w:ascii="Arial" w:hAnsi="Arial" w:cs="Arial"/>
          <w:szCs w:val="22"/>
        </w:rPr>
        <w:t>dle §222 odst. 4, jej</w:t>
      </w:r>
      <w:r w:rsidR="009A31AD" w:rsidRPr="00984007">
        <w:rPr>
          <w:rFonts w:ascii="Arial" w:hAnsi="Arial" w:cs="Arial"/>
          <w:szCs w:val="22"/>
        </w:rPr>
        <w:t>ichž</w:t>
      </w:r>
      <w:r w:rsidR="00DA5BAC" w:rsidRPr="00984007">
        <w:rPr>
          <w:rFonts w:ascii="Arial" w:hAnsi="Arial" w:cs="Arial"/>
          <w:szCs w:val="22"/>
        </w:rPr>
        <w:t xml:space="preserve"> potřeba vyvstala v průběhu plnění díla a §222 odst. 2 vyhrazené změny závazků dle </w:t>
      </w:r>
      <w:proofErr w:type="spellStart"/>
      <w:r w:rsidR="00DA5BAC" w:rsidRPr="00984007">
        <w:rPr>
          <w:rFonts w:ascii="Arial" w:hAnsi="Arial" w:cs="Arial"/>
          <w:szCs w:val="22"/>
        </w:rPr>
        <w:t>ust</w:t>
      </w:r>
      <w:proofErr w:type="spellEnd"/>
      <w:r w:rsidR="00DA5BAC" w:rsidRPr="00984007">
        <w:rPr>
          <w:rFonts w:ascii="Arial" w:hAnsi="Arial" w:cs="Arial"/>
          <w:szCs w:val="22"/>
        </w:rPr>
        <w:t>. bodu 2.1 a 6.3.1</w:t>
      </w:r>
      <w:r w:rsidR="00A86893" w:rsidRPr="00984007">
        <w:rPr>
          <w:rFonts w:ascii="Arial" w:hAnsi="Arial" w:cs="Arial"/>
          <w:szCs w:val="22"/>
        </w:rPr>
        <w:t xml:space="preserve"> g)</w:t>
      </w:r>
      <w:r w:rsidR="00DA5BAC" w:rsidRPr="00984007">
        <w:rPr>
          <w:rFonts w:ascii="Arial" w:hAnsi="Arial" w:cs="Arial"/>
          <w:szCs w:val="22"/>
        </w:rPr>
        <w:t xml:space="preserve"> </w:t>
      </w:r>
      <w:proofErr w:type="spellStart"/>
      <w:r w:rsidR="00DA5BAC" w:rsidRPr="00984007">
        <w:rPr>
          <w:rFonts w:ascii="Arial" w:hAnsi="Arial" w:cs="Arial"/>
          <w:szCs w:val="22"/>
        </w:rPr>
        <w:t>SoD</w:t>
      </w:r>
      <w:proofErr w:type="spellEnd"/>
      <w:r w:rsidR="00DA5BAC" w:rsidRPr="00984007">
        <w:rPr>
          <w:rFonts w:ascii="Arial" w:hAnsi="Arial" w:cs="Arial"/>
          <w:szCs w:val="22"/>
        </w:rPr>
        <w:t xml:space="preserve"> ve smyslu § 100 odst. 1 ZZVZ.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278B432E" w14:textId="5BAA52DC" w:rsidR="00836A71" w:rsidRDefault="00B71CE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změna</w:t>
      </w:r>
      <w:r w:rsidR="00836A71" w:rsidRPr="00FE6CB7">
        <w:rPr>
          <w:rFonts w:ascii="Arial" w:hAnsi="Arial" w:cs="Arial"/>
          <w:b/>
          <w:bCs/>
          <w:szCs w:val="22"/>
          <w:u w:val="single"/>
        </w:rPr>
        <w:t xml:space="preserve"> počtu MJ</w:t>
      </w:r>
      <w:r w:rsidR="00836A71"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11"/>
        <w:gridCol w:w="2632"/>
        <w:gridCol w:w="889"/>
        <w:gridCol w:w="1084"/>
        <w:gridCol w:w="803"/>
        <w:gridCol w:w="1956"/>
        <w:gridCol w:w="1701"/>
      </w:tblGrid>
      <w:tr w:rsidR="00E11D3E" w:rsidRPr="00E11D3E" w14:paraId="72C3FB32" w14:textId="77777777" w:rsidTr="00E11D3E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E11D3E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E11D3E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E11D3E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E11D3E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Pr="00E11D3E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E11D3E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E11D3E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E11D3E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8C519BC" w14:textId="763D8E46" w:rsidR="005576E2" w:rsidRPr="00E11D3E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D51B9" w:rsidRPr="00E11D3E">
              <w:rPr>
                <w:rFonts w:ascii="Arial" w:eastAsia="Arial" w:hAnsi="Arial" w:cs="Arial"/>
                <w:b/>
                <w:bCs/>
              </w:rPr>
              <w:t>Nový počet</w:t>
            </w:r>
            <w:r w:rsidR="005576E2" w:rsidRPr="00E11D3E">
              <w:rPr>
                <w:rFonts w:ascii="Arial" w:eastAsia="Arial" w:hAnsi="Arial" w:cs="Arial"/>
                <w:b/>
                <w:bCs/>
              </w:rPr>
              <w:t xml:space="preserve"> MJ</w:t>
            </w:r>
          </w:p>
          <w:p w14:paraId="23968EA2" w14:textId="0C78EF75" w:rsidR="005576E2" w:rsidRPr="00E11D3E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E11D3E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E11D3E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42D9C2BC" w:rsidR="005576E2" w:rsidRPr="00E11D3E" w:rsidRDefault="001D51B9" w:rsidP="005576E2">
            <w:pPr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Změna</w:t>
            </w:r>
            <w:r w:rsidR="005576E2" w:rsidRPr="00E11D3E">
              <w:rPr>
                <w:rFonts w:ascii="Arial" w:eastAsia="Arial" w:hAnsi="Arial" w:cs="Arial"/>
                <w:b/>
                <w:bCs/>
              </w:rPr>
              <w:t xml:space="preserve"> ceny v Kč bez DPH</w:t>
            </w:r>
          </w:p>
        </w:tc>
      </w:tr>
      <w:tr w:rsidR="00E11D3E" w:rsidRPr="00E11D3E" w14:paraId="73EB2CBF" w14:textId="77777777" w:rsidTr="00E11D3E">
        <w:tc>
          <w:tcPr>
            <w:tcW w:w="711" w:type="dxa"/>
            <w:shd w:val="clear" w:color="auto" w:fill="D9D9D9" w:themeFill="background1" w:themeFillShade="D9"/>
          </w:tcPr>
          <w:p w14:paraId="7730221C" w14:textId="77777777" w:rsidR="005576E2" w:rsidRPr="00E11D3E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0C997FCA" w14:textId="77777777" w:rsidR="005576E2" w:rsidRPr="00E11D3E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D3E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E11D3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E11D3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E11D3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E11D3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E11D3E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11D3E" w:rsidRPr="00E11D3E" w14:paraId="10249BBC" w14:textId="77777777" w:rsidTr="00E11D3E">
        <w:tc>
          <w:tcPr>
            <w:tcW w:w="711" w:type="dxa"/>
          </w:tcPr>
          <w:p w14:paraId="20209DFD" w14:textId="4DAFA5DF" w:rsidR="005576E2" w:rsidRPr="00E11D3E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E11D3E">
              <w:rPr>
                <w:rFonts w:ascii="Arial" w:hAnsi="Arial" w:cs="Arial"/>
              </w:rPr>
              <w:t>6.3.1 i) a)</w:t>
            </w:r>
          </w:p>
        </w:tc>
        <w:tc>
          <w:tcPr>
            <w:tcW w:w="2632" w:type="dxa"/>
          </w:tcPr>
          <w:p w14:paraId="1E59BD77" w14:textId="15F2B59B" w:rsidR="005576E2" w:rsidRPr="00E11D3E" w:rsidRDefault="005576E2" w:rsidP="005D1DBC">
            <w:pPr>
              <w:rPr>
                <w:rFonts w:ascii="Arial" w:eastAsia="Arial" w:hAnsi="Arial" w:cs="Arial"/>
              </w:rPr>
            </w:pPr>
            <w:r w:rsidRPr="00E11D3E">
              <w:rPr>
                <w:rFonts w:ascii="Arial" w:hAnsi="Arial" w:cs="Arial"/>
                <w:i/>
                <w:iCs/>
              </w:rPr>
              <w:t>Výškopisné zaměření zájmového území</w:t>
            </w:r>
            <w:r w:rsidRPr="00E11D3E">
              <w:rPr>
                <w:rFonts w:ascii="Arial" w:hAnsi="Arial" w:cs="Arial"/>
              </w:rPr>
              <w:t xml:space="preserve"> dle čl. 6.3.1 i) a) Smlouvy</w:t>
            </w:r>
          </w:p>
        </w:tc>
        <w:tc>
          <w:tcPr>
            <w:tcW w:w="889" w:type="dxa"/>
            <w:vAlign w:val="center"/>
          </w:tcPr>
          <w:p w14:paraId="73C64DCD" w14:textId="77777777" w:rsidR="005576E2" w:rsidRPr="00E11D3E" w:rsidRDefault="005576E2" w:rsidP="00BE5DB4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1E8F5C2E" w14:textId="4ACA8C10" w:rsidR="005576E2" w:rsidRPr="00E11D3E" w:rsidRDefault="00B63672" w:rsidP="00E11D3E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20</w:t>
            </w:r>
          </w:p>
        </w:tc>
        <w:tc>
          <w:tcPr>
            <w:tcW w:w="803" w:type="dxa"/>
            <w:vAlign w:val="center"/>
          </w:tcPr>
          <w:p w14:paraId="19A3ADEE" w14:textId="0C242950" w:rsidR="005576E2" w:rsidRPr="00E11D3E" w:rsidRDefault="00B63672" w:rsidP="00BE5DB4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12</w:t>
            </w:r>
          </w:p>
        </w:tc>
        <w:tc>
          <w:tcPr>
            <w:tcW w:w="1956" w:type="dxa"/>
            <w:vAlign w:val="center"/>
          </w:tcPr>
          <w:p w14:paraId="37545210" w14:textId="7C2993E0" w:rsidR="005576E2" w:rsidRPr="00E11D3E" w:rsidRDefault="00B63672" w:rsidP="00BE5DB4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605</w:t>
            </w:r>
          </w:p>
        </w:tc>
        <w:tc>
          <w:tcPr>
            <w:tcW w:w="1701" w:type="dxa"/>
            <w:vAlign w:val="center"/>
          </w:tcPr>
          <w:p w14:paraId="38DCF80B" w14:textId="38978DFC" w:rsidR="005576E2" w:rsidRPr="00E11D3E" w:rsidRDefault="0002543D" w:rsidP="00BE5DB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-4840</w:t>
            </w:r>
          </w:p>
        </w:tc>
      </w:tr>
      <w:tr w:rsidR="00E11D3E" w:rsidRPr="00E11D3E" w14:paraId="7087C367" w14:textId="77777777" w:rsidTr="00E11D3E">
        <w:tc>
          <w:tcPr>
            <w:tcW w:w="711" w:type="dxa"/>
          </w:tcPr>
          <w:p w14:paraId="2C8E09EA" w14:textId="7EAF7472" w:rsidR="008E3753" w:rsidRPr="00E11D3E" w:rsidRDefault="008E3753" w:rsidP="008E3753">
            <w:pPr>
              <w:jc w:val="both"/>
              <w:rPr>
                <w:rFonts w:ascii="Arial" w:hAnsi="Arial" w:cs="Arial"/>
              </w:rPr>
            </w:pPr>
            <w:r w:rsidRPr="00E11D3E">
              <w:rPr>
                <w:rFonts w:ascii="Arial" w:hAnsi="Arial" w:cs="Arial"/>
              </w:rPr>
              <w:t>6.3.1 i) b)</w:t>
            </w:r>
          </w:p>
        </w:tc>
        <w:tc>
          <w:tcPr>
            <w:tcW w:w="2632" w:type="dxa"/>
          </w:tcPr>
          <w:p w14:paraId="601F2768" w14:textId="5D85954D" w:rsidR="008E3753" w:rsidRPr="00E11D3E" w:rsidRDefault="008E3753" w:rsidP="008E3753">
            <w:pPr>
              <w:rPr>
                <w:rFonts w:ascii="Arial" w:hAnsi="Arial" w:cs="Arial"/>
                <w:i/>
                <w:iCs/>
              </w:rPr>
            </w:pPr>
            <w:r w:rsidRPr="00E11D3E">
              <w:rPr>
                <w:rFonts w:ascii="Arial" w:hAnsi="Arial" w:cs="Arial"/>
                <w:i/>
                <w:iCs/>
              </w:rPr>
              <w:t xml:space="preserve">DTR </w:t>
            </w:r>
            <w:r w:rsidR="008F748F" w:rsidRPr="00E11D3E">
              <w:rPr>
                <w:rFonts w:ascii="Arial" w:hAnsi="Arial" w:cs="Arial"/>
                <w:i/>
                <w:iCs/>
              </w:rPr>
              <w:t>liniových dopravních staveb PSZ pro stanovení plochy záboru půdy stavbami dle čl. 6.3.</w:t>
            </w:r>
            <w:r w:rsidR="00AD7FCD" w:rsidRPr="00E11D3E">
              <w:rPr>
                <w:rFonts w:ascii="Arial" w:hAnsi="Arial" w:cs="Arial"/>
                <w:i/>
                <w:iCs/>
              </w:rPr>
              <w:t xml:space="preserve">1 </w:t>
            </w:r>
            <w:proofErr w:type="gramStart"/>
            <w:r w:rsidR="000A3B44" w:rsidRPr="00E11D3E">
              <w:rPr>
                <w:rFonts w:ascii="Arial" w:hAnsi="Arial" w:cs="Arial"/>
                <w:i/>
                <w:iCs/>
              </w:rPr>
              <w:t>i)b</w:t>
            </w:r>
            <w:proofErr w:type="gramEnd"/>
            <w:r w:rsidR="000A3B44" w:rsidRPr="00E11D3E">
              <w:rPr>
                <w:rFonts w:ascii="Arial" w:hAnsi="Arial" w:cs="Arial"/>
                <w:i/>
                <w:iCs/>
              </w:rPr>
              <w:t>)Smlouvy</w:t>
            </w:r>
          </w:p>
        </w:tc>
        <w:tc>
          <w:tcPr>
            <w:tcW w:w="889" w:type="dxa"/>
            <w:vAlign w:val="center"/>
          </w:tcPr>
          <w:p w14:paraId="2637AC15" w14:textId="306E5566" w:rsidR="008E3753" w:rsidRPr="00E11D3E" w:rsidRDefault="00697B11" w:rsidP="00BE5DB4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100bm</w:t>
            </w:r>
          </w:p>
        </w:tc>
        <w:tc>
          <w:tcPr>
            <w:tcW w:w="1084" w:type="dxa"/>
            <w:vAlign w:val="center"/>
          </w:tcPr>
          <w:p w14:paraId="40D1594D" w14:textId="621AE385" w:rsidR="008E3753" w:rsidRPr="00E11D3E" w:rsidRDefault="0091627A" w:rsidP="00E11D3E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50</w:t>
            </w:r>
          </w:p>
        </w:tc>
        <w:tc>
          <w:tcPr>
            <w:tcW w:w="803" w:type="dxa"/>
            <w:vAlign w:val="center"/>
          </w:tcPr>
          <w:p w14:paraId="3A5BB73D" w14:textId="7682D301" w:rsidR="008E3753" w:rsidRPr="00E11D3E" w:rsidRDefault="00F32AD6" w:rsidP="00BE5DB4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23</w:t>
            </w:r>
          </w:p>
        </w:tc>
        <w:tc>
          <w:tcPr>
            <w:tcW w:w="1956" w:type="dxa"/>
            <w:vAlign w:val="center"/>
          </w:tcPr>
          <w:p w14:paraId="6B9177F3" w14:textId="2EF2003C" w:rsidR="008E3753" w:rsidRPr="00E11D3E" w:rsidRDefault="00F32AD6" w:rsidP="00BE5DB4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605</w:t>
            </w:r>
          </w:p>
        </w:tc>
        <w:tc>
          <w:tcPr>
            <w:tcW w:w="1701" w:type="dxa"/>
            <w:vAlign w:val="center"/>
          </w:tcPr>
          <w:p w14:paraId="46B3887B" w14:textId="4CC30184" w:rsidR="008E3753" w:rsidRPr="00E11D3E" w:rsidRDefault="00364EFA" w:rsidP="00BE5DB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-16335</w:t>
            </w:r>
          </w:p>
        </w:tc>
      </w:tr>
      <w:tr w:rsidR="00E11D3E" w:rsidRPr="00E11D3E" w14:paraId="2F13D5E6" w14:textId="77777777" w:rsidTr="00E11D3E">
        <w:tc>
          <w:tcPr>
            <w:tcW w:w="711" w:type="dxa"/>
          </w:tcPr>
          <w:p w14:paraId="6DAF35EA" w14:textId="77E6DC1B" w:rsidR="008E3753" w:rsidRPr="00E11D3E" w:rsidRDefault="008E3753" w:rsidP="008E3753">
            <w:pPr>
              <w:jc w:val="both"/>
              <w:rPr>
                <w:rFonts w:ascii="Arial" w:hAnsi="Arial" w:cs="Arial"/>
              </w:rPr>
            </w:pPr>
            <w:r w:rsidRPr="00E11D3E">
              <w:rPr>
                <w:rFonts w:ascii="Arial" w:hAnsi="Arial" w:cs="Arial"/>
              </w:rPr>
              <w:t>6.3.1 i) b)</w:t>
            </w:r>
          </w:p>
        </w:tc>
        <w:tc>
          <w:tcPr>
            <w:tcW w:w="2632" w:type="dxa"/>
          </w:tcPr>
          <w:p w14:paraId="75B43908" w14:textId="49ABE4E7" w:rsidR="008E3753" w:rsidRPr="00E11D3E" w:rsidRDefault="000A3B44" w:rsidP="008E3753">
            <w:pPr>
              <w:rPr>
                <w:rFonts w:ascii="Arial" w:hAnsi="Arial" w:cs="Arial"/>
                <w:i/>
                <w:iCs/>
              </w:rPr>
            </w:pPr>
            <w:r w:rsidRPr="00E11D3E">
              <w:rPr>
                <w:rFonts w:ascii="Arial" w:hAnsi="Arial" w:cs="Arial"/>
                <w:i/>
                <w:iCs/>
              </w:rPr>
              <w:t>DTR liniových vodohospodářských a protierozních staveb PSZ pro stanovení plochy záboru půdy stavbami dle čl. 6.3.1</w:t>
            </w:r>
            <w:r w:rsidR="00AD7FCD" w:rsidRPr="00E11D3E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E11D3E">
              <w:rPr>
                <w:rFonts w:ascii="Arial" w:hAnsi="Arial" w:cs="Arial"/>
                <w:i/>
                <w:iCs/>
              </w:rPr>
              <w:t>i)b</w:t>
            </w:r>
            <w:proofErr w:type="gramEnd"/>
            <w:r w:rsidRPr="00E11D3E">
              <w:rPr>
                <w:rFonts w:ascii="Arial" w:hAnsi="Arial" w:cs="Arial"/>
                <w:i/>
                <w:iCs/>
              </w:rPr>
              <w:t>)Smlouvy</w:t>
            </w:r>
          </w:p>
        </w:tc>
        <w:tc>
          <w:tcPr>
            <w:tcW w:w="889" w:type="dxa"/>
            <w:vAlign w:val="center"/>
          </w:tcPr>
          <w:p w14:paraId="1DFCDED2" w14:textId="3ADD9F29" w:rsidR="008E3753" w:rsidRPr="00E11D3E" w:rsidRDefault="00697B11" w:rsidP="00BE5DB4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100bm</w:t>
            </w:r>
          </w:p>
        </w:tc>
        <w:tc>
          <w:tcPr>
            <w:tcW w:w="1084" w:type="dxa"/>
            <w:vAlign w:val="center"/>
          </w:tcPr>
          <w:p w14:paraId="08FCDBF5" w14:textId="3C975BEE" w:rsidR="008E3753" w:rsidRPr="00E11D3E" w:rsidRDefault="0091627A" w:rsidP="00E11D3E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10</w:t>
            </w:r>
          </w:p>
        </w:tc>
        <w:tc>
          <w:tcPr>
            <w:tcW w:w="803" w:type="dxa"/>
            <w:vAlign w:val="center"/>
          </w:tcPr>
          <w:p w14:paraId="678F0C49" w14:textId="13E5BB79" w:rsidR="008E3753" w:rsidRPr="00E11D3E" w:rsidRDefault="00F32AD6" w:rsidP="00BE5DB4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6</w:t>
            </w:r>
          </w:p>
        </w:tc>
        <w:tc>
          <w:tcPr>
            <w:tcW w:w="1956" w:type="dxa"/>
            <w:vAlign w:val="center"/>
          </w:tcPr>
          <w:p w14:paraId="75D734E4" w14:textId="39E56E31" w:rsidR="008E3753" w:rsidRPr="00E11D3E" w:rsidRDefault="00F32AD6" w:rsidP="00BE5DB4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1210</w:t>
            </w:r>
          </w:p>
        </w:tc>
        <w:tc>
          <w:tcPr>
            <w:tcW w:w="1701" w:type="dxa"/>
            <w:vAlign w:val="center"/>
          </w:tcPr>
          <w:p w14:paraId="5C151001" w14:textId="397A2B8E" w:rsidR="008E3753" w:rsidRPr="00E11D3E" w:rsidRDefault="00364EFA" w:rsidP="00BE5DB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-4840</w:t>
            </w:r>
          </w:p>
        </w:tc>
      </w:tr>
      <w:tr w:rsidR="00E11D3E" w:rsidRPr="00E11D3E" w14:paraId="56AE28E7" w14:textId="77777777" w:rsidTr="00E11D3E">
        <w:tc>
          <w:tcPr>
            <w:tcW w:w="711" w:type="dxa"/>
          </w:tcPr>
          <w:p w14:paraId="74A185EA" w14:textId="3A4FC560" w:rsidR="008E3753" w:rsidRPr="00E11D3E" w:rsidRDefault="008E3753" w:rsidP="008E3753">
            <w:pPr>
              <w:jc w:val="both"/>
              <w:rPr>
                <w:rFonts w:ascii="Arial" w:hAnsi="Arial" w:cs="Arial"/>
              </w:rPr>
            </w:pPr>
            <w:r w:rsidRPr="00E11D3E">
              <w:rPr>
                <w:rFonts w:ascii="Arial" w:hAnsi="Arial" w:cs="Arial"/>
              </w:rPr>
              <w:lastRenderedPageBreak/>
              <w:t>6.3.1 i) c)</w:t>
            </w:r>
          </w:p>
        </w:tc>
        <w:tc>
          <w:tcPr>
            <w:tcW w:w="2632" w:type="dxa"/>
          </w:tcPr>
          <w:p w14:paraId="739B6820" w14:textId="356B93AE" w:rsidR="008E3753" w:rsidRPr="00E11D3E" w:rsidRDefault="00A90D4A" w:rsidP="008E3753">
            <w:pPr>
              <w:rPr>
                <w:rFonts w:ascii="Arial" w:hAnsi="Arial" w:cs="Arial"/>
                <w:i/>
                <w:iCs/>
              </w:rPr>
            </w:pPr>
            <w:r w:rsidRPr="00E11D3E">
              <w:rPr>
                <w:rFonts w:ascii="Arial" w:hAnsi="Arial" w:cs="Arial"/>
                <w:i/>
                <w:iCs/>
              </w:rPr>
              <w:t>DTR vodohospodářských staveb PSZ dle čl. 6.3.1</w:t>
            </w:r>
            <w:r w:rsidR="00AD7FCD" w:rsidRPr="00E11D3E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="00AD7FCD" w:rsidRPr="00E11D3E">
              <w:rPr>
                <w:rFonts w:ascii="Arial" w:hAnsi="Arial" w:cs="Arial"/>
                <w:i/>
                <w:iCs/>
              </w:rPr>
              <w:t>i)b</w:t>
            </w:r>
            <w:proofErr w:type="gramEnd"/>
            <w:r w:rsidR="00AD7FCD" w:rsidRPr="00E11D3E">
              <w:rPr>
                <w:rFonts w:ascii="Arial" w:hAnsi="Arial" w:cs="Arial"/>
                <w:i/>
                <w:iCs/>
              </w:rPr>
              <w:t>) Smlouvy</w:t>
            </w:r>
          </w:p>
        </w:tc>
        <w:tc>
          <w:tcPr>
            <w:tcW w:w="889" w:type="dxa"/>
            <w:vAlign w:val="center"/>
          </w:tcPr>
          <w:p w14:paraId="2BF69939" w14:textId="3BF6E626" w:rsidR="008E3753" w:rsidRPr="00E11D3E" w:rsidRDefault="00697B11" w:rsidP="008E3753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ks</w:t>
            </w:r>
          </w:p>
        </w:tc>
        <w:tc>
          <w:tcPr>
            <w:tcW w:w="1084" w:type="dxa"/>
          </w:tcPr>
          <w:p w14:paraId="10DB5AE0" w14:textId="77777777" w:rsidR="00F32AD6" w:rsidRPr="00E11D3E" w:rsidRDefault="00F32AD6" w:rsidP="008E3753">
            <w:pPr>
              <w:jc w:val="center"/>
              <w:rPr>
                <w:rFonts w:ascii="Arial" w:eastAsia="Arial" w:hAnsi="Arial" w:cs="Arial"/>
              </w:rPr>
            </w:pPr>
          </w:p>
          <w:p w14:paraId="2E60F474" w14:textId="581DF8B7" w:rsidR="008E3753" w:rsidRPr="00E11D3E" w:rsidRDefault="0091627A" w:rsidP="008E3753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2</w:t>
            </w:r>
          </w:p>
        </w:tc>
        <w:tc>
          <w:tcPr>
            <w:tcW w:w="803" w:type="dxa"/>
            <w:vAlign w:val="center"/>
          </w:tcPr>
          <w:p w14:paraId="588ECA53" w14:textId="6F55D49D" w:rsidR="008E3753" w:rsidRPr="00E11D3E" w:rsidRDefault="00F32AD6" w:rsidP="008E3753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4</w:t>
            </w:r>
          </w:p>
        </w:tc>
        <w:tc>
          <w:tcPr>
            <w:tcW w:w="1956" w:type="dxa"/>
            <w:vAlign w:val="center"/>
          </w:tcPr>
          <w:p w14:paraId="78F4B73A" w14:textId="3F88EB67" w:rsidR="008E3753" w:rsidRPr="00E11D3E" w:rsidRDefault="00F32AD6" w:rsidP="008E3753">
            <w:pPr>
              <w:jc w:val="center"/>
              <w:rPr>
                <w:rFonts w:ascii="Arial" w:eastAsia="Arial" w:hAnsi="Arial" w:cs="Arial"/>
              </w:rPr>
            </w:pPr>
            <w:r w:rsidRPr="00E11D3E">
              <w:rPr>
                <w:rFonts w:ascii="Arial" w:eastAsia="Arial" w:hAnsi="Arial" w:cs="Arial"/>
              </w:rPr>
              <w:t>12100</w:t>
            </w:r>
          </w:p>
        </w:tc>
        <w:tc>
          <w:tcPr>
            <w:tcW w:w="1701" w:type="dxa"/>
            <w:vAlign w:val="center"/>
          </w:tcPr>
          <w:p w14:paraId="5F262D8B" w14:textId="06B06822" w:rsidR="008E3753" w:rsidRPr="00E11D3E" w:rsidRDefault="00364EFA" w:rsidP="008E375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24200</w:t>
            </w:r>
          </w:p>
        </w:tc>
      </w:tr>
      <w:tr w:rsidR="00E11D3E" w:rsidRPr="00E11D3E" w14:paraId="28FE01F0" w14:textId="77777777" w:rsidTr="00E11D3E">
        <w:tc>
          <w:tcPr>
            <w:tcW w:w="711" w:type="dxa"/>
          </w:tcPr>
          <w:p w14:paraId="55267F73" w14:textId="77777777" w:rsidR="008E3753" w:rsidRPr="00E11D3E" w:rsidRDefault="008E3753" w:rsidP="008E37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2" w:type="dxa"/>
          </w:tcPr>
          <w:p w14:paraId="40F43E9C" w14:textId="05922BB5" w:rsidR="008E3753" w:rsidRPr="00E11D3E" w:rsidRDefault="008E3753" w:rsidP="008E3753">
            <w:pPr>
              <w:rPr>
                <w:rFonts w:ascii="Arial" w:hAnsi="Arial" w:cs="Arial"/>
              </w:rPr>
            </w:pPr>
            <w:r w:rsidRPr="00E11D3E">
              <w:rPr>
                <w:rFonts w:ascii="Arial" w:hAnsi="Arial" w:cs="Arial"/>
              </w:rPr>
              <w:t xml:space="preserve">Součet </w:t>
            </w:r>
            <w:r w:rsidR="0095482D" w:rsidRPr="00E11D3E">
              <w:rPr>
                <w:rFonts w:ascii="Arial" w:hAnsi="Arial" w:cs="Arial"/>
              </w:rPr>
              <w:t>úpravy</w:t>
            </w:r>
            <w:r w:rsidRPr="00E11D3E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889" w:type="dxa"/>
            <w:vAlign w:val="center"/>
          </w:tcPr>
          <w:p w14:paraId="7512CCB9" w14:textId="77777777" w:rsidR="008E3753" w:rsidRPr="00E11D3E" w:rsidRDefault="008E3753" w:rsidP="008E375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8E3753" w:rsidRPr="00E11D3E" w:rsidRDefault="008E3753" w:rsidP="008E375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3" w:type="dxa"/>
            <w:vAlign w:val="center"/>
          </w:tcPr>
          <w:p w14:paraId="0140D6FD" w14:textId="77777777" w:rsidR="008E3753" w:rsidRPr="00E11D3E" w:rsidRDefault="008E3753" w:rsidP="008E375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00AA998F" w14:textId="77777777" w:rsidR="008E3753" w:rsidRPr="00E11D3E" w:rsidRDefault="008E3753" w:rsidP="008E375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BD1C1A1" w14:textId="3A6C6238" w:rsidR="008E3753" w:rsidRPr="00E11D3E" w:rsidRDefault="00D056DA" w:rsidP="008E375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11D3E">
              <w:rPr>
                <w:rFonts w:ascii="Arial" w:eastAsia="Arial" w:hAnsi="Arial" w:cs="Arial"/>
                <w:b/>
                <w:bCs/>
              </w:rPr>
              <w:t>-1815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150874D9" w:rsidR="00DF6A64" w:rsidRDefault="00DF6A64" w:rsidP="002035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D51B9">
        <w:rPr>
          <w:rFonts w:ascii="Arial" w:hAnsi="Arial" w:cs="Arial"/>
          <w:b/>
          <w:bCs/>
        </w:rPr>
        <w:t>-</w:t>
      </w:r>
      <w:r w:rsidR="00E362CE">
        <w:rPr>
          <w:rFonts w:ascii="Arial" w:hAnsi="Arial" w:cs="Arial"/>
          <w:b/>
          <w:bCs/>
        </w:rPr>
        <w:t>1 815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63147A">
        <w:rPr>
          <w:rFonts w:ascii="Arial" w:hAnsi="Arial" w:cs="Arial"/>
        </w:rPr>
        <w:t>2,16</w:t>
      </w:r>
      <w:r w:rsidR="00E80464">
        <w:rPr>
          <w:rFonts w:ascii="Arial" w:hAnsi="Arial" w:cs="Arial"/>
        </w:rPr>
        <w:t xml:space="preserve"> %</w:t>
      </w:r>
      <w:r w:rsidR="001F1617">
        <w:rPr>
          <w:rFonts w:ascii="Arial" w:hAnsi="Arial" w:cs="Arial"/>
        </w:rPr>
        <w:t xml:space="preserve">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E362CE">
        <w:rPr>
          <w:rFonts w:ascii="Arial" w:hAnsi="Arial" w:cs="Arial"/>
          <w:b/>
          <w:bCs/>
        </w:rPr>
        <w:t>snížena</w:t>
      </w:r>
      <w:r w:rsidR="00F449C4">
        <w:rPr>
          <w:rFonts w:ascii="Arial" w:hAnsi="Arial" w:cs="Arial"/>
        </w:rPr>
        <w:t>.</w:t>
      </w:r>
    </w:p>
    <w:p w14:paraId="72E589C6" w14:textId="3EED968A" w:rsidR="00DF6A64" w:rsidRDefault="00DF6A64" w:rsidP="00203596">
      <w:pPr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 w:rsidRPr="00396389">
        <w:rPr>
          <w:rFonts w:ascii="Arial" w:hAnsi="Arial" w:cs="Arial"/>
          <w:b/>
          <w:bCs/>
        </w:rPr>
        <w:t>sníží</w:t>
      </w:r>
      <w:r w:rsidR="00C060EA" w:rsidRPr="00396389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 xml:space="preserve">o </w:t>
      </w:r>
      <w:r w:rsidR="00396389">
        <w:rPr>
          <w:rFonts w:ascii="Arial" w:hAnsi="Arial" w:cs="Arial"/>
          <w:b/>
          <w:bCs/>
        </w:rPr>
        <w:t>1 815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20359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203596">
      <w:pPr>
        <w:jc w:val="both"/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203596">
      <w:pPr>
        <w:jc w:val="both"/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51C733C7" w:rsidR="00591610" w:rsidRPr="00A6360B" w:rsidRDefault="00BC38A1" w:rsidP="00203596">
      <w:pPr>
        <w:jc w:val="both"/>
        <w:rPr>
          <w:rFonts w:ascii="Arial" w:hAnsi="Arial" w:cs="Arial"/>
        </w:rPr>
      </w:pPr>
      <w:r w:rsidRPr="00A6360B">
        <w:rPr>
          <w:rFonts w:ascii="Arial" w:hAnsi="Arial" w:cs="Arial"/>
        </w:rPr>
        <w:t xml:space="preserve">Plán společných zařízení byl vypracován dle </w:t>
      </w:r>
      <w:r w:rsidR="00A6360B" w:rsidRPr="00A6360B">
        <w:rPr>
          <w:rFonts w:ascii="Arial" w:hAnsi="Arial" w:cs="Arial"/>
        </w:rPr>
        <w:t>požadavků</w:t>
      </w:r>
      <w:r w:rsidRPr="00A6360B">
        <w:rPr>
          <w:rFonts w:ascii="Arial" w:hAnsi="Arial" w:cs="Arial"/>
        </w:rPr>
        <w:t xml:space="preserve"> obce</w:t>
      </w:r>
      <w:r w:rsidR="00A6360B" w:rsidRPr="00A6360B">
        <w:rPr>
          <w:rFonts w:ascii="Arial" w:hAnsi="Arial" w:cs="Arial"/>
        </w:rPr>
        <w:t xml:space="preserve">, sboru zástupců a </w:t>
      </w:r>
      <w:r w:rsidR="00A6360B">
        <w:rPr>
          <w:rFonts w:ascii="Arial" w:hAnsi="Arial" w:cs="Arial"/>
        </w:rPr>
        <w:t xml:space="preserve">se zapracováním připomínek dotčených orgánů a RDK. </w:t>
      </w:r>
      <w:r w:rsidR="0079418E">
        <w:rPr>
          <w:rFonts w:ascii="Arial" w:hAnsi="Arial" w:cs="Arial"/>
        </w:rPr>
        <w:t xml:space="preserve">Úprava MJ je provedena dle skutečného </w:t>
      </w:r>
      <w:r w:rsidR="00D3565C">
        <w:rPr>
          <w:rFonts w:ascii="Arial" w:hAnsi="Arial" w:cs="Arial"/>
        </w:rPr>
        <w:t xml:space="preserve">rozsahu navrhovaných a schválených </w:t>
      </w:r>
      <w:r w:rsidR="00861755">
        <w:rPr>
          <w:rFonts w:ascii="Arial" w:hAnsi="Arial" w:cs="Arial"/>
        </w:rPr>
        <w:t>opatření.</w:t>
      </w:r>
    </w:p>
    <w:p w14:paraId="1F53A118" w14:textId="51C733C7" w:rsidR="00F76A5A" w:rsidRDefault="00621549" w:rsidP="00203596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3" w:name="_Hlk215054031"/>
      <w:r>
        <w:rPr>
          <w:rFonts w:ascii="Arial" w:hAnsi="Arial" w:cs="Arial"/>
          <w:bCs/>
        </w:rPr>
        <w:t>D</w:t>
      </w:r>
      <w:r w:rsidR="007E113B" w:rsidRPr="0076002D">
        <w:rPr>
          <w:rFonts w:ascii="Arial" w:hAnsi="Arial" w:cs="Arial"/>
          <w:bCs/>
        </w:rPr>
        <w:t>odatek je uzavřen v souladu s ust</w:t>
      </w:r>
      <w:r w:rsidR="00404E33" w:rsidRPr="0076002D">
        <w:rPr>
          <w:rFonts w:ascii="Arial" w:hAnsi="Arial" w:cs="Arial"/>
          <w:bCs/>
        </w:rPr>
        <w:t>anovením</w:t>
      </w:r>
      <w:r w:rsidR="007E113B" w:rsidRPr="0076002D">
        <w:rPr>
          <w:rFonts w:ascii="Arial" w:hAnsi="Arial" w:cs="Arial"/>
          <w:bCs/>
        </w:rPr>
        <w:t xml:space="preserve"> § 222 odst. </w:t>
      </w:r>
      <w:r w:rsidR="008A54A8" w:rsidRPr="0076002D">
        <w:rPr>
          <w:rFonts w:ascii="Arial" w:hAnsi="Arial" w:cs="Arial"/>
          <w:bCs/>
        </w:rPr>
        <w:t>4</w:t>
      </w:r>
      <w:r w:rsidR="001F1617" w:rsidRPr="0076002D">
        <w:rPr>
          <w:rFonts w:ascii="Arial" w:hAnsi="Arial" w:cs="Arial"/>
          <w:bCs/>
        </w:rPr>
        <w:t xml:space="preserve"> </w:t>
      </w:r>
      <w:r w:rsidR="0069516E" w:rsidRPr="0076002D">
        <w:rPr>
          <w:rFonts w:ascii="Arial" w:hAnsi="Arial" w:cs="Arial"/>
          <w:bCs/>
        </w:rPr>
        <w:t>ZZVZ</w:t>
      </w:r>
      <w:r w:rsidR="007E113B" w:rsidRPr="0076002D">
        <w:rPr>
          <w:rFonts w:ascii="Arial" w:hAnsi="Arial" w:cs="Arial"/>
          <w:bCs/>
        </w:rPr>
        <w:t xml:space="preserve">. </w:t>
      </w:r>
      <w:r w:rsidR="009268FD" w:rsidRPr="0076002D">
        <w:rPr>
          <w:rFonts w:ascii="Arial" w:hAnsi="Arial" w:cs="Arial"/>
          <w:bCs/>
        </w:rPr>
        <w:t xml:space="preserve"> S</w:t>
      </w:r>
      <w:r w:rsidR="00FF52C9" w:rsidRPr="0076002D">
        <w:rPr>
          <w:rFonts w:ascii="Arial" w:hAnsi="Arial" w:cs="Arial"/>
          <w:bCs/>
        </w:rPr>
        <w:t>oučet hodnot všech změn</w:t>
      </w:r>
      <w:r w:rsidR="00356454" w:rsidRPr="0076002D">
        <w:rPr>
          <w:rFonts w:ascii="Arial" w:hAnsi="Arial" w:cs="Arial"/>
          <w:bCs/>
        </w:rPr>
        <w:t xml:space="preserve">, </w:t>
      </w:r>
      <w:r w:rsidR="00404E33" w:rsidRPr="0076002D">
        <w:rPr>
          <w:rFonts w:ascii="Arial" w:hAnsi="Arial" w:cs="Arial"/>
          <w:bCs/>
        </w:rPr>
        <w:br/>
      </w:r>
      <w:r w:rsidR="00356454" w:rsidRPr="0076002D">
        <w:rPr>
          <w:rFonts w:ascii="Arial" w:hAnsi="Arial" w:cs="Arial"/>
          <w:bCs/>
        </w:rPr>
        <w:t>i dříve provedených</w:t>
      </w:r>
      <w:r w:rsidR="00591610" w:rsidRPr="0076002D">
        <w:rPr>
          <w:rFonts w:ascii="Arial" w:hAnsi="Arial" w:cs="Arial"/>
          <w:bCs/>
        </w:rPr>
        <w:t xml:space="preserve"> (dodatky č. </w:t>
      </w:r>
      <w:r w:rsidR="00B06941" w:rsidRPr="0076002D">
        <w:rPr>
          <w:rFonts w:ascii="Arial" w:hAnsi="Arial" w:cs="Arial"/>
          <w:bCs/>
        </w:rPr>
        <w:t>1–4</w:t>
      </w:r>
      <w:r w:rsidR="00F31904" w:rsidRPr="0076002D">
        <w:rPr>
          <w:rFonts w:ascii="Arial" w:hAnsi="Arial" w:cs="Arial"/>
          <w:bCs/>
        </w:rPr>
        <w:t xml:space="preserve"> nepřesáhne </w:t>
      </w:r>
      <w:r w:rsidR="00C060EA" w:rsidRPr="0076002D">
        <w:rPr>
          <w:rFonts w:ascii="Arial" w:hAnsi="Arial" w:cs="Arial"/>
          <w:bCs/>
        </w:rPr>
        <w:t xml:space="preserve">dle odst. 4 v absolutní hodnotě </w:t>
      </w:r>
      <w:r w:rsidR="0076002D" w:rsidRPr="0076002D">
        <w:rPr>
          <w:rFonts w:ascii="Arial" w:hAnsi="Arial" w:cs="Arial"/>
          <w:bCs/>
        </w:rPr>
        <w:t>3,93</w:t>
      </w:r>
      <w:r w:rsidR="001F1617" w:rsidRPr="0076002D">
        <w:rPr>
          <w:rFonts w:ascii="Arial" w:hAnsi="Arial" w:cs="Arial"/>
          <w:bCs/>
        </w:rPr>
        <w:t xml:space="preserve"> </w:t>
      </w:r>
      <w:r w:rsidR="00F31904" w:rsidRPr="0076002D">
        <w:rPr>
          <w:rFonts w:ascii="Arial" w:hAnsi="Arial" w:cs="Arial"/>
          <w:bCs/>
        </w:rPr>
        <w:t>%</w:t>
      </w:r>
      <w:r w:rsidR="00C060EA" w:rsidRPr="0076002D">
        <w:rPr>
          <w:rFonts w:ascii="Arial" w:hAnsi="Arial" w:cs="Arial"/>
          <w:bCs/>
        </w:rPr>
        <w:t xml:space="preserve"> </w:t>
      </w:r>
      <w:r w:rsidR="00F31904" w:rsidRPr="0076002D">
        <w:rPr>
          <w:rFonts w:ascii="Arial" w:hAnsi="Arial" w:cs="Arial"/>
          <w:bCs/>
        </w:rPr>
        <w:t>původní hodnoty závazku.</w:t>
      </w:r>
      <w:bookmarkEnd w:id="3"/>
      <w:r w:rsidR="00F31904" w:rsidRPr="0076002D">
        <w:rPr>
          <w:rFonts w:ascii="Arial" w:hAnsi="Arial" w:cs="Arial"/>
          <w:bCs/>
        </w:rPr>
        <w:t xml:space="preserve"> </w:t>
      </w:r>
    </w:p>
    <w:p w14:paraId="18CA0C9D" w14:textId="7920365B" w:rsidR="00202B10" w:rsidRPr="00AA6AFD" w:rsidRDefault="00AA6AFD" w:rsidP="0020359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AA6AFD">
        <w:rPr>
          <w:rFonts w:ascii="Arial" w:hAnsi="Arial" w:cs="Arial"/>
          <w:szCs w:val="22"/>
          <w:u w:val="single"/>
        </w:rPr>
        <w:t>Z</w:t>
      </w:r>
      <w:r w:rsidR="00591610" w:rsidRPr="00AA6AFD">
        <w:rPr>
          <w:rFonts w:ascii="Arial" w:hAnsi="Arial" w:cs="Arial"/>
          <w:szCs w:val="22"/>
          <w:u w:val="single"/>
        </w:rPr>
        <w:t>měna termínů předání dílčích částí:</w:t>
      </w:r>
    </w:p>
    <w:p w14:paraId="29FBAF18" w14:textId="1C331640" w:rsidR="00F76A5A" w:rsidRDefault="00F76A5A" w:rsidP="00203596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ED6F7E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ED6F7E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64EF4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C532DB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532DB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C532DB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532DB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0A018992" w:rsidR="00B64EF4" w:rsidRPr="00133809" w:rsidRDefault="001636DB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0E55DE41" w:rsidR="00B64EF4" w:rsidRPr="00ED6F7E" w:rsidRDefault="00AE3A21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D6F7E">
              <w:rPr>
                <w:rFonts w:ascii="Arial" w:hAnsi="Arial" w:cs="Arial"/>
                <w:b/>
                <w:bCs/>
              </w:rPr>
              <w:t>5.6.2026</w:t>
            </w:r>
          </w:p>
        </w:tc>
      </w:tr>
      <w:tr w:rsidR="00B64EF4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C532DB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532DB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C532DB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532DB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="00202B10" w:rsidRPr="00C532DB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Pr="00ED6F7E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C532DB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532DB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C532DB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532DB">
              <w:rPr>
                <w:rFonts w:ascii="Arial" w:eastAsia="Arial" w:hAnsi="Arial" w:cs="Arial"/>
                <w:i/>
                <w:iCs/>
              </w:rPr>
              <w:t>DTR liniových dopravních staveb PSZ pro stanovení plochy záboru půdy stavbami dle čl. 6.3.1 i) b) Smlouvy</w:t>
            </w:r>
            <w:r w:rsidR="00202B10" w:rsidRPr="00C532DB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Pr="00ED6F7E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C532DB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532DB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1C17F3C6" w:rsidR="00B64EF4" w:rsidRPr="00C532DB" w:rsidRDefault="00202B10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532DB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B64EF4" w:rsidRPr="00C532DB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  <w:r w:rsidRPr="00C532DB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Pr="00ED6F7E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C532DB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532DB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C532DB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532DB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Pr="00ED6F7E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26797205" w:rsidR="00B64EF4" w:rsidRPr="003F10C1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A4003D3" w:rsidR="00B64EF4" w:rsidRDefault="00AE3A21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16.4.2027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0D49788B" w:rsidR="00B64EF4" w:rsidRPr="00ED6F7E" w:rsidRDefault="00AE3A21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D6F7E">
              <w:rPr>
                <w:rFonts w:ascii="Arial" w:hAnsi="Arial" w:cs="Arial"/>
                <w:b/>
                <w:bCs/>
              </w:rPr>
              <w:t>5.6.2027</w:t>
            </w:r>
          </w:p>
        </w:tc>
      </w:tr>
      <w:bookmarkEnd w:id="4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7CFAF781" w14:textId="4FD120D7" w:rsidR="00203596" w:rsidRPr="00203596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7857EE7F" w14:textId="77777777" w:rsidR="00B533C9" w:rsidRDefault="00B533C9" w:rsidP="00203596">
      <w:pPr>
        <w:rPr>
          <w:rFonts w:ascii="Arial" w:hAnsi="Arial" w:cs="Arial"/>
          <w:b/>
          <w:bCs/>
          <w:u w:val="single"/>
        </w:rPr>
      </w:pPr>
    </w:p>
    <w:p w14:paraId="311CBC62" w14:textId="77777777" w:rsidR="00B533C9" w:rsidRDefault="00B533C9" w:rsidP="00203596">
      <w:pPr>
        <w:rPr>
          <w:rFonts w:ascii="Arial" w:hAnsi="Arial" w:cs="Arial"/>
          <w:b/>
          <w:bCs/>
          <w:u w:val="single"/>
        </w:rPr>
      </w:pPr>
    </w:p>
    <w:p w14:paraId="2EFA2DE6" w14:textId="60658142" w:rsidR="00203596" w:rsidRDefault="00824BDC" w:rsidP="00B533C9">
      <w:pPr>
        <w:jc w:val="both"/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lastRenderedPageBreak/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DAF8F0A" w14:textId="1A4A49B4" w:rsidR="00AD63B1" w:rsidRPr="00203596" w:rsidRDefault="00925C63" w:rsidP="00B533C9">
      <w:pPr>
        <w:jc w:val="both"/>
        <w:rPr>
          <w:rFonts w:ascii="Arial" w:hAnsi="Arial" w:cs="Arial"/>
          <w:b/>
          <w:bCs/>
          <w:u w:val="single"/>
        </w:rPr>
      </w:pPr>
      <w:r w:rsidRPr="00BC3954">
        <w:rPr>
          <w:rFonts w:ascii="Arial" w:hAnsi="Arial" w:cs="Arial"/>
        </w:rPr>
        <w:t>V souladu s bodem 6.3.1.</w:t>
      </w:r>
      <w:r w:rsidR="0036521E" w:rsidRPr="00BC3954">
        <w:rPr>
          <w:rFonts w:ascii="Arial" w:hAnsi="Arial" w:cs="Arial"/>
        </w:rPr>
        <w:t>f</w:t>
      </w:r>
      <w:r w:rsidRPr="00BC3954">
        <w:rPr>
          <w:rFonts w:ascii="Arial" w:hAnsi="Arial" w:cs="Arial"/>
        </w:rPr>
        <w:t xml:space="preserve"> sml</w:t>
      </w:r>
      <w:r w:rsidR="00977720" w:rsidRPr="00BC3954">
        <w:rPr>
          <w:rFonts w:ascii="Arial" w:hAnsi="Arial" w:cs="Arial"/>
        </w:rPr>
        <w:t>ouvy předloží Objednate</w:t>
      </w:r>
      <w:r w:rsidR="00B25551" w:rsidRPr="00BC3954">
        <w:rPr>
          <w:rFonts w:ascii="Arial" w:hAnsi="Arial" w:cs="Arial"/>
        </w:rPr>
        <w:t xml:space="preserve">l PSZ ke schválení zastupitelstvu obce na veřejném zasedání. </w:t>
      </w:r>
      <w:r w:rsidR="00C21CD6" w:rsidRPr="00BC3954">
        <w:rPr>
          <w:rFonts w:ascii="Arial" w:hAnsi="Arial" w:cs="Arial"/>
        </w:rPr>
        <w:t>Zastupitelstvo obce se konalo 4.3.2026</w:t>
      </w:r>
      <w:r w:rsidR="00AD63B1" w:rsidRPr="00BC3954">
        <w:rPr>
          <w:rFonts w:ascii="Arial" w:hAnsi="Arial" w:cs="Arial"/>
        </w:rPr>
        <w:t>.</w:t>
      </w:r>
      <w:r w:rsidR="00100D92" w:rsidRPr="00BC3954">
        <w:rPr>
          <w:rFonts w:ascii="Arial" w:hAnsi="Arial" w:cs="Arial"/>
        </w:rPr>
        <w:t xml:space="preserve"> </w:t>
      </w:r>
      <w:r w:rsidR="00841F21" w:rsidRPr="00BC3954">
        <w:rPr>
          <w:rFonts w:ascii="Arial" w:hAnsi="Arial" w:cs="Arial"/>
        </w:rPr>
        <w:t>Další termín není prozatím stanoven</w:t>
      </w:r>
      <w:r w:rsidR="00001BEF" w:rsidRPr="00BC3954">
        <w:rPr>
          <w:rFonts w:ascii="Arial" w:hAnsi="Arial" w:cs="Arial"/>
        </w:rPr>
        <w:t>.</w:t>
      </w:r>
      <w:r w:rsidR="00841F21" w:rsidRPr="00BC3954">
        <w:rPr>
          <w:rFonts w:ascii="Arial" w:hAnsi="Arial" w:cs="Arial"/>
        </w:rPr>
        <w:t xml:space="preserve"> </w:t>
      </w:r>
      <w:r w:rsidR="00100D92" w:rsidRPr="00BC3954">
        <w:rPr>
          <w:rFonts w:ascii="Arial" w:hAnsi="Arial" w:cs="Arial"/>
        </w:rPr>
        <w:t>Dle sdělení starosty obce bude následující zastupitelstvo svoláno nejpozději do 3 měsíců</w:t>
      </w:r>
      <w:r w:rsidR="00FE64D6" w:rsidRPr="00BC3954">
        <w:rPr>
          <w:rFonts w:ascii="Arial" w:hAnsi="Arial" w:cs="Arial"/>
        </w:rPr>
        <w:t xml:space="preserve"> od </w:t>
      </w:r>
      <w:r w:rsidR="00001BEF" w:rsidRPr="00BC3954">
        <w:rPr>
          <w:rFonts w:ascii="Arial" w:hAnsi="Arial" w:cs="Arial"/>
        </w:rPr>
        <w:t>data</w:t>
      </w:r>
      <w:r w:rsidR="00001BEF">
        <w:rPr>
          <w:rFonts w:ascii="Arial" w:hAnsi="Arial" w:cs="Arial"/>
          <w:i/>
          <w:iCs/>
        </w:rPr>
        <w:t xml:space="preserve"> </w:t>
      </w:r>
      <w:r w:rsidR="00001BEF" w:rsidRPr="00BC3954">
        <w:rPr>
          <w:rFonts w:ascii="Arial" w:hAnsi="Arial" w:cs="Arial"/>
        </w:rPr>
        <w:t>konání</w:t>
      </w:r>
      <w:r w:rsidR="00FE64D6" w:rsidRPr="00BC3954">
        <w:rPr>
          <w:rFonts w:ascii="Arial" w:hAnsi="Arial" w:cs="Arial"/>
        </w:rPr>
        <w:t xml:space="preserve"> předchozího zastupitelstva.</w:t>
      </w:r>
      <w:r w:rsidR="00841F21" w:rsidRPr="00BC3954">
        <w:rPr>
          <w:rFonts w:ascii="Arial" w:hAnsi="Arial" w:cs="Arial"/>
        </w:rPr>
        <w:t xml:space="preserve"> </w:t>
      </w:r>
      <w:r w:rsidR="001C694E" w:rsidRPr="00BC3954">
        <w:rPr>
          <w:rFonts w:ascii="Arial" w:hAnsi="Arial" w:cs="Arial"/>
        </w:rPr>
        <w:t xml:space="preserve">V souladu s ustanovením bodu 6.3.1 g) je v takovém případě </w:t>
      </w:r>
      <w:r w:rsidR="009801D2" w:rsidRPr="00BC3954">
        <w:rPr>
          <w:rFonts w:ascii="Arial" w:hAnsi="Arial" w:cs="Arial"/>
        </w:rPr>
        <w:t xml:space="preserve">možné prodloužit termín v souladu s čl. 2.1. Smlouvy o nezbytnou dobu. </w:t>
      </w:r>
    </w:p>
    <w:p w14:paraId="7EAAA8FA" w14:textId="77777777" w:rsidR="00163AD6" w:rsidRDefault="00163AD6" w:rsidP="00B53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4DD15706" w:rsidR="00B77C33" w:rsidRDefault="0069516E" w:rsidP="00B533C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</w:t>
      </w:r>
      <w:r w:rsidRPr="00347190">
        <w:rPr>
          <w:rFonts w:ascii="Arial" w:hAnsi="Arial" w:cs="Arial"/>
          <w:bCs/>
        </w:rPr>
        <w:t xml:space="preserve">222 odst. </w:t>
      </w:r>
      <w:r w:rsidR="00885530">
        <w:rPr>
          <w:rFonts w:ascii="Arial" w:hAnsi="Arial" w:cs="Arial"/>
          <w:bCs/>
        </w:rPr>
        <w:t>2</w:t>
      </w:r>
      <w:r w:rsidRPr="00347190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B53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B533C9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B533C9">
      <w:pPr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B533C9">
      <w:pPr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24A8E7A" w:rsidR="00AB2493" w:rsidRDefault="00AB2493" w:rsidP="00B533C9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B26A9D">
        <w:rPr>
          <w:rFonts w:ascii="Arial" w:hAnsi="Arial" w:cs="Arial"/>
          <w:snapToGrid w:val="0"/>
        </w:rPr>
        <w:t>v čl.</w:t>
      </w:r>
      <w:r w:rsidRPr="00B26A9D">
        <w:rPr>
          <w:rFonts w:ascii="Arial" w:hAnsi="Arial" w:cs="Arial"/>
          <w:i/>
          <w:iCs/>
        </w:rPr>
        <w:t xml:space="preserve"> </w:t>
      </w:r>
      <w:r w:rsidR="003707B8" w:rsidRPr="00B26A9D">
        <w:rPr>
          <w:rFonts w:ascii="Arial" w:hAnsi="Arial" w:cs="Arial"/>
          <w:snapToGrid w:val="0"/>
        </w:rPr>
        <w:t>3.1.</w:t>
      </w:r>
      <w:r w:rsidR="00CE1FA9" w:rsidRPr="00B26A9D">
        <w:rPr>
          <w:rFonts w:eastAsia="Times New Roman" w:cs="Arial"/>
          <w:snapToGrid w:val="0"/>
        </w:rPr>
        <w:t xml:space="preserve"> </w:t>
      </w:r>
      <w:r w:rsidR="00CE1FA9" w:rsidRPr="00B26A9D">
        <w:rPr>
          <w:rFonts w:ascii="Arial" w:eastAsia="Times New Roman" w:hAnsi="Arial" w:cs="Arial"/>
          <w:snapToGrid w:val="0"/>
        </w:rPr>
        <w:t>Smlouvy</w:t>
      </w:r>
      <w:r w:rsidRPr="00B26A9D">
        <w:rPr>
          <w:rFonts w:ascii="Arial" w:hAnsi="Arial" w:cs="Arial"/>
          <w:snapToGrid w:val="0"/>
        </w:rPr>
        <w:t>, takto:</w:t>
      </w:r>
      <w:r w:rsidRPr="00AB2493">
        <w:rPr>
          <w:rFonts w:ascii="Arial" w:hAnsi="Arial" w:cs="Arial"/>
          <w:snapToGrid w:val="0"/>
        </w:rPr>
        <w:t xml:space="preserve"> </w:t>
      </w:r>
    </w:p>
    <w:tbl>
      <w:tblPr>
        <w:tblW w:w="399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</w:tblGrid>
      <w:tr w:rsidR="0013757C" w:rsidRPr="00763C03" w14:paraId="05BD1359" w14:textId="77777777" w:rsidTr="0013757C">
        <w:trPr>
          <w:trHeight w:val="288"/>
        </w:trPr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13757C" w:rsidRPr="00763C03" w:rsidRDefault="0013757C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13757C" w:rsidRPr="00763C03" w:rsidRDefault="0013757C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</w:tr>
      <w:tr w:rsidR="0013757C" w:rsidRPr="00763C03" w14:paraId="453F19E0" w14:textId="77777777" w:rsidTr="0013757C">
        <w:trPr>
          <w:trHeight w:val="288"/>
        </w:trPr>
        <w:tc>
          <w:tcPr>
            <w:tcW w:w="3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13757C" w:rsidRPr="00763C03" w:rsidRDefault="0013757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F5F0830" w:rsidR="0013757C" w:rsidRPr="00763C03" w:rsidRDefault="0013757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1 407 835</w:t>
            </w:r>
            <w:r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3757C" w:rsidRPr="00763C03" w14:paraId="26838DD2" w14:textId="77777777" w:rsidTr="0013757C">
        <w:trPr>
          <w:trHeight w:val="288"/>
        </w:trPr>
        <w:tc>
          <w:tcPr>
            <w:tcW w:w="3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13757C" w:rsidRPr="00763C03" w:rsidRDefault="0013757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B46521E" w:rsidR="0013757C" w:rsidRPr="00763C03" w:rsidRDefault="0013757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760 485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3757C" w:rsidRPr="00763C03" w14:paraId="07FAD10E" w14:textId="77777777" w:rsidTr="0013757C">
        <w:trPr>
          <w:trHeight w:val="288"/>
        </w:trPr>
        <w:tc>
          <w:tcPr>
            <w:tcW w:w="3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13757C" w:rsidRPr="00763C03" w:rsidRDefault="0013757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129E8D66" w:rsidR="0013757C" w:rsidRPr="00763C03" w:rsidRDefault="0013757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156 090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3757C" w:rsidRPr="00E10383" w14:paraId="34D83963" w14:textId="77777777" w:rsidTr="0013757C">
        <w:trPr>
          <w:trHeight w:val="288"/>
        </w:trPr>
        <w:tc>
          <w:tcPr>
            <w:tcW w:w="3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2B8D0" w14:textId="131300B5" w:rsidR="0013757C" w:rsidRPr="00E10383" w:rsidRDefault="0013757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1038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  <w:r w:rsidR="00D032D3" w:rsidRPr="00E1038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Díla bez DPH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E8DC48" w14:textId="1D19E22D" w:rsidR="0013757C" w:rsidRPr="00E10383" w:rsidRDefault="0013757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103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2 324 410 Kč</w:t>
            </w:r>
          </w:p>
        </w:tc>
      </w:tr>
      <w:tr w:rsidR="0013757C" w:rsidRPr="00763C03" w14:paraId="2777D0F8" w14:textId="77777777" w:rsidTr="0013757C">
        <w:trPr>
          <w:trHeight w:val="288"/>
        </w:trPr>
        <w:tc>
          <w:tcPr>
            <w:tcW w:w="3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F6F33" w14:textId="50782287" w:rsidR="00D032D3" w:rsidRPr="00782A59" w:rsidRDefault="00D032D3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82A5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21 %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9E24D" w14:textId="37AB2744" w:rsidR="0013757C" w:rsidRPr="00782A59" w:rsidRDefault="00D032D3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82A5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488 126,10 Kč</w:t>
            </w:r>
          </w:p>
        </w:tc>
      </w:tr>
      <w:tr w:rsidR="0013757C" w:rsidRPr="00E10383" w14:paraId="0B644D10" w14:textId="77777777" w:rsidTr="0013757C">
        <w:trPr>
          <w:trHeight w:val="288"/>
        </w:trPr>
        <w:tc>
          <w:tcPr>
            <w:tcW w:w="3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D55" w14:textId="119F467B" w:rsidR="0013757C" w:rsidRPr="00E10383" w:rsidRDefault="00D032D3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1038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04CF" w14:textId="6E9BFD08" w:rsidR="0013757C" w:rsidRPr="00E10383" w:rsidRDefault="00D032D3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103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2 812 536,10 Kč</w:t>
            </w:r>
          </w:p>
        </w:tc>
      </w:tr>
    </w:tbl>
    <w:p w14:paraId="28A6EF27" w14:textId="77777777" w:rsidR="00AB2493" w:rsidRPr="00E10383" w:rsidRDefault="00AB2493" w:rsidP="00AB2493">
      <w:pPr>
        <w:rPr>
          <w:b/>
          <w:bCs/>
        </w:rPr>
      </w:pPr>
    </w:p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2B4E589" w14:textId="77777777" w:rsidR="00BC3954" w:rsidRDefault="00BC3954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15BEB6FE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</w:t>
      </w:r>
      <w:r w:rsidR="00B533C9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E0F35A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1B3E6D">
        <w:rPr>
          <w:rFonts w:ascii="Arial" w:eastAsia="Times New Roman" w:hAnsi="Arial" w:cs="Arial"/>
          <w:b/>
          <w:lang w:eastAsia="cs-CZ"/>
        </w:rPr>
        <w:t>POZEMKOVÉ ÚPRAVY K+V s.r.o.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2C2FD0E5" w14:textId="63FF102D" w:rsidR="007C5F8F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C5F8F">
        <w:rPr>
          <w:rFonts w:ascii="Arial" w:eastAsia="Times New Roman" w:hAnsi="Arial" w:cs="Arial"/>
          <w:b/>
          <w:lang w:eastAsia="cs-CZ"/>
        </w:rPr>
        <w:t xml:space="preserve">pro Ústecký </w:t>
      </w:r>
      <w:r w:rsidR="00D07E2E">
        <w:rPr>
          <w:rFonts w:ascii="Arial" w:eastAsia="Times New Roman" w:hAnsi="Arial" w:cs="Arial"/>
          <w:b/>
          <w:lang w:eastAsia="cs-CZ"/>
        </w:rPr>
        <w:t>kraj,</w:t>
      </w:r>
      <w:r w:rsidR="00725ED7">
        <w:rPr>
          <w:rFonts w:ascii="Arial" w:eastAsia="Times New Roman" w:hAnsi="Arial" w:cs="Arial"/>
          <w:b/>
          <w:lang w:eastAsia="cs-CZ"/>
        </w:rPr>
        <w:tab/>
      </w:r>
      <w:r w:rsidR="001B3E6D" w:rsidRPr="00ED6435">
        <w:rPr>
          <w:rFonts w:ascii="Arial" w:eastAsia="Times New Roman" w:hAnsi="Arial" w:cs="Arial"/>
          <w:bCs/>
          <w:lang w:eastAsia="cs-CZ"/>
        </w:rPr>
        <w:t>Místo:</w:t>
      </w:r>
      <w:r w:rsidR="001B3E6D" w:rsidRPr="00AA6AFD">
        <w:rPr>
          <w:rFonts w:ascii="Arial" w:eastAsia="Times New Roman" w:hAnsi="Arial" w:cs="Arial"/>
          <w:lang w:eastAsia="cs-CZ"/>
        </w:rPr>
        <w:t xml:space="preserve"> </w:t>
      </w:r>
      <w:r w:rsidR="001B3E6D" w:rsidRPr="00AA6AFD">
        <w:rPr>
          <w:rFonts w:ascii="Arial" w:hAnsi="Arial" w:cs="Arial"/>
          <w:snapToGrid w:val="0"/>
        </w:rPr>
        <w:t>Plzeň</w:t>
      </w:r>
    </w:p>
    <w:p w14:paraId="7B075970" w14:textId="3351E399" w:rsidR="00725ED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725ED7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63520A"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F35BBC" w:rsidRPr="00F35BBC">
        <w:rPr>
          <w:rFonts w:ascii="Arial" w:eastAsia="Times New Roman" w:hAnsi="Arial" w:cs="Arial"/>
          <w:bCs/>
          <w:lang w:eastAsia="cs-CZ"/>
        </w:rPr>
        <w:t>27.3.2026</w:t>
      </w:r>
    </w:p>
    <w:p w14:paraId="435FBFFE" w14:textId="486F1E16" w:rsidR="002B735B" w:rsidRPr="00ED6435" w:rsidRDefault="0025731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F35BBC" w:rsidRPr="00F35BBC">
        <w:rPr>
          <w:rFonts w:ascii="Arial" w:eastAsia="Times New Roman" w:hAnsi="Arial" w:cs="Arial"/>
          <w:bCs/>
          <w:lang w:eastAsia="cs-CZ"/>
        </w:rPr>
        <w:t>30.3.2026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CED23FE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r w:rsidR="008D6003">
        <w:rPr>
          <w:rFonts w:ascii="Arial" w:eastAsia="Times New Roman" w:hAnsi="Arial" w:cs="Arial"/>
          <w:bCs/>
          <w:i/>
          <w:iCs/>
          <w:lang w:eastAsia="cs-CZ"/>
        </w:rPr>
        <w:tab/>
      </w:r>
      <w:r w:rsidR="00D07E2E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435BCD2" w:rsidR="002B735B" w:rsidRPr="00ED6435" w:rsidRDefault="003914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44038">
        <w:rPr>
          <w:rFonts w:ascii="Arial" w:eastAsia="Times New Roman" w:hAnsi="Arial" w:cs="Arial"/>
          <w:bCs/>
          <w:lang w:eastAsia="cs-CZ"/>
        </w:rPr>
        <w:t>Mgr. Barbora Salátová</w:t>
      </w:r>
    </w:p>
    <w:p w14:paraId="74508059" w14:textId="0963EDC9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391420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BC3954">
        <w:rPr>
          <w:rFonts w:ascii="Arial" w:eastAsia="Times New Roman" w:hAnsi="Arial" w:cs="Arial"/>
          <w:bCs/>
          <w:lang w:eastAsia="cs-CZ"/>
        </w:rPr>
        <w:t xml:space="preserve"> pro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</w:t>
      </w:r>
      <w:r w:rsidR="00844038">
        <w:rPr>
          <w:rFonts w:ascii="Arial" w:eastAsia="Times New Roman" w:hAnsi="Arial" w:cs="Arial"/>
          <w:bCs/>
          <w:lang w:eastAsia="cs-CZ"/>
        </w:rPr>
        <w:t>ka</w:t>
      </w:r>
      <w:r w:rsidR="007D297F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09817EA" w:rsidR="00F31E3B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844038">
        <w:rPr>
          <w:rFonts w:ascii="Arial" w:eastAsia="Times New Roman" w:hAnsi="Arial" w:cs="Arial"/>
          <w:bCs/>
          <w:lang w:eastAsia="cs-CZ"/>
        </w:rPr>
        <w:t xml:space="preserve"> Ing. </w:t>
      </w:r>
      <w:r w:rsidR="00D07E2E">
        <w:rPr>
          <w:rFonts w:ascii="Arial" w:eastAsia="Times New Roman" w:hAnsi="Arial" w:cs="Arial"/>
          <w:bCs/>
          <w:lang w:eastAsia="cs-CZ"/>
        </w:rPr>
        <w:t>Veronika Pavlíčková</w:t>
      </w:r>
      <w:r w:rsidR="00F31E3B">
        <w:rPr>
          <w:rFonts w:ascii="Arial" w:eastAsia="Times New Roman" w:hAnsi="Arial" w:cs="Arial"/>
          <w:bCs/>
          <w:lang w:eastAsia="cs-CZ"/>
        </w:rPr>
        <w:br w:type="page"/>
      </w:r>
    </w:p>
    <w:tbl>
      <w:tblPr>
        <w:tblW w:w="105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3392"/>
        <w:gridCol w:w="1045"/>
        <w:gridCol w:w="1045"/>
        <w:gridCol w:w="1373"/>
        <w:gridCol w:w="1432"/>
        <w:gridCol w:w="1508"/>
      </w:tblGrid>
      <w:tr w:rsidR="00F35BBC" w:rsidRPr="00F31E3B" w14:paraId="4A626B9D" w14:textId="77777777" w:rsidTr="00F35BBC">
        <w:trPr>
          <w:trHeight w:val="806"/>
          <w:jc w:val="center"/>
        </w:trPr>
        <w:tc>
          <w:tcPr>
            <w:tcW w:w="105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632AA" w14:textId="72F50183" w:rsidR="00F35BBC" w:rsidRPr="00F31E3B" w:rsidRDefault="00F35BBC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– Příloha ke Smlouvě – dodatek č. 5 - Komplexní pozemkové úpravy </w:t>
            </w:r>
            <w:proofErr w:type="spellStart"/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Ludvíkovice</w:t>
            </w:r>
          </w:p>
        </w:tc>
      </w:tr>
      <w:tr w:rsidR="00F31E3B" w:rsidRPr="00F31E3B" w14:paraId="2A0E6A2B" w14:textId="77777777" w:rsidTr="00F35BBC">
        <w:trPr>
          <w:trHeight w:val="80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7474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D93E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06E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7F0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DE1A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771E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946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31E3B" w:rsidRPr="00F31E3B" w14:paraId="57FBE03D" w14:textId="77777777" w:rsidTr="00F35BBC">
        <w:trPr>
          <w:trHeight w:val="5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CE4A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981F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D98952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5E123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AC71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4B33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1C3A7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5AE40F9F" w14:textId="77777777" w:rsidTr="00F35BBC">
        <w:trPr>
          <w:trHeight w:val="597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66B6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8085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66561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05C4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0DA4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1375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15 730,00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456944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31.3.2024</w:t>
            </w:r>
          </w:p>
        </w:tc>
      </w:tr>
      <w:tr w:rsidR="00F31E3B" w:rsidRPr="00F31E3B" w14:paraId="39CCCFE0" w14:textId="77777777" w:rsidTr="00F35BBC">
        <w:trPr>
          <w:trHeight w:val="597"/>
          <w:jc w:val="center"/>
        </w:trPr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83042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4A96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4B04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88D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2070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3 630,00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2B3A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29 040,00</w:t>
            </w: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5F0EEF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31E3B" w:rsidRPr="00F31E3B" w14:paraId="63444FC1" w14:textId="77777777" w:rsidTr="00F35BBC">
        <w:trPr>
          <w:trHeight w:val="669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F912E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814C2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36815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CD2D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2049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A179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466 455,00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3A7FC3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31.3.2024</w:t>
            </w:r>
          </w:p>
        </w:tc>
      </w:tr>
      <w:tr w:rsidR="00F31E3B" w:rsidRPr="00F31E3B" w14:paraId="34975277" w14:textId="77777777" w:rsidTr="00F35BBC">
        <w:trPr>
          <w:trHeight w:val="1001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478E0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8E1A70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993E8F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01E82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4629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2 420,00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BBF0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389 620,00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B1A1C2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30.6.2024</w:t>
            </w:r>
          </w:p>
        </w:tc>
      </w:tr>
      <w:tr w:rsidR="00F31E3B" w:rsidRPr="00F31E3B" w14:paraId="29C37746" w14:textId="77777777" w:rsidTr="00F35BBC">
        <w:trPr>
          <w:trHeight w:val="680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3618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E1D2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410456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0494A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83A8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2 420,00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320C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38 720,00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AED8E5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30.6.2024</w:t>
            </w:r>
          </w:p>
        </w:tc>
      </w:tr>
      <w:tr w:rsidR="00F31E3B" w:rsidRPr="00F31E3B" w14:paraId="320BA64F" w14:textId="77777777" w:rsidTr="00F35BBC">
        <w:trPr>
          <w:trHeight w:val="597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3871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22E602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EB45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950B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B220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605,00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19FA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156 090,00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8F49B6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30.6.2024</w:t>
            </w:r>
          </w:p>
        </w:tc>
      </w:tr>
      <w:tr w:rsidR="00F31E3B" w:rsidRPr="00F31E3B" w14:paraId="4103141A" w14:textId="77777777" w:rsidTr="00F35BBC">
        <w:trPr>
          <w:trHeight w:val="702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F7E8B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A84B70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62EB0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DFD94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9FD2F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E4FC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312 180,00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F696C6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30.9.2024</w:t>
            </w:r>
          </w:p>
        </w:tc>
      </w:tr>
      <w:tr w:rsidR="00F31E3B" w:rsidRPr="00F31E3B" w14:paraId="783288E0" w14:textId="77777777" w:rsidTr="00F35BBC">
        <w:trPr>
          <w:trHeight w:val="806"/>
          <w:jc w:val="center"/>
        </w:trPr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27120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EC1FB7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8982A7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60BF8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17FC" w14:textId="5784E997" w:rsidR="00F31E3B" w:rsidRPr="00F31E3B" w:rsidRDefault="00F31E3B" w:rsidP="00F3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  <w:r w:rsidR="00F35B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407</w:t>
            </w:r>
            <w:r w:rsidR="00F35B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835,00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182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30.9.2024</w:t>
            </w:r>
          </w:p>
        </w:tc>
      </w:tr>
      <w:tr w:rsidR="00F31E3B" w:rsidRPr="00F31E3B" w14:paraId="5700ECFE" w14:textId="77777777" w:rsidTr="00F35BBC">
        <w:trPr>
          <w:trHeight w:val="597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5B9EB1E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DAD8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7B0E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B1824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69DEB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1F0D2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D066B4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471E20CA" w14:textId="77777777" w:rsidTr="00F35BBC">
        <w:trPr>
          <w:trHeight w:val="597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B1C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E409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E99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01C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4F1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CF41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310 970,00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A0E92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5.6.2026</w:t>
            </w:r>
          </w:p>
        </w:tc>
      </w:tr>
      <w:tr w:rsidR="00F31E3B" w:rsidRPr="00F31E3B" w14:paraId="2FD795BC" w14:textId="77777777" w:rsidTr="00F35BBC">
        <w:trPr>
          <w:trHeight w:val="1130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CBD1F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504300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30B1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BA0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CCE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605,00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8766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7 260,00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8007D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31E3B" w:rsidRPr="00F31E3B" w14:paraId="78242779" w14:textId="77777777" w:rsidTr="00F35BBC">
        <w:trPr>
          <w:trHeight w:val="957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982213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341D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32D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817A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0C93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605,00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292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13 915,00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F4F33C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31E3B" w:rsidRPr="00F31E3B" w14:paraId="15187D15" w14:textId="77777777" w:rsidTr="00F35BBC">
        <w:trPr>
          <w:trHeight w:val="932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55A1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C0F4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24B6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2C50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DCDE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0864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7 260,00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14B2B4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31E3B" w:rsidRPr="00F31E3B" w14:paraId="59E482EF" w14:textId="77777777" w:rsidTr="00F35BBC">
        <w:trPr>
          <w:trHeight w:val="957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3525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c)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B6B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255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9A20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B2D0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12 100,00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B2B3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48 400,00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84E67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31E3B" w:rsidRPr="00F31E3B" w14:paraId="29C7CFE0" w14:textId="77777777" w:rsidTr="00F35BBC">
        <w:trPr>
          <w:trHeight w:val="806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E98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2EF705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77B3F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CFE03F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DAD23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BF4F3D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4FA70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2754C95B" w14:textId="77777777" w:rsidTr="00F35BBC">
        <w:trPr>
          <w:trHeight w:val="806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826A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5E05A2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AEBB2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0EF52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9E69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8 470,00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02BD7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8 470,00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E89AE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F31E3B" w:rsidRPr="00F31E3B" w14:paraId="7F1C8405" w14:textId="77777777" w:rsidTr="00F35BBC">
        <w:trPr>
          <w:trHeight w:val="806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7D2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780E60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C496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99830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04F1E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4 840,00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7F809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4 840,00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E3255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F31E3B" w:rsidRPr="00F31E3B" w14:paraId="5940D1E5" w14:textId="77777777" w:rsidTr="00F35BBC">
        <w:trPr>
          <w:trHeight w:val="806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B8F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1AD07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7C275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BBEF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A2056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760D4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9A79D5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F31E3B" w:rsidRPr="00F31E3B" w14:paraId="101276AF" w14:textId="77777777" w:rsidTr="00F35BBC">
        <w:trPr>
          <w:trHeight w:val="702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1F3A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B029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08A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073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E8A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E2B6F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310 970,00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24EFDA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5.6.2027</w:t>
            </w:r>
          </w:p>
        </w:tc>
      </w:tr>
      <w:tr w:rsidR="00F31E3B" w:rsidRPr="00F31E3B" w14:paraId="2267E8E6" w14:textId="77777777" w:rsidTr="00F35BBC">
        <w:trPr>
          <w:trHeight w:val="597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FCE0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707E3A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1EB5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E2F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F613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12 100,00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8F04C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24 200,00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2772B2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F31E3B" w:rsidRPr="00F31E3B" w14:paraId="71D1EA9C" w14:textId="77777777" w:rsidTr="00F35BBC">
        <w:trPr>
          <w:trHeight w:val="738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E93A1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523352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B49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02F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65BF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7 260,00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A03B6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7 260,00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D473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31E3B" w:rsidRPr="00F31E3B" w14:paraId="415F9E3E" w14:textId="77777777" w:rsidTr="00F35BBC">
        <w:trPr>
          <w:trHeight w:val="738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25683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5DB289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70E8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154C4E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1CF81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668D8F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516A1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6711AE70" w14:textId="77777777" w:rsidTr="00F35BBC">
        <w:trPr>
          <w:trHeight w:val="738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6789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8DA21C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0D0CF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7575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F4D2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07F45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F530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31E3B" w:rsidRPr="00F31E3B" w14:paraId="20F88428" w14:textId="77777777" w:rsidTr="00F35BBC">
        <w:trPr>
          <w:trHeight w:val="738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5DF454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72F4BD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3AF4E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9297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883E3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86425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66C0A0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31E3B" w:rsidRPr="00F31E3B" w14:paraId="43EAF9A4" w14:textId="77777777" w:rsidTr="00F35BBC">
        <w:trPr>
          <w:trHeight w:val="727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F2B7B0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7DCDE1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4FFCC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1B93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C0358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92AED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60856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31E3B" w:rsidRPr="00F31E3B" w14:paraId="45BC15EE" w14:textId="77777777" w:rsidTr="00F35BBC">
        <w:trPr>
          <w:trHeight w:val="806"/>
          <w:jc w:val="center"/>
        </w:trPr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877E305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4CF383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26A104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FBC151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33F002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760 485,00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B3D51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F31E3B" w:rsidRPr="00F31E3B" w14:paraId="61723400" w14:textId="77777777" w:rsidTr="00F35BBC">
        <w:trPr>
          <w:trHeight w:val="597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A22C91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94A019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CECEBA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DD81EC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CE1819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605,00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7F36FE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156 090,00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6DAC27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31E3B" w:rsidRPr="00F31E3B" w14:paraId="549A2CE1" w14:textId="77777777" w:rsidTr="00F35BBC">
        <w:trPr>
          <w:trHeight w:val="806"/>
          <w:jc w:val="center"/>
        </w:trPr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41CA0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13DB2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8C1EF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D9CC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43735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156 090,00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76CCC3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F31E3B" w:rsidRPr="00F31E3B" w14:paraId="0A857D87" w14:textId="77777777" w:rsidTr="00F35BBC">
        <w:trPr>
          <w:trHeight w:val="597"/>
          <w:jc w:val="center"/>
        </w:trPr>
        <w:tc>
          <w:tcPr>
            <w:tcW w:w="4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B89DFD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1BC1D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A9022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83BE6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EAE57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42F389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2B060F9F" w14:textId="77777777" w:rsidTr="00F35BBC">
        <w:trPr>
          <w:trHeight w:val="597"/>
          <w:jc w:val="center"/>
        </w:trPr>
        <w:tc>
          <w:tcPr>
            <w:tcW w:w="4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2D64B5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4439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420E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FCF6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3618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1 407 835,00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96108F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0C1AD65D" w14:textId="77777777" w:rsidTr="00F35BBC">
        <w:trPr>
          <w:trHeight w:val="597"/>
          <w:jc w:val="center"/>
        </w:trPr>
        <w:tc>
          <w:tcPr>
            <w:tcW w:w="4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922027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4664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5C72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4D65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636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760 485,00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DBAA23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41C8F0E1" w14:textId="77777777" w:rsidTr="00F35BBC">
        <w:trPr>
          <w:trHeight w:val="597"/>
          <w:jc w:val="center"/>
        </w:trPr>
        <w:tc>
          <w:tcPr>
            <w:tcW w:w="4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E527F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D27D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E519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A1D6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5998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156 090,00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8E07AA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12ED88A1" w14:textId="77777777" w:rsidTr="00F35BBC">
        <w:trPr>
          <w:trHeight w:val="597"/>
          <w:jc w:val="center"/>
        </w:trPr>
        <w:tc>
          <w:tcPr>
            <w:tcW w:w="4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DC5C6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1531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7F4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2EEB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E10F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2 324 410,00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3DE7A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1BB6E70F" w14:textId="77777777" w:rsidTr="00F35BBC">
        <w:trPr>
          <w:trHeight w:val="597"/>
          <w:jc w:val="center"/>
        </w:trPr>
        <w:tc>
          <w:tcPr>
            <w:tcW w:w="4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9F457B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53FB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84ED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292E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7C36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488 126,10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6D0DCB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58493FDB" w14:textId="77777777" w:rsidTr="00F35BBC">
        <w:trPr>
          <w:trHeight w:val="597"/>
          <w:jc w:val="center"/>
        </w:trPr>
        <w:tc>
          <w:tcPr>
            <w:tcW w:w="41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2CAFAC6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034CFA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AD04DD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A0574B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41BD40" w14:textId="77777777" w:rsidR="00F31E3B" w:rsidRPr="00F31E3B" w:rsidRDefault="00F31E3B" w:rsidP="00F31E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2 812 536,10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061465" w14:textId="77777777" w:rsidR="00F31E3B" w:rsidRPr="00F31E3B" w:rsidRDefault="00F31E3B" w:rsidP="00F31E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28FAE6A4" w14:textId="77777777" w:rsidTr="00F35BBC">
        <w:trPr>
          <w:trHeight w:val="403"/>
          <w:jc w:val="center"/>
        </w:trPr>
        <w:tc>
          <w:tcPr>
            <w:tcW w:w="105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23943F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F31E3B" w:rsidRPr="00F31E3B" w14:paraId="3D6838C1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EEC6F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12369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POZEMKOVÉ ÚPRAVY K+V s.r.o.</w:t>
            </w:r>
          </w:p>
        </w:tc>
      </w:tr>
      <w:tr w:rsidR="00F31E3B" w:rsidRPr="00F31E3B" w14:paraId="4E9305C6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61423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F5C42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Plzeň</w:t>
            </w:r>
          </w:p>
        </w:tc>
      </w:tr>
      <w:tr w:rsidR="00F31E3B" w:rsidRPr="00F31E3B" w14:paraId="6898A326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166CD" w14:textId="44A3E909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F35BBC" w:rsidRPr="00F35BBC">
              <w:rPr>
                <w:rFonts w:ascii="Arial" w:eastAsia="Times New Roman" w:hAnsi="Arial" w:cs="Arial"/>
                <w:bCs/>
                <w:lang w:eastAsia="cs-CZ"/>
              </w:rPr>
              <w:t>30.3.2026</w:t>
            </w: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1B990" w14:textId="1019C49A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F35BBC" w:rsidRPr="00F35BBC">
              <w:rPr>
                <w:rFonts w:ascii="Arial" w:eastAsia="Times New Roman" w:hAnsi="Arial" w:cs="Arial"/>
                <w:bCs/>
                <w:lang w:eastAsia="cs-CZ"/>
              </w:rPr>
              <w:t>27.3.2026</w:t>
            </w:r>
          </w:p>
        </w:tc>
      </w:tr>
      <w:tr w:rsidR="00F31E3B" w:rsidRPr="00F31E3B" w14:paraId="6DC3E35C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7E0D7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717F" w14:textId="77777777" w:rsidR="00F31E3B" w:rsidRPr="00F31E3B" w:rsidRDefault="00F31E3B" w:rsidP="00F31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1E3B" w:rsidRPr="00F31E3B" w14:paraId="3E9086ED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6328A" w14:textId="77777777" w:rsidR="00F31E3B" w:rsidRPr="00F31E3B" w:rsidRDefault="00F31E3B" w:rsidP="00F31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A430" w14:textId="77777777" w:rsidR="00F31E3B" w:rsidRPr="00F31E3B" w:rsidRDefault="00F31E3B" w:rsidP="00F31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1E3B" w:rsidRPr="00F31E3B" w14:paraId="7712FE16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5027F" w14:textId="77777777" w:rsidR="00F31E3B" w:rsidRPr="00F31E3B" w:rsidRDefault="00F31E3B" w:rsidP="00F31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9827" w14:textId="77777777" w:rsidR="00F31E3B" w:rsidRPr="00F31E3B" w:rsidRDefault="00F31E3B" w:rsidP="00F31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1E3B" w:rsidRPr="00F31E3B" w14:paraId="4A309DBE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A7DD1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7D16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„elektronicky podepsáno“</w:t>
            </w:r>
          </w:p>
        </w:tc>
      </w:tr>
      <w:tr w:rsidR="00F31E3B" w:rsidRPr="00F31E3B" w14:paraId="7E97C61B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5951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F435A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F31E3B" w:rsidRPr="00F31E3B" w14:paraId="7C6E2985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80806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 Kosejková Jaroslava</w:t>
            </w: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89EBB" w14:textId="2651E834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</w:t>
            </w:r>
            <w:r w:rsidR="00F35B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Barbora Salátová</w:t>
            </w:r>
          </w:p>
        </w:tc>
      </w:tr>
      <w:tr w:rsidR="00F31E3B" w:rsidRPr="00F31E3B" w14:paraId="59AA0BE5" w14:textId="77777777" w:rsidTr="00F35BBC">
        <w:trPr>
          <w:trHeight w:val="403"/>
          <w:jc w:val="center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BDF5C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43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492A0" w14:textId="77777777" w:rsidR="00F31E3B" w:rsidRPr="00F31E3B" w:rsidRDefault="00F31E3B" w:rsidP="00F31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31E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jednatel</w:t>
            </w:r>
          </w:p>
        </w:tc>
      </w:tr>
    </w:tbl>
    <w:p w14:paraId="65DA1059" w14:textId="77777777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260AFF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443E" w14:textId="77777777" w:rsidR="00811F06" w:rsidRDefault="00811F06" w:rsidP="007936E4">
      <w:pPr>
        <w:spacing w:after="0"/>
      </w:pPr>
      <w:r>
        <w:separator/>
      </w:r>
    </w:p>
  </w:endnote>
  <w:endnote w:type="continuationSeparator" w:id="0">
    <w:p w14:paraId="2CA3768F" w14:textId="77777777" w:rsidR="00811F06" w:rsidRDefault="00811F06" w:rsidP="007936E4">
      <w:pPr>
        <w:spacing w:after="0"/>
      </w:pPr>
      <w:r>
        <w:continuationSeparator/>
      </w:r>
    </w:p>
  </w:endnote>
  <w:endnote w:type="continuationNotice" w:id="1">
    <w:p w14:paraId="4CC79FCB" w14:textId="77777777" w:rsidR="00811F06" w:rsidRDefault="00811F0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D1AE" w14:textId="77777777" w:rsidR="00811F06" w:rsidRDefault="00811F06" w:rsidP="007936E4">
      <w:pPr>
        <w:spacing w:after="0"/>
      </w:pPr>
      <w:r>
        <w:separator/>
      </w:r>
    </w:p>
  </w:footnote>
  <w:footnote w:type="continuationSeparator" w:id="0">
    <w:p w14:paraId="2BE2B843" w14:textId="77777777" w:rsidR="00811F06" w:rsidRDefault="00811F06" w:rsidP="007936E4">
      <w:pPr>
        <w:spacing w:after="0"/>
      </w:pPr>
      <w:r>
        <w:continuationSeparator/>
      </w:r>
    </w:p>
  </w:footnote>
  <w:footnote w:type="continuationNotice" w:id="1">
    <w:p w14:paraId="76DAA518" w14:textId="77777777" w:rsidR="00811F06" w:rsidRDefault="00811F0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BCD523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D07E2E">
      <w:rPr>
        <w:szCs w:val="16"/>
      </w:rPr>
      <w:t>ú.</w:t>
    </w:r>
    <w:proofErr w:type="spellEnd"/>
    <w:r w:rsidR="00D07E2E">
      <w:rPr>
        <w:szCs w:val="16"/>
      </w:rPr>
      <w:t xml:space="preserve"> Ludvíkovice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510" w14:textId="479F10C3" w:rsidR="00851DA2" w:rsidRDefault="00851DA2" w:rsidP="00D514D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C87D1A">
      <w:rPr>
        <w:rFonts w:cs="Arial"/>
        <w:szCs w:val="16"/>
        <w:lang w:val="fr-FR" w:eastAsia="cs-CZ"/>
      </w:rPr>
      <w:tab/>
    </w:r>
    <w:r w:rsidRPr="00C87D1A">
      <w:rPr>
        <w:rFonts w:cs="Arial"/>
        <w:szCs w:val="16"/>
        <w:lang w:val="fr-FR" w:eastAsia="cs-CZ"/>
      </w:rPr>
      <w:tab/>
      <w:t xml:space="preserve">                      </w:t>
    </w:r>
    <w:r w:rsidR="00B30D5F">
      <w:rPr>
        <w:rFonts w:cs="Arial"/>
        <w:szCs w:val="16"/>
        <w:lang w:val="fr-FR" w:eastAsia="cs-CZ"/>
      </w:rPr>
      <w:t xml:space="preserve"> </w:t>
    </w:r>
    <w:r w:rsidR="00E11D3E">
      <w:rPr>
        <w:rFonts w:cs="Arial"/>
        <w:szCs w:val="16"/>
        <w:lang w:val="fr-FR" w:eastAsia="cs-CZ"/>
      </w:rPr>
      <w:t>Císlo smlouvy objednatele</w:t>
    </w:r>
    <w:r w:rsidRPr="00C87D1A">
      <w:rPr>
        <w:rFonts w:cs="Arial"/>
        <w:szCs w:val="16"/>
        <w:lang w:val="fr-FR" w:eastAsia="cs-CZ"/>
      </w:rPr>
      <w:t>:</w:t>
    </w:r>
    <w:r w:rsidR="00D514D7">
      <w:rPr>
        <w:rFonts w:cs="Arial"/>
        <w:szCs w:val="16"/>
        <w:lang w:val="fr-FR" w:eastAsia="cs-CZ"/>
      </w:rPr>
      <w:t xml:space="preserve"> 664-2022-508207/5</w:t>
    </w:r>
  </w:p>
  <w:p w14:paraId="460317B1" w14:textId="3C52D8DD" w:rsidR="00D514D7" w:rsidRPr="00C87D1A" w:rsidRDefault="00D514D7" w:rsidP="00D514D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Číslo smlouvy ISPU: 664</w:t>
    </w:r>
    <w:r w:rsidRPr="00C87D1A">
      <w:rPr>
        <w:rFonts w:cs="Arial"/>
        <w:szCs w:val="16"/>
        <w:lang w:val="fr-FR" w:eastAsia="cs-CZ"/>
      </w:rPr>
      <w:t>-202</w:t>
    </w:r>
    <w:r>
      <w:rPr>
        <w:rFonts w:cs="Arial"/>
        <w:szCs w:val="16"/>
        <w:lang w:val="fr-FR" w:eastAsia="cs-CZ"/>
      </w:rPr>
      <w:t>2</w:t>
    </w:r>
    <w:r w:rsidRPr="00C87D1A">
      <w:rPr>
        <w:rFonts w:cs="Arial"/>
        <w:szCs w:val="16"/>
        <w:lang w:val="fr-FR" w:eastAsia="cs-CZ"/>
      </w:rPr>
      <w:t>-508</w:t>
    </w:r>
    <w:r>
      <w:rPr>
        <w:rFonts w:cs="Arial"/>
        <w:szCs w:val="16"/>
        <w:lang w:val="fr-FR" w:eastAsia="cs-CZ"/>
      </w:rPr>
      <w:t>207</w:t>
    </w:r>
  </w:p>
  <w:p w14:paraId="71BC163D" w14:textId="63F8D2C5" w:rsidR="00E11D3E" w:rsidRDefault="00851DA2" w:rsidP="00D514D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</w:t>
    </w:r>
    <w:r>
      <w:rPr>
        <w:rFonts w:cs="Arial"/>
        <w:szCs w:val="16"/>
        <w:lang w:val="fr-FR" w:eastAsia="cs-CZ"/>
      </w:rPr>
      <w:tab/>
      <w:t xml:space="preserve">       </w:t>
    </w:r>
    <w:r w:rsidR="00E11D3E" w:rsidRPr="00C87D1A">
      <w:rPr>
        <w:rFonts w:cs="Arial"/>
        <w:szCs w:val="16"/>
        <w:lang w:val="fr-FR" w:eastAsia="cs-CZ"/>
      </w:rPr>
      <w:t>UID dokumentu:</w:t>
    </w:r>
    <w:r w:rsidR="008A5D80">
      <w:rPr>
        <w:rFonts w:cs="Arial"/>
        <w:szCs w:val="16"/>
        <w:lang w:val="fr-FR" w:eastAsia="cs-CZ"/>
      </w:rPr>
      <w:t xml:space="preserve"> </w:t>
    </w:r>
    <w:r w:rsidR="008A5D80" w:rsidRPr="008A5D80">
      <w:rPr>
        <w:rFonts w:cs="Arial"/>
        <w:szCs w:val="16"/>
        <w:lang w:val="fr-FR" w:eastAsia="cs-CZ"/>
      </w:rPr>
      <w:t>spudms00000016501964</w:t>
    </w:r>
  </w:p>
  <w:p w14:paraId="12239F85" w14:textId="11FDE5B9" w:rsidR="00E11D3E" w:rsidRDefault="00E11D3E" w:rsidP="00D514D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Císlo smlouvy zhotovitele: </w:t>
    </w:r>
  </w:p>
  <w:p w14:paraId="6CA84C3D" w14:textId="6E293935" w:rsidR="00851DA2" w:rsidRDefault="00851DA2" w:rsidP="00D514D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      K</w:t>
    </w:r>
    <w:r w:rsidR="007B1581">
      <w:rPr>
        <w:rFonts w:cs="Arial"/>
        <w:szCs w:val="16"/>
        <w:lang w:val="fr-FR" w:eastAsia="cs-CZ"/>
      </w:rPr>
      <w:t>o</w:t>
    </w:r>
    <w:r>
      <w:rPr>
        <w:rFonts w:cs="Arial"/>
        <w:szCs w:val="16"/>
        <w:lang w:val="fr-FR" w:eastAsia="cs-CZ"/>
      </w:rPr>
      <w:t>PÚ v k.</w:t>
    </w:r>
    <w:r w:rsidR="007B1581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ú. </w:t>
    </w:r>
    <w:r w:rsidR="00D65296">
      <w:rPr>
        <w:rFonts w:cs="Arial"/>
        <w:szCs w:val="16"/>
        <w:lang w:val="fr-FR" w:eastAsia="cs-CZ"/>
      </w:rPr>
      <w:t>Ludvíkovice</w:t>
    </w:r>
  </w:p>
  <w:p w14:paraId="6648143E" w14:textId="77777777" w:rsidR="00E11D3E" w:rsidRPr="00AB519F" w:rsidRDefault="00E11D3E" w:rsidP="00E11D3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BEF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3D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3B44"/>
    <w:rsid w:val="000A4816"/>
    <w:rsid w:val="000A488A"/>
    <w:rsid w:val="000A4EA8"/>
    <w:rsid w:val="000A523B"/>
    <w:rsid w:val="000A7F81"/>
    <w:rsid w:val="000B0209"/>
    <w:rsid w:val="000B1138"/>
    <w:rsid w:val="000B1A31"/>
    <w:rsid w:val="000B1AD5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D92"/>
    <w:rsid w:val="00101717"/>
    <w:rsid w:val="001020B7"/>
    <w:rsid w:val="00102986"/>
    <w:rsid w:val="00102AD4"/>
    <w:rsid w:val="0010384D"/>
    <w:rsid w:val="0010415A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57C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6DB"/>
    <w:rsid w:val="001639E5"/>
    <w:rsid w:val="00163AD6"/>
    <w:rsid w:val="00163E65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1F3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5E2"/>
    <w:rsid w:val="001B178C"/>
    <w:rsid w:val="001B1C9F"/>
    <w:rsid w:val="001B2BBC"/>
    <w:rsid w:val="001B3074"/>
    <w:rsid w:val="001B3B51"/>
    <w:rsid w:val="001B3E6D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94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51B9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3596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6F74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EEC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878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0D3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45B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80A"/>
    <w:rsid w:val="00344A8B"/>
    <w:rsid w:val="0034595D"/>
    <w:rsid w:val="003466A3"/>
    <w:rsid w:val="00347190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EFA"/>
    <w:rsid w:val="00365120"/>
    <w:rsid w:val="0036521E"/>
    <w:rsid w:val="0036541B"/>
    <w:rsid w:val="00366437"/>
    <w:rsid w:val="003665A2"/>
    <w:rsid w:val="00366BBE"/>
    <w:rsid w:val="00366FC7"/>
    <w:rsid w:val="00367654"/>
    <w:rsid w:val="00367FF8"/>
    <w:rsid w:val="0037023C"/>
    <w:rsid w:val="003707B8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1420"/>
    <w:rsid w:val="0039226F"/>
    <w:rsid w:val="0039229F"/>
    <w:rsid w:val="00393AB7"/>
    <w:rsid w:val="00394855"/>
    <w:rsid w:val="00396389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A03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A4F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1549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147A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1D07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BA5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16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B11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ED7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02D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A59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18E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81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2F5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F8F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712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1F06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097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F21"/>
    <w:rsid w:val="008424EB"/>
    <w:rsid w:val="00843526"/>
    <w:rsid w:val="0084399A"/>
    <w:rsid w:val="00844038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1DA2"/>
    <w:rsid w:val="008527FF"/>
    <w:rsid w:val="00853097"/>
    <w:rsid w:val="00853376"/>
    <w:rsid w:val="008557C1"/>
    <w:rsid w:val="008558F0"/>
    <w:rsid w:val="00855F12"/>
    <w:rsid w:val="00856781"/>
    <w:rsid w:val="00856B00"/>
    <w:rsid w:val="008571A7"/>
    <w:rsid w:val="00857781"/>
    <w:rsid w:val="008600D1"/>
    <w:rsid w:val="00861755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846"/>
    <w:rsid w:val="00881CCD"/>
    <w:rsid w:val="008831F4"/>
    <w:rsid w:val="00883B09"/>
    <w:rsid w:val="00884397"/>
    <w:rsid w:val="00884A7C"/>
    <w:rsid w:val="00885530"/>
    <w:rsid w:val="00885F97"/>
    <w:rsid w:val="008867E3"/>
    <w:rsid w:val="00886ADD"/>
    <w:rsid w:val="008871FB"/>
    <w:rsid w:val="00887302"/>
    <w:rsid w:val="00887760"/>
    <w:rsid w:val="00887A1A"/>
    <w:rsid w:val="00887D83"/>
    <w:rsid w:val="008909A2"/>
    <w:rsid w:val="00891714"/>
    <w:rsid w:val="00891EE6"/>
    <w:rsid w:val="00892B8D"/>
    <w:rsid w:val="00892D01"/>
    <w:rsid w:val="00893205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54A8"/>
    <w:rsid w:val="008A5D80"/>
    <w:rsid w:val="008A69F4"/>
    <w:rsid w:val="008A7266"/>
    <w:rsid w:val="008A7DD1"/>
    <w:rsid w:val="008B084C"/>
    <w:rsid w:val="008B1338"/>
    <w:rsid w:val="008B18A4"/>
    <w:rsid w:val="008B2509"/>
    <w:rsid w:val="008B30AD"/>
    <w:rsid w:val="008B3145"/>
    <w:rsid w:val="008B33C1"/>
    <w:rsid w:val="008B43AE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1F7C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284"/>
    <w:rsid w:val="008C76AB"/>
    <w:rsid w:val="008C794C"/>
    <w:rsid w:val="008D0AB6"/>
    <w:rsid w:val="008D1061"/>
    <w:rsid w:val="008D21DB"/>
    <w:rsid w:val="008D25E6"/>
    <w:rsid w:val="008D2DA8"/>
    <w:rsid w:val="008D399A"/>
    <w:rsid w:val="008D4ECD"/>
    <w:rsid w:val="008D5269"/>
    <w:rsid w:val="008D6003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3753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4618"/>
    <w:rsid w:val="008F521D"/>
    <w:rsid w:val="008F6438"/>
    <w:rsid w:val="008F748F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627A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C63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4E1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82D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720"/>
    <w:rsid w:val="00977980"/>
    <w:rsid w:val="00977A25"/>
    <w:rsid w:val="009801D2"/>
    <w:rsid w:val="009813DC"/>
    <w:rsid w:val="009816E6"/>
    <w:rsid w:val="00981E5C"/>
    <w:rsid w:val="00982110"/>
    <w:rsid w:val="00982B90"/>
    <w:rsid w:val="00982F36"/>
    <w:rsid w:val="0098337B"/>
    <w:rsid w:val="00984007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1AD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AB4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09D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60B"/>
    <w:rsid w:val="00A6393D"/>
    <w:rsid w:val="00A64C78"/>
    <w:rsid w:val="00A660E8"/>
    <w:rsid w:val="00A66986"/>
    <w:rsid w:val="00A66DE3"/>
    <w:rsid w:val="00A674F2"/>
    <w:rsid w:val="00A679C6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6E2B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6893"/>
    <w:rsid w:val="00A87A6E"/>
    <w:rsid w:val="00A90D4A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6AFD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D73F7"/>
    <w:rsid w:val="00AD7FCD"/>
    <w:rsid w:val="00AE01D4"/>
    <w:rsid w:val="00AE19D7"/>
    <w:rsid w:val="00AE1A31"/>
    <w:rsid w:val="00AE1B63"/>
    <w:rsid w:val="00AE2345"/>
    <w:rsid w:val="00AE32BD"/>
    <w:rsid w:val="00AE3832"/>
    <w:rsid w:val="00AE3A21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06941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551"/>
    <w:rsid w:val="00B25846"/>
    <w:rsid w:val="00B25A5F"/>
    <w:rsid w:val="00B25B8A"/>
    <w:rsid w:val="00B25E0E"/>
    <w:rsid w:val="00B26035"/>
    <w:rsid w:val="00B262F3"/>
    <w:rsid w:val="00B26A9D"/>
    <w:rsid w:val="00B278FA"/>
    <w:rsid w:val="00B304FC"/>
    <w:rsid w:val="00B305E3"/>
    <w:rsid w:val="00B30D5F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3F4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3C9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672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1CE1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8A1"/>
    <w:rsid w:val="00BC3954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5DB4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671B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CD6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2DB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27C"/>
    <w:rsid w:val="00CF76C7"/>
    <w:rsid w:val="00CF78DF"/>
    <w:rsid w:val="00CF7B23"/>
    <w:rsid w:val="00CF7E55"/>
    <w:rsid w:val="00D00847"/>
    <w:rsid w:val="00D014C4"/>
    <w:rsid w:val="00D01D2D"/>
    <w:rsid w:val="00D032D3"/>
    <w:rsid w:val="00D03715"/>
    <w:rsid w:val="00D03784"/>
    <w:rsid w:val="00D03FF1"/>
    <w:rsid w:val="00D043FD"/>
    <w:rsid w:val="00D05308"/>
    <w:rsid w:val="00D054D0"/>
    <w:rsid w:val="00D056DA"/>
    <w:rsid w:val="00D05BEE"/>
    <w:rsid w:val="00D0625E"/>
    <w:rsid w:val="00D066FC"/>
    <w:rsid w:val="00D06CED"/>
    <w:rsid w:val="00D06DB7"/>
    <w:rsid w:val="00D071BD"/>
    <w:rsid w:val="00D07E2E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9B4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65C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38D"/>
    <w:rsid w:val="00D46AC5"/>
    <w:rsid w:val="00D46BC9"/>
    <w:rsid w:val="00D478F2"/>
    <w:rsid w:val="00D47981"/>
    <w:rsid w:val="00D47C5C"/>
    <w:rsid w:val="00D51124"/>
    <w:rsid w:val="00D513D1"/>
    <w:rsid w:val="00D514D7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296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3EE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5BAC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40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0383"/>
    <w:rsid w:val="00E11D3E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C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464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2FF0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D6F7E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1E3B"/>
    <w:rsid w:val="00F32AD6"/>
    <w:rsid w:val="00F32EA7"/>
    <w:rsid w:val="00F333D3"/>
    <w:rsid w:val="00F33AB1"/>
    <w:rsid w:val="00F33B88"/>
    <w:rsid w:val="00F342EB"/>
    <w:rsid w:val="00F34418"/>
    <w:rsid w:val="00F34BC2"/>
    <w:rsid w:val="00F34C2B"/>
    <w:rsid w:val="00F35BBC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A82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A75F2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4D6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1A5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D8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A5D8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A5D8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1628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4</cp:revision>
  <cp:lastPrinted>2025-10-15T08:14:00Z</cp:lastPrinted>
  <dcterms:created xsi:type="dcterms:W3CDTF">2026-03-26T13:07:00Z</dcterms:created>
  <dcterms:modified xsi:type="dcterms:W3CDTF">2026-03-31T06:45:00Z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