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02F61BE0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9F30AB" w:rsidRPr="009F30AB">
        <w:rPr>
          <w:rFonts w:ascii="Arial" w:eastAsia="Times New Roman" w:hAnsi="Arial" w:cs="Arial"/>
          <w:b/>
          <w:lang w:eastAsia="cs-CZ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4A3208F7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9F30AB">
        <w:rPr>
          <w:rFonts w:cs="Arial"/>
          <w:b/>
          <w:bCs/>
          <w:sz w:val="24"/>
        </w:rPr>
        <w:t xml:space="preserve"> Polerady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A352FD">
        <w:rPr>
          <w:rFonts w:cs="Arial"/>
          <w:sz w:val="22"/>
        </w:rPr>
        <w:t>1104-2024-508207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>ze dne</w:t>
      </w:r>
      <w:r w:rsidR="00A352FD">
        <w:rPr>
          <w:rFonts w:cs="Arial"/>
          <w:sz w:val="22"/>
        </w:rPr>
        <w:t xml:space="preserve"> </w:t>
      </w:r>
      <w:r w:rsidR="00DD520C">
        <w:rPr>
          <w:rFonts w:cs="Arial"/>
          <w:sz w:val="22"/>
        </w:rPr>
        <w:t>15. 10. 2024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5A744E6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EF4F97">
        <w:rPr>
          <w:rFonts w:ascii="Arial" w:hAnsi="Arial" w:cs="Arial"/>
        </w:rPr>
        <w:t xml:space="preserve">.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5115E48" w14:textId="77777777" w:rsidR="00EF4F97" w:rsidRPr="00EF4F97" w:rsidRDefault="00EF4F97" w:rsidP="00EF4F97">
      <w:pPr>
        <w:spacing w:after="120"/>
        <w:ind w:left="567"/>
        <w:jc w:val="both"/>
        <w:rPr>
          <w:rFonts w:ascii="Arial" w:hAnsi="Arial" w:cs="Arial"/>
        </w:rPr>
      </w:pPr>
      <w:r w:rsidRPr="00EF4F97">
        <w:rPr>
          <w:rFonts w:ascii="Arial" w:hAnsi="Arial" w:cs="Arial"/>
          <w:b/>
          <w:bCs/>
        </w:rPr>
        <w:t>Krajský pozemkový úřad pro Ústecký kraj</w:t>
      </w:r>
      <w:r w:rsidRPr="00EF4F97">
        <w:rPr>
          <w:rFonts w:ascii="Arial" w:hAnsi="Arial" w:cs="Arial"/>
          <w:b/>
          <w:bCs/>
          <w:snapToGrid w:val="0"/>
        </w:rPr>
        <w:t>,</w:t>
      </w:r>
      <w:r w:rsidRPr="00EF4F97">
        <w:rPr>
          <w:rFonts w:ascii="Arial" w:hAnsi="Arial" w:cs="Arial"/>
          <w:b/>
          <w:bCs/>
        </w:rPr>
        <w:t xml:space="preserve"> Pobočka Chomutov</w:t>
      </w:r>
      <w:r w:rsidRPr="00EF4F97">
        <w:rPr>
          <w:rFonts w:ascii="Arial" w:hAnsi="Arial" w:cs="Arial"/>
          <w:b/>
          <w:bCs/>
          <w:snapToGrid w:val="0"/>
        </w:rPr>
        <w:t xml:space="preserve">, </w:t>
      </w:r>
      <w:r w:rsidRPr="00EF4F97">
        <w:rPr>
          <w:rFonts w:ascii="Arial" w:hAnsi="Arial" w:cs="Arial"/>
          <w:snapToGrid w:val="0"/>
        </w:rPr>
        <w:t>na adrese Jiráskova 2528, 430 03 Chomutov.</w:t>
      </w:r>
      <w:r w:rsidRPr="00EF4F97">
        <w:rPr>
          <w:rFonts w:ascii="Arial" w:hAnsi="Arial" w:cs="Arial"/>
        </w:rPr>
        <w:t xml:space="preserve"> </w:t>
      </w:r>
    </w:p>
    <w:p w14:paraId="2BB55C1B" w14:textId="096537C8" w:rsidR="00E0086F" w:rsidRPr="00ED6435" w:rsidRDefault="00E0086F" w:rsidP="00EF4F97">
      <w:pPr>
        <w:spacing w:after="120"/>
        <w:ind w:left="567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F4F97">
        <w:rPr>
          <w:rFonts w:ascii="Arial" w:hAnsi="Arial" w:cs="Arial"/>
        </w:rPr>
        <w:t xml:space="preserve">Mgr. Jaroslavou Kosejkovou, ředitelkou Krajského pozemkového úřadu pro Ústecký kraj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BF8AA17" w:rsidR="00E0086F" w:rsidRPr="00ED6435" w:rsidRDefault="00E0086F" w:rsidP="005A55AA">
      <w:pPr>
        <w:spacing w:after="120"/>
        <w:ind w:left="567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F4F97">
        <w:rPr>
          <w:rFonts w:ascii="Arial" w:hAnsi="Arial" w:cs="Arial"/>
        </w:rPr>
        <w:t>Mgr. Jaroslavou Kosejkovou</w:t>
      </w:r>
      <w:r w:rsidR="0083666F">
        <w:rPr>
          <w:rFonts w:ascii="Arial" w:hAnsi="Arial" w:cs="Arial"/>
        </w:rPr>
        <w:t>,</w:t>
      </w:r>
      <w:r w:rsidR="00EF4F97">
        <w:rPr>
          <w:rFonts w:ascii="Arial" w:hAnsi="Arial" w:cs="Arial"/>
        </w:rPr>
        <w:t xml:space="preserve"> ředitelkou Krajského pozemkového úřadu pro Ústecký kraj</w:t>
      </w:r>
      <w:bookmarkEnd w:id="1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0B4250E2" w:rsidR="00E0086F" w:rsidRDefault="00E0086F" w:rsidP="005A55A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A55AA">
        <w:rPr>
          <w:rFonts w:ascii="Arial" w:hAnsi="Arial" w:cs="Arial"/>
          <w:snapToGrid w:val="0"/>
        </w:rPr>
        <w:t>Štěpánkou Trnkovou, rada Krajského pozemkového úřadu pro Ústecký kraj, Pobočky Chomutov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0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03AC4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13313">
        <w:rPr>
          <w:rFonts w:ascii="Arial" w:hAnsi="Arial" w:cs="Arial"/>
        </w:rPr>
        <w:t> 725 901 470</w:t>
      </w:r>
    </w:p>
    <w:p w14:paraId="073F5E87" w14:textId="15AD8606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3313">
        <w:rPr>
          <w:rFonts w:ascii="Arial" w:hAnsi="Arial" w:cs="Arial"/>
          <w:snapToGrid w:val="0"/>
        </w:rPr>
        <w:t>stepanka.trnkova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9A1D9D0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2" w:name="_Hlk214958593"/>
      <w:r w:rsidR="00813313">
        <w:rPr>
          <w:rFonts w:ascii="Arial" w:hAnsi="Arial" w:cs="Arial"/>
        </w:rPr>
        <w:t>3723001/0710</w:t>
      </w:r>
      <w:bookmarkEnd w:id="2"/>
    </w:p>
    <w:p w14:paraId="1375E27A" w14:textId="012DDDDA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30820A7" w14:textId="6BF8408D" w:rsidR="00F64EEB" w:rsidRPr="00F64EEB" w:rsidRDefault="00F64EEB" w:rsidP="00F64EEB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00FCFA1" w14:textId="37B749B6" w:rsidR="000A4EA8" w:rsidRPr="008A68C5" w:rsidRDefault="008A68C5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8A68C5">
        <w:rPr>
          <w:rFonts w:ascii="Arial" w:hAnsi="Arial" w:cs="Arial"/>
          <w:b/>
        </w:rPr>
        <w:t>AGROPLAN, spol. s r.o.</w:t>
      </w:r>
    </w:p>
    <w:p w14:paraId="764DE39B" w14:textId="51B9264E" w:rsidR="00AE74B1" w:rsidRPr="008A68C5" w:rsidRDefault="008A68C5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8A68C5">
        <w:rPr>
          <w:rFonts w:ascii="Arial" w:hAnsi="Arial" w:cs="Arial"/>
          <w:bCs/>
        </w:rPr>
        <w:t>Společnost založená a existující podle právního řádu [</w:t>
      </w:r>
      <w:r w:rsidRPr="008A68C5">
        <w:rPr>
          <w:rFonts w:ascii="Arial" w:hAnsi="Arial" w:cs="Arial" w:hint="eastAsia"/>
          <w:bCs/>
        </w:rPr>
        <w:t>Č</w:t>
      </w:r>
      <w:r w:rsidRPr="008A68C5">
        <w:rPr>
          <w:rFonts w:ascii="Arial" w:hAnsi="Arial" w:cs="Arial"/>
          <w:bCs/>
        </w:rPr>
        <w:t>esk</w:t>
      </w:r>
      <w:r w:rsidRPr="008A68C5">
        <w:rPr>
          <w:rFonts w:ascii="Arial" w:hAnsi="Arial" w:cs="Arial" w:hint="eastAsia"/>
          <w:bCs/>
        </w:rPr>
        <w:t>é</w:t>
      </w:r>
      <w:r w:rsidRPr="008A68C5">
        <w:rPr>
          <w:rFonts w:ascii="Arial" w:hAnsi="Arial" w:cs="Arial"/>
          <w:bCs/>
        </w:rPr>
        <w:t xml:space="preserve"> republiky], </w:t>
      </w:r>
      <w:r>
        <w:rPr>
          <w:rFonts w:ascii="Arial" w:hAnsi="Arial" w:cs="Arial"/>
          <w:bCs/>
        </w:rPr>
        <w:t>se sídlem Jeremenkova 9, 147 00 Praha 4, IČO: 481 10 141, zapsaná v obchodním rejstříku vedeném městským soudem v Praze, oddíl C, vložka 16154.</w:t>
      </w:r>
    </w:p>
    <w:p w14:paraId="30FF4A4A" w14:textId="2DD14029" w:rsidR="008A68C5" w:rsidRDefault="00AE74B1" w:rsidP="00F64EEB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8A68C5">
        <w:rPr>
          <w:rFonts w:ascii="Arial" w:hAnsi="Arial" w:cs="Arial"/>
          <w:bCs/>
        </w:rPr>
        <w:t>Zastoupený:</w:t>
      </w:r>
      <w:r w:rsidR="008A68C5" w:rsidRPr="008A68C5">
        <w:rPr>
          <w:rFonts w:ascii="Arial" w:hAnsi="Arial" w:cs="Arial"/>
          <w:bCs/>
        </w:rPr>
        <w:t xml:space="preserve"> jednatelkou Ing. Janou Švábovou</w:t>
      </w:r>
      <w:r w:rsidRPr="008A68C5">
        <w:rPr>
          <w:rFonts w:ascii="Arial" w:hAnsi="Arial" w:cs="Arial"/>
          <w:bCs/>
        </w:rPr>
        <w:t xml:space="preserve"> </w:t>
      </w:r>
      <w:r w:rsidR="008A68C5" w:rsidRPr="008A68C5">
        <w:rPr>
          <w:rFonts w:ascii="Arial" w:hAnsi="Arial" w:cs="Arial"/>
          <w:bCs/>
        </w:rPr>
        <w:t xml:space="preserve">a jednatelem Ing. Petrem Kubů </w:t>
      </w:r>
      <w:r w:rsidR="000A4EA8" w:rsidRPr="008A68C5">
        <w:rPr>
          <w:rFonts w:ascii="Arial" w:hAnsi="Arial" w:cs="Arial"/>
          <w:bCs/>
        </w:rPr>
        <w:t xml:space="preserve">                                           </w:t>
      </w:r>
      <w:bookmarkEnd w:id="3"/>
    </w:p>
    <w:p w14:paraId="7910FB33" w14:textId="069783B2" w:rsidR="008A68C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Ve smluvních záležitostech zastoupený: </w:t>
      </w:r>
      <w:r w:rsidR="008A68C5">
        <w:rPr>
          <w:rFonts w:ascii="Arial" w:hAnsi="Arial" w:cs="Arial"/>
          <w:bCs/>
        </w:rPr>
        <w:t>Ing. Jan</w:t>
      </w:r>
      <w:r w:rsidR="00D941A0">
        <w:rPr>
          <w:rFonts w:ascii="Arial" w:hAnsi="Arial" w:cs="Arial"/>
          <w:bCs/>
        </w:rPr>
        <w:t>ou</w:t>
      </w:r>
      <w:r w:rsidR="008A68C5">
        <w:rPr>
          <w:rFonts w:ascii="Arial" w:hAnsi="Arial" w:cs="Arial"/>
          <w:bCs/>
        </w:rPr>
        <w:t xml:space="preserve"> Švábov</w:t>
      </w:r>
      <w:r w:rsidR="00D941A0">
        <w:rPr>
          <w:rFonts w:ascii="Arial" w:hAnsi="Arial" w:cs="Arial"/>
          <w:bCs/>
        </w:rPr>
        <w:t>ou</w:t>
      </w:r>
      <w:r w:rsidR="008A68C5">
        <w:rPr>
          <w:rFonts w:ascii="Arial" w:hAnsi="Arial" w:cs="Arial"/>
          <w:bCs/>
        </w:rPr>
        <w:t>, jednatel</w:t>
      </w:r>
    </w:p>
    <w:p w14:paraId="6756D340" w14:textId="1597D9E7" w:rsidR="00AE74B1" w:rsidRPr="008A68C5" w:rsidRDefault="008A68C5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r w:rsidR="002707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Ing. Petr</w:t>
      </w:r>
      <w:r w:rsidR="00D941A0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 Kubů, jednatel</w:t>
      </w:r>
      <w:r w:rsidR="00AE74B1" w:rsidRPr="008A68C5">
        <w:rPr>
          <w:rFonts w:ascii="Arial" w:hAnsi="Arial" w:cs="Arial"/>
          <w:bCs/>
        </w:rPr>
        <w:tab/>
        <w:t xml:space="preserve"> </w:t>
      </w:r>
    </w:p>
    <w:p w14:paraId="20DDDB58" w14:textId="05ECA050" w:rsidR="008A68C5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V technických záležitostech zastoupený: </w:t>
      </w:r>
      <w:r w:rsidR="0013783A">
        <w:rPr>
          <w:rFonts w:ascii="Arial" w:hAnsi="Arial" w:cs="Arial"/>
          <w:snapToGrid w:val="0"/>
        </w:rPr>
        <w:t>XXXXXXXXXX</w:t>
      </w:r>
    </w:p>
    <w:p w14:paraId="62AB0B39" w14:textId="39834600" w:rsidR="008A68C5" w:rsidRDefault="008A68C5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3783A">
        <w:rPr>
          <w:rFonts w:ascii="Arial" w:hAnsi="Arial" w:cs="Arial"/>
          <w:snapToGrid w:val="0"/>
        </w:rPr>
        <w:t>XXXXXXXXXX</w:t>
      </w:r>
    </w:p>
    <w:p w14:paraId="6512F425" w14:textId="77777777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/>
          <w:bCs/>
        </w:rPr>
        <w:t>Kontaktní údaje:</w:t>
      </w:r>
    </w:p>
    <w:p w14:paraId="232D2B86" w14:textId="25D8817A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Tel.:                                                          </w:t>
      </w:r>
      <w:r w:rsidR="00270744">
        <w:rPr>
          <w:rFonts w:ascii="Arial" w:hAnsi="Arial" w:cs="Arial"/>
          <w:bCs/>
        </w:rPr>
        <w:t xml:space="preserve"> </w:t>
      </w:r>
      <w:r w:rsidR="0013783A">
        <w:rPr>
          <w:rFonts w:ascii="Arial" w:hAnsi="Arial" w:cs="Arial"/>
          <w:snapToGrid w:val="0"/>
        </w:rPr>
        <w:t>XXXXXXXXXX</w:t>
      </w:r>
      <w:r w:rsidR="0013783A">
        <w:rPr>
          <w:rFonts w:ascii="Arial" w:hAnsi="Arial" w:cs="Arial"/>
          <w:bCs/>
        </w:rPr>
        <w:t xml:space="preserve"> </w:t>
      </w:r>
      <w:r w:rsidR="008A68C5">
        <w:rPr>
          <w:rFonts w:ascii="Arial" w:hAnsi="Arial" w:cs="Arial"/>
          <w:bCs/>
        </w:rPr>
        <w:t>/</w:t>
      </w:r>
      <w:r w:rsidR="00450834">
        <w:rPr>
          <w:rFonts w:ascii="Arial" w:hAnsi="Arial" w:cs="Arial"/>
          <w:bCs/>
        </w:rPr>
        <w:t xml:space="preserve"> </w:t>
      </w:r>
      <w:r w:rsidR="0013783A">
        <w:rPr>
          <w:rFonts w:ascii="Arial" w:hAnsi="Arial" w:cs="Arial"/>
          <w:snapToGrid w:val="0"/>
        </w:rPr>
        <w:t>XXXXXXXXXX</w:t>
      </w:r>
    </w:p>
    <w:p w14:paraId="16EB85BB" w14:textId="42E130C3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E-mail:                                                      </w:t>
      </w:r>
      <w:r w:rsidR="00270744">
        <w:rPr>
          <w:rFonts w:ascii="Arial" w:hAnsi="Arial" w:cs="Arial"/>
          <w:bCs/>
        </w:rPr>
        <w:t xml:space="preserve"> </w:t>
      </w:r>
      <w:r w:rsidR="0013783A">
        <w:rPr>
          <w:rFonts w:ascii="Arial" w:hAnsi="Arial" w:cs="Arial"/>
          <w:snapToGrid w:val="0"/>
        </w:rPr>
        <w:t>XXXXXXXXXX</w:t>
      </w:r>
    </w:p>
    <w:p w14:paraId="64760670" w14:textId="6AD65AE3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ID datové schránky:                                  </w:t>
      </w:r>
      <w:r w:rsidR="00450834">
        <w:rPr>
          <w:rFonts w:ascii="Arial" w:hAnsi="Arial" w:cs="Arial"/>
          <w:bCs/>
        </w:rPr>
        <w:t>pb5jxk5</w:t>
      </w:r>
    </w:p>
    <w:p w14:paraId="1EE1D6AC" w14:textId="77777777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/>
          <w:bCs/>
        </w:rPr>
        <w:t>Bankovní spojení:</w:t>
      </w:r>
    </w:p>
    <w:p w14:paraId="58F5521C" w14:textId="3C69A92E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Číslo účtu:                                                 </w:t>
      </w:r>
      <w:r w:rsidR="00450834">
        <w:rPr>
          <w:rFonts w:ascii="Arial" w:hAnsi="Arial" w:cs="Arial"/>
          <w:bCs/>
        </w:rPr>
        <w:t>31405/0300</w:t>
      </w:r>
    </w:p>
    <w:p w14:paraId="565BDCE7" w14:textId="3C8C2726" w:rsidR="000A4EA8" w:rsidRPr="008A68C5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DIČ:                                                           </w:t>
      </w:r>
      <w:r w:rsidR="00450834">
        <w:rPr>
          <w:rFonts w:ascii="Arial" w:hAnsi="Arial" w:cs="Arial"/>
          <w:bCs/>
        </w:rPr>
        <w:t>CZ48110141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68C5">
        <w:rPr>
          <w:rFonts w:ascii="Arial" w:hAnsi="Arial" w:cs="Arial"/>
          <w:bCs/>
        </w:rPr>
        <w:t xml:space="preserve">(dále jen </w:t>
      </w:r>
      <w:r w:rsidRPr="008A68C5">
        <w:rPr>
          <w:rFonts w:ascii="Arial" w:hAnsi="Arial" w:cs="Arial"/>
          <w:b/>
          <w:bCs/>
        </w:rPr>
        <w:t>„Zhotovitel“</w:t>
      </w:r>
      <w:r w:rsidRPr="008A68C5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45E11291" w:rsidR="00F449C4" w:rsidRDefault="00E0086F" w:rsidP="00F64EE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C70593C" w14:textId="77777777" w:rsidR="00F64EEB" w:rsidRPr="00F64EEB" w:rsidRDefault="00F64EEB" w:rsidP="00F64EEB">
      <w:pPr>
        <w:spacing w:before="240" w:after="120"/>
        <w:ind w:left="567"/>
        <w:jc w:val="both"/>
        <w:rPr>
          <w:rFonts w:ascii="Arial" w:hAnsi="Arial" w:cs="Arial"/>
        </w:rPr>
      </w:pPr>
    </w:p>
    <w:p w14:paraId="431A497E" w14:textId="7448928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B10DB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664EC1B2" w14:textId="7D12FB5B" w:rsidR="00D56522" w:rsidRDefault="001F747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D56522">
        <w:rPr>
          <w:rFonts w:ascii="Arial" w:hAnsi="Arial" w:cs="Arial"/>
          <w:szCs w:val="22"/>
        </w:rPr>
        <w:t>.</w:t>
      </w:r>
      <w:r w:rsidR="004825B4">
        <w:rPr>
          <w:rFonts w:ascii="Arial" w:hAnsi="Arial" w:cs="Arial"/>
          <w:szCs w:val="22"/>
        </w:rPr>
        <w:t xml:space="preserve"> Dále je předmětem dodatku změna </w:t>
      </w:r>
      <w:r w:rsidR="00C57E7B">
        <w:rPr>
          <w:rFonts w:ascii="Arial" w:hAnsi="Arial" w:cs="Arial"/>
          <w:szCs w:val="22"/>
        </w:rPr>
        <w:t>zástupce</w:t>
      </w:r>
      <w:r w:rsidR="003A78E1">
        <w:rPr>
          <w:rFonts w:ascii="Arial" w:hAnsi="Arial" w:cs="Arial"/>
          <w:szCs w:val="22"/>
        </w:rPr>
        <w:t xml:space="preserve"> a </w:t>
      </w:r>
      <w:r w:rsidR="004825B4">
        <w:rPr>
          <w:rFonts w:ascii="Arial" w:hAnsi="Arial" w:cs="Arial"/>
          <w:szCs w:val="22"/>
        </w:rPr>
        <w:t>osob</w:t>
      </w:r>
      <w:r w:rsidR="00E25570">
        <w:rPr>
          <w:rFonts w:ascii="Arial" w:hAnsi="Arial" w:cs="Arial"/>
          <w:szCs w:val="22"/>
        </w:rPr>
        <w:t>y</w:t>
      </w:r>
      <w:r w:rsidR="003A78E1">
        <w:rPr>
          <w:rFonts w:ascii="Arial" w:hAnsi="Arial" w:cs="Arial"/>
          <w:szCs w:val="22"/>
        </w:rPr>
        <w:t xml:space="preserve"> oprávněné jednat ve smluvních záležitostech</w:t>
      </w:r>
      <w:r w:rsidR="00FE2538">
        <w:rPr>
          <w:rFonts w:ascii="Arial" w:hAnsi="Arial" w:cs="Arial"/>
          <w:szCs w:val="22"/>
        </w:rPr>
        <w:t>.</w:t>
      </w:r>
    </w:p>
    <w:p w14:paraId="582D2626" w14:textId="04277E24" w:rsidR="00F64EEB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D941A0">
        <w:rPr>
          <w:rFonts w:ascii="Arial" w:hAnsi="Arial" w:cs="Arial"/>
          <w:szCs w:val="22"/>
        </w:rPr>
        <w:t>u</w:t>
      </w:r>
      <w:r w:rsidR="00B278F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níže uvedených dílčích částí: </w:t>
      </w:r>
    </w:p>
    <w:p w14:paraId="7D845B5F" w14:textId="4F971DC4" w:rsidR="00836A71" w:rsidRPr="00F64EEB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2736"/>
        <w:gridCol w:w="584"/>
        <w:gridCol w:w="1084"/>
        <w:gridCol w:w="1183"/>
        <w:gridCol w:w="1131"/>
        <w:gridCol w:w="2347"/>
      </w:tblGrid>
      <w:tr w:rsidR="00F64EEB" w:rsidRPr="00F64EEB" w14:paraId="72C3FB32" w14:textId="77777777" w:rsidTr="00F64EEB">
        <w:trPr>
          <w:trHeight w:val="1459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F64EEB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F64EEB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1F687554" w:rsidR="005576E2" w:rsidRPr="00F64EEB" w:rsidRDefault="00F64EEB" w:rsidP="005576E2">
            <w:pPr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Navýšení MJ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F64EEB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F64EEB" w:rsidRPr="00F64EEB" w14:paraId="73EB2CBF" w14:textId="77777777" w:rsidTr="00F64EEB">
        <w:trPr>
          <w:trHeight w:val="167"/>
        </w:trPr>
        <w:tc>
          <w:tcPr>
            <w:tcW w:w="711" w:type="dxa"/>
            <w:shd w:val="clear" w:color="auto" w:fill="D9D9D9" w:themeFill="background1" w:themeFillShade="D9"/>
          </w:tcPr>
          <w:p w14:paraId="7730221C" w14:textId="0C1646C6" w:rsidR="005576E2" w:rsidRPr="00F64EEB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6.</w:t>
            </w:r>
            <w:r w:rsidR="00C15E34" w:rsidRPr="00F64EEB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C997FCA" w14:textId="4E10B8EF" w:rsidR="005576E2" w:rsidRPr="00F64EEB" w:rsidRDefault="00C15E34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4EEB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F64EE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F64EE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F64EE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F64EE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F64EEB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64EEB" w:rsidRPr="00F64EEB" w14:paraId="10249BBC" w14:textId="77777777" w:rsidTr="00270744">
        <w:tc>
          <w:tcPr>
            <w:tcW w:w="711" w:type="dxa"/>
            <w:vAlign w:val="center"/>
          </w:tcPr>
          <w:p w14:paraId="20209DFD" w14:textId="2558E5A5" w:rsidR="005576E2" w:rsidRPr="00F64EEB" w:rsidRDefault="00C15E34" w:rsidP="00270744">
            <w:pPr>
              <w:rPr>
                <w:rFonts w:ascii="Arial" w:eastAsia="Arial" w:hAnsi="Arial" w:cs="Arial"/>
              </w:rPr>
            </w:pPr>
            <w:r w:rsidRPr="00F64EEB">
              <w:rPr>
                <w:rFonts w:ascii="Arial" w:hAnsi="Arial" w:cs="Arial"/>
              </w:rPr>
              <w:t xml:space="preserve">6.2.4 </w:t>
            </w:r>
          </w:p>
        </w:tc>
        <w:tc>
          <w:tcPr>
            <w:tcW w:w="2736" w:type="dxa"/>
            <w:vAlign w:val="center"/>
          </w:tcPr>
          <w:p w14:paraId="1E59BD77" w14:textId="409C2E65" w:rsidR="005576E2" w:rsidRPr="00270744" w:rsidRDefault="00C15E34" w:rsidP="00270744">
            <w:pPr>
              <w:rPr>
                <w:rFonts w:ascii="Arial" w:hAnsi="Arial" w:cs="Arial"/>
                <w:i/>
                <w:iCs/>
              </w:rPr>
            </w:pPr>
            <w:r w:rsidRPr="00F64EEB">
              <w:rPr>
                <w:rFonts w:ascii="Arial" w:hAnsi="Arial" w:cs="Arial"/>
                <w:i/>
                <w:iCs/>
              </w:rPr>
              <w:t>Zji</w:t>
            </w:r>
            <w:r w:rsidRPr="00F64EEB">
              <w:rPr>
                <w:rFonts w:ascii="Arial" w:hAnsi="Arial" w:cs="Arial" w:hint="eastAsia"/>
                <w:i/>
                <w:iCs/>
              </w:rPr>
              <w:t>šť</w:t>
            </w:r>
            <w:r w:rsidRPr="00F64EEB">
              <w:rPr>
                <w:rFonts w:ascii="Arial" w:hAnsi="Arial" w:cs="Arial"/>
                <w:i/>
                <w:iCs/>
              </w:rPr>
              <w:t>ov</w:t>
            </w:r>
            <w:r w:rsidRPr="00F64EEB">
              <w:rPr>
                <w:rFonts w:ascii="Arial" w:hAnsi="Arial" w:cs="Arial" w:hint="eastAsia"/>
                <w:i/>
                <w:iCs/>
              </w:rPr>
              <w:t>á</w:t>
            </w:r>
            <w:r w:rsidRPr="00F64EEB">
              <w:rPr>
                <w:rFonts w:ascii="Arial" w:hAnsi="Arial" w:cs="Arial"/>
                <w:i/>
                <w:iCs/>
              </w:rPr>
              <w:t>n</w:t>
            </w:r>
            <w:r w:rsidRPr="00F64EEB">
              <w:rPr>
                <w:rFonts w:ascii="Arial" w:hAnsi="Arial" w:cs="Arial" w:hint="eastAsia"/>
                <w:i/>
                <w:iCs/>
              </w:rPr>
              <w:t>í</w:t>
            </w:r>
            <w:r w:rsidRPr="00F64EEB">
              <w:rPr>
                <w:rFonts w:ascii="Arial" w:hAnsi="Arial" w:cs="Arial"/>
                <w:i/>
                <w:iCs/>
              </w:rPr>
              <w:t xml:space="preserve"> hranic obvodu KoP</w:t>
            </w:r>
            <w:r w:rsidRPr="00F64EEB">
              <w:rPr>
                <w:rFonts w:ascii="Arial" w:hAnsi="Arial" w:cs="Arial" w:hint="eastAsia"/>
                <w:i/>
                <w:iCs/>
              </w:rPr>
              <w:t>Ú</w:t>
            </w:r>
            <w:r w:rsidRPr="00F64EEB">
              <w:rPr>
                <w:rFonts w:ascii="Arial" w:hAnsi="Arial" w:cs="Arial"/>
                <w:i/>
                <w:iCs/>
              </w:rPr>
              <w:t>, geometrick</w:t>
            </w:r>
            <w:r w:rsidRPr="00F64EEB">
              <w:rPr>
                <w:rFonts w:ascii="Arial" w:hAnsi="Arial" w:cs="Arial" w:hint="eastAsia"/>
                <w:i/>
                <w:iCs/>
              </w:rPr>
              <w:t>é</w:t>
            </w:r>
            <w:r w:rsidRPr="00F64EEB">
              <w:rPr>
                <w:rFonts w:ascii="Arial" w:hAnsi="Arial" w:cs="Arial"/>
                <w:i/>
                <w:iCs/>
              </w:rPr>
              <w:t xml:space="preserve"> pl</w:t>
            </w:r>
            <w:r w:rsidRPr="00F64EEB">
              <w:rPr>
                <w:rFonts w:ascii="Arial" w:hAnsi="Arial" w:cs="Arial" w:hint="eastAsia"/>
                <w:i/>
                <w:iCs/>
              </w:rPr>
              <w:t>á</w:t>
            </w:r>
            <w:r w:rsidRPr="00F64EEB">
              <w:rPr>
                <w:rFonts w:ascii="Arial" w:hAnsi="Arial" w:cs="Arial"/>
                <w:i/>
                <w:iCs/>
              </w:rPr>
              <w:t>ny pro stanoven</w:t>
            </w:r>
            <w:r w:rsidRPr="00F64EEB">
              <w:rPr>
                <w:rFonts w:ascii="Arial" w:hAnsi="Arial" w:cs="Arial" w:hint="eastAsia"/>
                <w:i/>
                <w:iCs/>
              </w:rPr>
              <w:t>í</w:t>
            </w:r>
            <w:r w:rsidRPr="00F64EEB">
              <w:rPr>
                <w:rFonts w:ascii="Arial" w:hAnsi="Arial" w:cs="Arial"/>
                <w:i/>
                <w:iCs/>
              </w:rPr>
              <w:t xml:space="preserve"> obvodu KoP</w:t>
            </w:r>
            <w:r w:rsidRPr="00F64EEB">
              <w:rPr>
                <w:rFonts w:ascii="Arial" w:hAnsi="Arial" w:cs="Arial" w:hint="eastAsia"/>
                <w:i/>
                <w:iCs/>
              </w:rPr>
              <w:t>Ú</w:t>
            </w:r>
            <w:r w:rsidRPr="00F64EEB">
              <w:rPr>
                <w:rFonts w:ascii="Arial" w:hAnsi="Arial" w:cs="Arial"/>
                <w:i/>
                <w:iCs/>
              </w:rPr>
              <w:t>,</w:t>
            </w:r>
            <w:r w:rsidR="00270744">
              <w:rPr>
                <w:rFonts w:ascii="Arial" w:hAnsi="Arial" w:cs="Arial"/>
                <w:i/>
                <w:iCs/>
              </w:rPr>
              <w:t xml:space="preserve"> </w:t>
            </w:r>
            <w:r w:rsidRPr="00F64EEB">
              <w:rPr>
                <w:rFonts w:ascii="Arial" w:hAnsi="Arial" w:cs="Arial"/>
                <w:i/>
                <w:iCs/>
              </w:rPr>
              <w:t>p</w:t>
            </w:r>
            <w:r w:rsidRPr="00F64EEB">
              <w:rPr>
                <w:rFonts w:ascii="Arial" w:hAnsi="Arial" w:cs="Arial" w:hint="eastAsia"/>
                <w:i/>
                <w:iCs/>
              </w:rPr>
              <w:t>ř</w:t>
            </w:r>
            <w:r w:rsidRPr="00F64EEB">
              <w:rPr>
                <w:rFonts w:ascii="Arial" w:hAnsi="Arial" w:cs="Arial"/>
                <w:i/>
                <w:iCs/>
              </w:rPr>
              <w:t>edepsan</w:t>
            </w:r>
            <w:r w:rsidRPr="00F64EEB">
              <w:rPr>
                <w:rFonts w:ascii="Arial" w:hAnsi="Arial" w:cs="Arial" w:hint="eastAsia"/>
                <w:i/>
                <w:iCs/>
              </w:rPr>
              <w:t>á</w:t>
            </w:r>
            <w:r w:rsidR="00270744">
              <w:rPr>
                <w:rFonts w:ascii="Arial" w:hAnsi="Arial" w:cs="Arial"/>
                <w:i/>
                <w:iCs/>
              </w:rPr>
              <w:t xml:space="preserve"> </w:t>
            </w:r>
            <w:r w:rsidRPr="00F64EEB">
              <w:rPr>
                <w:rFonts w:ascii="Arial" w:hAnsi="Arial" w:cs="Arial"/>
                <w:i/>
                <w:iCs/>
              </w:rPr>
              <w:t>stabilizace dle vyhl</w:t>
            </w:r>
            <w:r w:rsidRPr="00F64EEB">
              <w:rPr>
                <w:rFonts w:ascii="Arial" w:hAnsi="Arial" w:cs="Arial" w:hint="eastAsia"/>
                <w:i/>
                <w:iCs/>
              </w:rPr>
              <w:t>áš</w:t>
            </w:r>
            <w:r w:rsidRPr="00F64EEB">
              <w:rPr>
                <w:rFonts w:ascii="Arial" w:hAnsi="Arial" w:cs="Arial"/>
                <w:i/>
                <w:iCs/>
              </w:rPr>
              <w:t xml:space="preserve">ky </w:t>
            </w:r>
            <w:r w:rsidRPr="00F64EEB">
              <w:rPr>
                <w:rFonts w:ascii="Arial" w:hAnsi="Arial" w:cs="Arial" w:hint="eastAsia"/>
                <w:i/>
                <w:iCs/>
              </w:rPr>
              <w:t>č</w:t>
            </w:r>
            <w:r w:rsidRPr="00F64EEB">
              <w:rPr>
                <w:rFonts w:ascii="Arial" w:hAnsi="Arial" w:cs="Arial"/>
                <w:i/>
                <w:iCs/>
              </w:rPr>
              <w:t>. 357/2013 Sb.</w:t>
            </w:r>
          </w:p>
        </w:tc>
        <w:tc>
          <w:tcPr>
            <w:tcW w:w="584" w:type="dxa"/>
            <w:vAlign w:val="center"/>
          </w:tcPr>
          <w:p w14:paraId="73C64DCD" w14:textId="3D428F28" w:rsidR="005576E2" w:rsidRPr="00F64EEB" w:rsidRDefault="00C15E34" w:rsidP="00270744">
            <w:pPr>
              <w:jc w:val="center"/>
              <w:rPr>
                <w:rFonts w:ascii="Arial" w:eastAsia="Arial" w:hAnsi="Arial" w:cs="Arial"/>
              </w:rPr>
            </w:pPr>
            <w:r w:rsidRPr="00F64EEB">
              <w:rPr>
                <w:rFonts w:ascii="Arial" w:eastAsia="Arial" w:hAnsi="Arial" w:cs="Arial"/>
              </w:rPr>
              <w:t xml:space="preserve">100 </w:t>
            </w:r>
            <w:r w:rsidR="00224C3D" w:rsidRPr="00F64EEB">
              <w:rPr>
                <w:rFonts w:ascii="Arial" w:eastAsia="Arial" w:hAnsi="Arial" w:cs="Arial"/>
              </w:rPr>
              <w:t>bm</w:t>
            </w:r>
          </w:p>
        </w:tc>
        <w:tc>
          <w:tcPr>
            <w:tcW w:w="1084" w:type="dxa"/>
            <w:vAlign w:val="center"/>
          </w:tcPr>
          <w:p w14:paraId="1E8F5C2E" w14:textId="6C129617" w:rsidR="005576E2" w:rsidRPr="00F64EEB" w:rsidRDefault="00224C3D" w:rsidP="00270744">
            <w:pPr>
              <w:jc w:val="center"/>
              <w:rPr>
                <w:rFonts w:ascii="Arial" w:eastAsia="Arial" w:hAnsi="Arial" w:cs="Arial"/>
              </w:rPr>
            </w:pPr>
            <w:r w:rsidRPr="00F64EEB">
              <w:rPr>
                <w:rFonts w:ascii="Arial" w:eastAsia="Arial" w:hAnsi="Arial" w:cs="Arial"/>
              </w:rPr>
              <w:t>134</w:t>
            </w:r>
          </w:p>
        </w:tc>
        <w:tc>
          <w:tcPr>
            <w:tcW w:w="1183" w:type="dxa"/>
            <w:vAlign w:val="center"/>
          </w:tcPr>
          <w:p w14:paraId="19A3ADEE" w14:textId="2DF428C3" w:rsidR="005576E2" w:rsidRPr="00F64EEB" w:rsidRDefault="00C968C0" w:rsidP="00270744">
            <w:pPr>
              <w:jc w:val="center"/>
              <w:rPr>
                <w:rFonts w:ascii="Arial" w:eastAsia="Arial" w:hAnsi="Arial" w:cs="Arial"/>
              </w:rPr>
            </w:pPr>
            <w:r w:rsidRPr="00F64EEB">
              <w:rPr>
                <w:rFonts w:ascii="Arial" w:eastAsia="Arial" w:hAnsi="Arial" w:cs="Arial"/>
              </w:rPr>
              <w:t>6</w:t>
            </w:r>
          </w:p>
        </w:tc>
        <w:tc>
          <w:tcPr>
            <w:tcW w:w="1131" w:type="dxa"/>
            <w:vAlign w:val="center"/>
          </w:tcPr>
          <w:p w14:paraId="37545210" w14:textId="15E447A3" w:rsidR="005576E2" w:rsidRPr="00F64EEB" w:rsidRDefault="00C968C0" w:rsidP="00270744">
            <w:pPr>
              <w:jc w:val="center"/>
              <w:rPr>
                <w:rFonts w:ascii="Arial" w:eastAsia="Arial" w:hAnsi="Arial" w:cs="Arial"/>
              </w:rPr>
            </w:pPr>
            <w:r w:rsidRPr="00F64EEB">
              <w:rPr>
                <w:rFonts w:ascii="Arial" w:eastAsia="Arial" w:hAnsi="Arial" w:cs="Arial"/>
              </w:rPr>
              <w:t>2 500</w:t>
            </w:r>
          </w:p>
        </w:tc>
        <w:tc>
          <w:tcPr>
            <w:tcW w:w="2347" w:type="dxa"/>
            <w:vAlign w:val="center"/>
          </w:tcPr>
          <w:p w14:paraId="38DCF80B" w14:textId="42ACBF6B" w:rsidR="005576E2" w:rsidRPr="00F64EEB" w:rsidRDefault="00C968C0" w:rsidP="0027074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64EEB">
              <w:rPr>
                <w:rFonts w:ascii="Arial" w:eastAsia="Arial" w:hAnsi="Arial" w:cs="Arial"/>
                <w:b/>
                <w:bCs/>
              </w:rPr>
              <w:t>15 000</w:t>
            </w:r>
          </w:p>
        </w:tc>
      </w:tr>
    </w:tbl>
    <w:p w14:paraId="1DA41B32" w14:textId="77777777" w:rsidR="00D941A0" w:rsidRDefault="00D941A0" w:rsidP="00270744">
      <w:pPr>
        <w:rPr>
          <w:rFonts w:ascii="Arial" w:hAnsi="Arial" w:cs="Arial"/>
        </w:rPr>
      </w:pPr>
    </w:p>
    <w:p w14:paraId="13063EEC" w14:textId="3324963B" w:rsidR="00C12C54" w:rsidRPr="00270744" w:rsidRDefault="00DF6A64" w:rsidP="002707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 xml:space="preserve">odnota změn činí </w:t>
      </w:r>
      <w:r w:rsidR="00C968C0">
        <w:rPr>
          <w:rFonts w:ascii="Arial" w:hAnsi="Arial" w:cs="Arial"/>
          <w:b/>
          <w:bCs/>
        </w:rPr>
        <w:t>15 000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</w:t>
      </w:r>
      <w:r w:rsidR="00C968C0">
        <w:rPr>
          <w:rFonts w:ascii="Arial" w:hAnsi="Arial" w:cs="Arial"/>
        </w:rPr>
        <w:t xml:space="preserve"> 0,59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2E589C6" w14:textId="080353D2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</w:t>
      </w:r>
      <w:r w:rsidRPr="00C968C0">
        <w:rPr>
          <w:rFonts w:ascii="Arial" w:hAnsi="Arial" w:cs="Arial"/>
          <w:b/>
          <w:bCs/>
        </w:rPr>
        <w:t xml:space="preserve">změnách </w:t>
      </w:r>
      <w:r w:rsidR="00C060EA" w:rsidRPr="00C968C0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C968C0">
        <w:rPr>
          <w:rFonts w:ascii="Arial" w:hAnsi="Arial" w:cs="Arial"/>
          <w:b/>
          <w:bCs/>
        </w:rPr>
        <w:t>15 000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21D08461" w14:textId="36AACB93" w:rsidR="004E7932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6E35CDDF" w14:textId="77777777" w:rsidR="004E7932" w:rsidRPr="00D941A0" w:rsidRDefault="004E7932" w:rsidP="00DF6A64">
      <w:pPr>
        <w:rPr>
          <w:rFonts w:ascii="Arial" w:hAnsi="Arial" w:cs="Arial"/>
          <w:lang w:val="fr-FR"/>
        </w:rPr>
      </w:pPr>
    </w:p>
    <w:p w14:paraId="11EF9B0A" w14:textId="11973898" w:rsid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7A7E2D2B" w:rsidR="00591610" w:rsidRPr="00ED2B4A" w:rsidRDefault="00C968C0" w:rsidP="00CB001F">
      <w:pPr>
        <w:jc w:val="both"/>
        <w:rPr>
          <w:rFonts w:ascii="Arial" w:hAnsi="Arial" w:cs="Arial"/>
        </w:rPr>
      </w:pPr>
      <w:bookmarkStart w:id="4" w:name="_Hlk215053992"/>
      <w:r w:rsidRPr="00ED2B4A">
        <w:rPr>
          <w:rFonts w:ascii="Arial" w:hAnsi="Arial" w:cs="Arial"/>
        </w:rPr>
        <w:t xml:space="preserve">Ke </w:t>
      </w:r>
      <w:r w:rsidR="00CB001F" w:rsidRPr="00ED2B4A">
        <w:rPr>
          <w:rFonts w:ascii="Arial" w:hAnsi="Arial" w:cs="Arial"/>
        </w:rPr>
        <w:t xml:space="preserve">změně </w:t>
      </w:r>
      <w:r w:rsidRPr="00ED2B4A">
        <w:rPr>
          <w:rFonts w:ascii="Arial" w:hAnsi="Arial" w:cs="Arial"/>
        </w:rPr>
        <w:t xml:space="preserve">počtu </w:t>
      </w:r>
      <w:r w:rsidR="00CB001F" w:rsidRPr="00ED2B4A">
        <w:rPr>
          <w:rFonts w:ascii="Arial" w:hAnsi="Arial" w:cs="Arial"/>
        </w:rPr>
        <w:t>MJ</w:t>
      </w:r>
      <w:r w:rsidRPr="00ED2B4A">
        <w:rPr>
          <w:rFonts w:ascii="Arial" w:hAnsi="Arial" w:cs="Arial"/>
        </w:rPr>
        <w:t xml:space="preserve"> došlo na základě skutečně odvedených pracích venku v</w:t>
      </w:r>
      <w:r w:rsidR="00CB001F" w:rsidRPr="00ED2B4A">
        <w:rPr>
          <w:rFonts w:ascii="Arial" w:hAnsi="Arial" w:cs="Arial"/>
        </w:rPr>
        <w:t> </w:t>
      </w:r>
      <w:r w:rsidRPr="00ED2B4A">
        <w:rPr>
          <w:rFonts w:ascii="Arial" w:hAnsi="Arial" w:cs="Arial"/>
        </w:rPr>
        <w:t>terénu. Při zjišťování průběhu hranic</w:t>
      </w:r>
      <w:r w:rsidR="00CB001F" w:rsidRPr="00ED2B4A">
        <w:rPr>
          <w:rFonts w:ascii="Arial" w:hAnsi="Arial" w:cs="Arial"/>
        </w:rPr>
        <w:t xml:space="preserve"> (ZPH) byly zjištěny pozemky, které by</w:t>
      </w:r>
      <w:r w:rsidR="00ED2B4A" w:rsidRPr="00ED2B4A">
        <w:rPr>
          <w:rFonts w:ascii="Arial" w:hAnsi="Arial" w:cs="Arial"/>
        </w:rPr>
        <w:t xml:space="preserve"> současným</w:t>
      </w:r>
      <w:r w:rsidR="00CB001F" w:rsidRPr="00ED2B4A">
        <w:rPr>
          <w:rFonts w:ascii="Arial" w:hAnsi="Arial" w:cs="Arial"/>
        </w:rPr>
        <w:t xml:space="preserve"> obvodem pozemkové úpravy zůstaly nepřístupné. Po dohodě se zástupcem obce bylo na místě komisí pro ZPH rozhodnuto, že se tyto pozemky zahrnou do řešeného území pozemkových úprav. Dále bylo</w:t>
      </w:r>
      <w:r w:rsidR="008364CB" w:rsidRPr="00ED2B4A">
        <w:rPr>
          <w:rFonts w:ascii="Arial" w:hAnsi="Arial" w:cs="Arial"/>
        </w:rPr>
        <w:t xml:space="preserve"> při terénním šetření ZPH</w:t>
      </w:r>
      <w:r w:rsidR="00CB001F" w:rsidRPr="00ED2B4A">
        <w:rPr>
          <w:rFonts w:ascii="Arial" w:hAnsi="Arial" w:cs="Arial"/>
        </w:rPr>
        <w:t xml:space="preserve"> zjištěno u Elektrá</w:t>
      </w:r>
      <w:r w:rsidR="00C90489">
        <w:rPr>
          <w:rFonts w:ascii="Arial" w:hAnsi="Arial" w:cs="Arial"/>
        </w:rPr>
        <w:t>r</w:t>
      </w:r>
      <w:r w:rsidR="00CB001F" w:rsidRPr="00ED2B4A">
        <w:rPr>
          <w:rFonts w:ascii="Arial" w:hAnsi="Arial" w:cs="Arial"/>
        </w:rPr>
        <w:t xml:space="preserve">ny Počerady nové oplocení. Obvod pozemkové úpravy byl upraven na nový plot. </w:t>
      </w:r>
      <w:r w:rsidRPr="00ED2B4A">
        <w:rPr>
          <w:rFonts w:ascii="Arial" w:hAnsi="Arial" w:cs="Arial"/>
        </w:rPr>
        <w:t xml:space="preserve"> </w:t>
      </w:r>
      <w:bookmarkEnd w:id="4"/>
    </w:p>
    <w:p w14:paraId="3DF79286" w14:textId="5DBCFFB6" w:rsidR="004E7932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8364CB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F31904" w:rsidRPr="005F3A6D">
        <w:rPr>
          <w:rFonts w:ascii="Arial" w:hAnsi="Arial" w:cs="Arial"/>
          <w:bCs/>
        </w:rPr>
        <w:t xml:space="preserve">nepřesáhne </w:t>
      </w:r>
      <w:r w:rsidR="00C060EA" w:rsidRPr="008364CB">
        <w:rPr>
          <w:rFonts w:ascii="Arial" w:hAnsi="Arial" w:cs="Arial"/>
          <w:bCs/>
        </w:rPr>
        <w:t xml:space="preserve">dle odst. 4 v absolutní hodnotě </w:t>
      </w:r>
      <w:r w:rsidR="008364CB" w:rsidRPr="008364CB">
        <w:rPr>
          <w:rFonts w:ascii="Arial" w:hAnsi="Arial" w:cs="Arial"/>
          <w:bCs/>
        </w:rPr>
        <w:t>10</w:t>
      </w:r>
      <w:r w:rsidR="001F1617" w:rsidRPr="008364CB">
        <w:rPr>
          <w:rFonts w:ascii="Arial" w:hAnsi="Arial" w:cs="Arial"/>
          <w:bCs/>
        </w:rPr>
        <w:t xml:space="preserve"> </w:t>
      </w:r>
      <w:r w:rsidR="00F31904" w:rsidRPr="008364CB">
        <w:rPr>
          <w:rFonts w:ascii="Arial" w:hAnsi="Arial" w:cs="Arial"/>
          <w:bCs/>
        </w:rPr>
        <w:t>%</w:t>
      </w:r>
      <w:r w:rsidR="00C060EA" w:rsidRPr="008364CB">
        <w:rPr>
          <w:rFonts w:ascii="Arial" w:hAnsi="Arial" w:cs="Arial"/>
          <w:bCs/>
        </w:rPr>
        <w:t xml:space="preserve"> </w:t>
      </w:r>
      <w:r w:rsidR="00F31904" w:rsidRPr="008364CB">
        <w:rPr>
          <w:rFonts w:ascii="Arial" w:hAnsi="Arial" w:cs="Arial"/>
          <w:bCs/>
        </w:rPr>
        <w:t>původní hodnoty závazku.</w:t>
      </w:r>
      <w:bookmarkEnd w:id="5"/>
      <w:r w:rsidR="00F31904" w:rsidRPr="008364CB">
        <w:rPr>
          <w:rFonts w:ascii="Arial" w:hAnsi="Arial" w:cs="Arial"/>
          <w:bCs/>
        </w:rPr>
        <w:t xml:space="preserve"> </w:t>
      </w:r>
    </w:p>
    <w:p w14:paraId="0F06CAC9" w14:textId="77777777" w:rsidR="004E7932" w:rsidRDefault="004E7932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51AF093D" w14:textId="46B97E1B" w:rsidR="00C90489" w:rsidRDefault="004E7932" w:rsidP="00C9048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4E7932">
        <w:rPr>
          <w:rFonts w:ascii="Arial" w:hAnsi="Arial" w:cs="Arial"/>
          <w:snapToGrid w:val="0"/>
          <w:kern w:val="20"/>
          <w:szCs w:val="28"/>
        </w:rPr>
        <w:t xml:space="preserve">Dále došlo ke </w:t>
      </w:r>
      <w:r w:rsidRPr="004E7932">
        <w:rPr>
          <w:rFonts w:ascii="Arial" w:hAnsi="Arial" w:cs="Arial"/>
          <w:b/>
          <w:bCs/>
          <w:snapToGrid w:val="0"/>
          <w:kern w:val="20"/>
          <w:szCs w:val="28"/>
        </w:rPr>
        <w:t>z</w:t>
      </w:r>
      <w:r w:rsidR="00C90489" w:rsidRPr="004E7932">
        <w:rPr>
          <w:rFonts w:ascii="Arial" w:hAnsi="Arial" w:cs="Arial"/>
          <w:b/>
          <w:bCs/>
          <w:snapToGrid w:val="0"/>
          <w:kern w:val="20"/>
          <w:szCs w:val="28"/>
        </w:rPr>
        <w:t>měn</w:t>
      </w:r>
      <w:r w:rsidRPr="004E7932">
        <w:rPr>
          <w:rFonts w:ascii="Arial" w:hAnsi="Arial" w:cs="Arial"/>
          <w:b/>
          <w:bCs/>
          <w:snapToGrid w:val="0"/>
          <w:kern w:val="20"/>
          <w:szCs w:val="28"/>
        </w:rPr>
        <w:t>ě</w:t>
      </w:r>
      <w:r w:rsidR="00C90489" w:rsidRPr="004E7932">
        <w:rPr>
          <w:rFonts w:ascii="Arial" w:hAnsi="Arial" w:cs="Arial"/>
          <w:b/>
          <w:bCs/>
          <w:snapToGrid w:val="0"/>
          <w:kern w:val="20"/>
          <w:szCs w:val="28"/>
        </w:rPr>
        <w:t xml:space="preserve"> zástupce objednatele a osoby oprávněné</w:t>
      </w:r>
      <w:r w:rsidR="00C90489" w:rsidRPr="004E7932">
        <w:rPr>
          <w:rFonts w:ascii="Arial" w:hAnsi="Arial" w:cs="Arial"/>
          <w:snapToGrid w:val="0"/>
          <w:kern w:val="20"/>
          <w:szCs w:val="28"/>
        </w:rPr>
        <w:t xml:space="preserve"> jednat ve smluvních záležitostech</w:t>
      </w:r>
      <w:r>
        <w:rPr>
          <w:rFonts w:ascii="Arial" w:hAnsi="Arial" w:cs="Arial"/>
          <w:snapToGrid w:val="0"/>
          <w:kern w:val="20"/>
          <w:szCs w:val="28"/>
        </w:rPr>
        <w:t>:</w:t>
      </w:r>
    </w:p>
    <w:p w14:paraId="43023A15" w14:textId="77777777" w:rsidR="00C90489" w:rsidRDefault="00C90489" w:rsidP="00C90489">
      <w:pPr>
        <w:pStyle w:val="Bezmezer1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Mgr. Jaroslavou Kosejkovou, ředitelkou Krajského pozemkového úřadu pro Ústecký kraj </w:t>
      </w:r>
    </w:p>
    <w:p w14:paraId="6F22AFDC" w14:textId="77777777" w:rsidR="00270744" w:rsidRDefault="00270744" w:rsidP="00C90489">
      <w:pPr>
        <w:pStyle w:val="Bezmezer1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220F9976" w14:textId="77777777" w:rsidR="00270744" w:rsidRPr="00270744" w:rsidRDefault="00C90489" w:rsidP="00270744">
      <w:pPr>
        <w:pStyle w:val="Bezmezer1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70744">
        <w:rPr>
          <w:rFonts w:ascii="Arial" w:hAnsi="Arial" w:cs="Arial"/>
          <w:sz w:val="22"/>
          <w:szCs w:val="22"/>
        </w:rPr>
        <w:t>Ve smluvních záležitostech oprávněn jednat:</w:t>
      </w:r>
      <w:r w:rsidR="00270744" w:rsidRPr="00270744">
        <w:rPr>
          <w:rFonts w:ascii="Arial" w:hAnsi="Arial" w:cs="Arial"/>
          <w:sz w:val="22"/>
          <w:szCs w:val="22"/>
        </w:rPr>
        <w:t xml:space="preserve"> </w:t>
      </w:r>
      <w:r w:rsidRPr="00270744">
        <w:rPr>
          <w:rFonts w:ascii="Arial" w:hAnsi="Arial" w:cs="Arial"/>
          <w:sz w:val="22"/>
          <w:szCs w:val="22"/>
        </w:rPr>
        <w:t xml:space="preserve">Mgr. Jaroslava Kosejková, ředitelka </w:t>
      </w:r>
      <w:r w:rsidR="00270744" w:rsidRPr="00270744">
        <w:rPr>
          <w:rFonts w:ascii="Arial" w:hAnsi="Arial" w:cs="Arial"/>
          <w:sz w:val="22"/>
          <w:szCs w:val="22"/>
        </w:rPr>
        <w:t xml:space="preserve">Krajského pozemkového úřadu pro Ústecký kraj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5A4624C" w14:textId="77777777" w:rsidR="00270744" w:rsidRDefault="00270744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0A1B4B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780C0B">
        <w:rPr>
          <w:rFonts w:ascii="Arial" w:hAnsi="Arial" w:cs="Arial"/>
          <w:b/>
          <w:bCs/>
          <w:snapToGrid w:val="0"/>
        </w:rPr>
        <w:t xml:space="preserve">3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F219A41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1 205 300,00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B8BB1C3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1 458 413,00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B579061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1 149 052,50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56FC318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1 390 353,53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5E6BD8C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190 800,00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0A3262C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230 868,00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736BE81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2 545 152 50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91E7FBA" w:rsidR="0084399A" w:rsidRPr="00763C03" w:rsidRDefault="00780C0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3 079 634,53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3627417" w14:textId="77777777" w:rsidR="00270744" w:rsidRPr="00AB2493" w:rsidRDefault="00270744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B605880" w14:textId="5824A90E" w:rsidR="001B4ED0" w:rsidRPr="001B4ED0" w:rsidRDefault="00056ACC" w:rsidP="001B4ED0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C7309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780C0B" w:rsidRPr="00780C0B">
        <w:rPr>
          <w:rFonts w:ascii="Arial" w:hAnsi="Arial" w:cs="Arial"/>
          <w:b/>
          <w:bCs/>
          <w:szCs w:val="20"/>
        </w:rPr>
        <w:t>AGROPLAN spol. s 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110A2AEF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80C0B">
        <w:rPr>
          <w:rFonts w:ascii="Arial" w:hAnsi="Arial" w:cs="Arial"/>
          <w:b/>
          <w:bCs/>
          <w:snapToGrid w:val="0"/>
        </w:rPr>
        <w:t>pro Ústecký kraj</w:t>
      </w:r>
    </w:p>
    <w:p w14:paraId="52DB552F" w14:textId="0DB63FD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D36B9">
        <w:rPr>
          <w:rFonts w:ascii="Arial" w:hAnsi="Arial" w:cs="Arial"/>
          <w:b/>
          <w:bCs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D36B9">
        <w:rPr>
          <w:rFonts w:ascii="Arial" w:hAnsi="Arial" w:cs="Arial"/>
          <w:b/>
          <w:bCs/>
          <w:snapToGrid w:val="0"/>
        </w:rPr>
        <w:t>Praha</w:t>
      </w:r>
    </w:p>
    <w:p w14:paraId="435FBFFE" w14:textId="0375ED14" w:rsidR="002B735B" w:rsidRPr="0013783A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3783A" w:rsidRPr="0013783A">
        <w:rPr>
          <w:rFonts w:ascii="Arial" w:eastAsia="Times New Roman" w:hAnsi="Arial" w:cs="Arial"/>
          <w:bCs/>
          <w:lang w:eastAsia="cs-CZ"/>
        </w:rPr>
        <w:t>25.3.2026</w:t>
      </w:r>
      <w:r w:rsidR="00257317" w:rsidRPr="0013783A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13783A">
        <w:rPr>
          <w:rFonts w:ascii="Arial" w:eastAsia="Times New Roman" w:hAnsi="Arial" w:cs="Arial"/>
          <w:bCs/>
          <w:lang w:eastAsia="cs-CZ"/>
        </w:rPr>
        <w:t xml:space="preserve"> </w:t>
      </w:r>
      <w:r w:rsidR="0013783A" w:rsidRPr="0013783A">
        <w:rPr>
          <w:rFonts w:ascii="Arial" w:eastAsia="Times New Roman" w:hAnsi="Arial" w:cs="Arial"/>
          <w:bCs/>
          <w:lang w:eastAsia="cs-CZ"/>
        </w:rPr>
        <w:t>20.3.2026</w:t>
      </w:r>
      <w:r w:rsidR="002B735B" w:rsidRPr="0013783A">
        <w:rPr>
          <w:rFonts w:ascii="Arial" w:eastAsia="Times New Roman" w:hAnsi="Arial" w:cs="Arial"/>
          <w:bCs/>
          <w:lang w:eastAsia="cs-CZ"/>
        </w:rPr>
        <w:tab/>
      </w:r>
      <w:r w:rsidR="002B735B" w:rsidRPr="0013783A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13783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D2C427" w14:textId="77777777" w:rsidR="00460FC7" w:rsidRPr="00B523F0" w:rsidRDefault="00B523F0" w:rsidP="00460FC7">
      <w:pPr>
        <w:tabs>
          <w:tab w:val="left" w:pos="567"/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60FC7">
        <w:rPr>
          <w:rFonts w:ascii="Arial" w:eastAsia="Times New Roman" w:hAnsi="Arial" w:cs="Arial"/>
          <w:bCs/>
          <w:i/>
          <w:iCs/>
          <w:lang w:eastAsia="cs-CZ"/>
        </w:rPr>
        <w:tab/>
      </w:r>
      <w:r w:rsidR="00460FC7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2767103" w:rsidR="002B735B" w:rsidRPr="00ED6435" w:rsidRDefault="00780C0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D36B9">
        <w:rPr>
          <w:rFonts w:ascii="Arial" w:eastAsia="Times New Roman" w:hAnsi="Arial" w:cs="Arial"/>
          <w:bCs/>
          <w:lang w:eastAsia="cs-CZ"/>
        </w:rPr>
        <w:t>Ing. Petr Kubů</w:t>
      </w:r>
    </w:p>
    <w:p w14:paraId="74508059" w14:textId="62DA8818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780C0B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FA8EBE" w14:textId="3C2E3CCA" w:rsidR="003A3075" w:rsidRPr="00314E33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A3075" w:rsidRPr="00314E33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7C2245">
        <w:rPr>
          <w:rFonts w:ascii="Arial" w:eastAsia="Times New Roman" w:hAnsi="Arial" w:cs="Arial"/>
          <w:bCs/>
          <w:lang w:eastAsia="cs-CZ"/>
        </w:rPr>
        <w:t xml:space="preserve"> </w:t>
      </w:r>
      <w:r w:rsidR="00143C78">
        <w:rPr>
          <w:rFonts w:ascii="Arial" w:eastAsia="Times New Roman" w:hAnsi="Arial" w:cs="Arial"/>
          <w:bCs/>
          <w:lang w:eastAsia="cs-CZ"/>
        </w:rPr>
        <w:t>Ing. Veronika Pav</w:t>
      </w:r>
      <w:r w:rsidR="00466621">
        <w:rPr>
          <w:rFonts w:ascii="Arial" w:eastAsia="Times New Roman" w:hAnsi="Arial" w:cs="Arial"/>
          <w:bCs/>
          <w:lang w:eastAsia="cs-CZ"/>
        </w:rPr>
        <w:t>l</w:t>
      </w:r>
      <w:r w:rsidR="00143C78">
        <w:rPr>
          <w:rFonts w:ascii="Arial" w:eastAsia="Times New Roman" w:hAnsi="Arial" w:cs="Arial"/>
          <w:bCs/>
          <w:lang w:eastAsia="cs-CZ"/>
        </w:rPr>
        <w:t>íčko</w:t>
      </w:r>
      <w:r w:rsidR="00AB2137">
        <w:rPr>
          <w:rFonts w:ascii="Arial" w:eastAsia="Times New Roman" w:hAnsi="Arial" w:cs="Arial"/>
          <w:bCs/>
          <w:lang w:eastAsia="cs-CZ"/>
        </w:rPr>
        <w:t>vá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2310"/>
        <w:gridCol w:w="1135"/>
        <w:gridCol w:w="1137"/>
        <w:gridCol w:w="1120"/>
        <w:gridCol w:w="1559"/>
        <w:gridCol w:w="1531"/>
      </w:tblGrid>
      <w:tr w:rsidR="00F3330E" w:rsidRPr="00314E33" w14:paraId="041CF9F4" w14:textId="77777777" w:rsidTr="006544BA">
        <w:trPr>
          <w:trHeight w:val="49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5E774" w14:textId="1B287B8C" w:rsidR="00F3330E" w:rsidRPr="003A3075" w:rsidRDefault="00F3330E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Položkový výkaz činností – Příloha k Dodatku č. 1 – Komplexní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pozemkové úpravy Polerady</w:t>
            </w:r>
          </w:p>
        </w:tc>
      </w:tr>
      <w:tr w:rsidR="00314E33" w:rsidRPr="00314E33" w14:paraId="5D6F93C9" w14:textId="77777777" w:rsidTr="006544BA">
        <w:trPr>
          <w:trHeight w:val="814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AA94" w14:textId="7AF6F99C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6A1D" w14:textId="75ECBC62" w:rsidR="003A3075" w:rsidRPr="00314E33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celek/</w:t>
            </w:r>
          </w:p>
          <w:p w14:paraId="2F75DEA9" w14:textId="73115E09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Dílčí část Hlavního celku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CCA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81D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4C9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9E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DE3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544BA" w:rsidRPr="00314E33" w14:paraId="01E8C0EB" w14:textId="77777777" w:rsidTr="006544BA">
        <w:trPr>
          <w:trHeight w:val="604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C855B84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4507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49BC6" w14:textId="5EAD84D6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</w:tr>
      <w:tr w:rsidR="00314E33" w:rsidRPr="00314E33" w14:paraId="7486E243" w14:textId="77777777" w:rsidTr="00314E33">
        <w:trPr>
          <w:trHeight w:val="604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D9D8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6F8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35CB7" w14:textId="6E8551F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CE0A" w14:textId="0BA65F8E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55B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04C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78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23FBFC" w14:textId="08AC7094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30.9.2025</w:t>
            </w:r>
          </w:p>
        </w:tc>
      </w:tr>
      <w:tr w:rsidR="00314E33" w:rsidRPr="00314E33" w14:paraId="5730A3A3" w14:textId="77777777" w:rsidTr="00314E33">
        <w:trPr>
          <w:trHeight w:val="604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31DF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C5A0" w14:textId="5A6794C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569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423D" w14:textId="52C2E31E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C2C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057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78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E968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0865A15B" w14:textId="77777777" w:rsidTr="00314E33">
        <w:trPr>
          <w:trHeight w:val="676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276D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BD2B" w14:textId="198FCD6B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265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C4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DEC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5EB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445 200,00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209E4D" w14:textId="3CC83B5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30.11.2025</w:t>
            </w:r>
          </w:p>
        </w:tc>
      </w:tr>
      <w:tr w:rsidR="00314E33" w:rsidRPr="00314E33" w14:paraId="0DB1756A" w14:textId="77777777" w:rsidTr="00314E33">
        <w:trPr>
          <w:trHeight w:val="1011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EBC81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7343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B7F2C" w14:textId="68995EA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A7641" w14:textId="30CF8B20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D941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691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76A27" w14:textId="118C2746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D941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000,00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68028FE" w14:textId="5ED13C01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</w:tr>
      <w:tr w:rsidR="00314E33" w:rsidRPr="00314E33" w14:paraId="6F71B0E9" w14:textId="77777777" w:rsidTr="00314E33">
        <w:trPr>
          <w:trHeight w:val="687"/>
        </w:trPr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F29E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8E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12884E" w14:textId="1BF7DE90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3C17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0E1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83255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CD2DA" w14:textId="0F21F8E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</w:tr>
      <w:tr w:rsidR="00314E33" w:rsidRPr="00314E33" w14:paraId="22F3F957" w14:textId="77777777" w:rsidTr="00314E33">
        <w:trPr>
          <w:trHeight w:val="604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CD1E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E77E5" w14:textId="25559CEB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Rozbor současného stavu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A5D5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BA19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95D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B223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190 800,00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AD3C6D" w14:textId="60719A4B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30.7.2026</w:t>
            </w:r>
          </w:p>
        </w:tc>
      </w:tr>
      <w:tr w:rsidR="00314E33" w:rsidRPr="00314E33" w14:paraId="15694387" w14:textId="77777777" w:rsidTr="006544BA">
        <w:trPr>
          <w:trHeight w:val="709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4CF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12E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DF1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16C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AA5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91D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190 800,00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D473BE" w14:textId="01390E8F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30.9.2026</w:t>
            </w:r>
          </w:p>
        </w:tc>
      </w:tr>
      <w:tr w:rsidR="006544BA" w:rsidRPr="00314E33" w14:paraId="53AEFF2F" w14:textId="77777777" w:rsidTr="006544BA">
        <w:trPr>
          <w:trHeight w:val="814"/>
        </w:trPr>
        <w:tc>
          <w:tcPr>
            <w:tcW w:w="3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7F7E" w14:textId="74DAFA51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D240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1 205 300,00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B40D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30.9.2026</w:t>
            </w:r>
          </w:p>
        </w:tc>
      </w:tr>
      <w:tr w:rsidR="006544BA" w:rsidRPr="00314E33" w14:paraId="0BEAC809" w14:textId="77777777" w:rsidTr="006544BA">
        <w:trPr>
          <w:trHeight w:val="604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B808B35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45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323A1" w14:textId="6C3A1FBB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2 „Návrhové práce“</w:t>
            </w:r>
          </w:p>
        </w:tc>
      </w:tr>
      <w:tr w:rsidR="00314E33" w:rsidRPr="00314E33" w14:paraId="372B5836" w14:textId="77777777" w:rsidTr="006544BA">
        <w:trPr>
          <w:trHeight w:val="60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AE2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07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137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699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8F0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640,00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8F7F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407 040,00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ED2182" w14:textId="0DF8BBE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30.11.2027</w:t>
            </w:r>
          </w:p>
        </w:tc>
      </w:tr>
      <w:tr w:rsidR="00314E33" w:rsidRPr="00314E33" w14:paraId="1232548A" w14:textId="77777777" w:rsidTr="006544BA">
        <w:trPr>
          <w:trHeight w:val="114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D3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443" w14:textId="1A4CA84B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E8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21D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D91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6689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14 000,00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68B8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13F2EB5D" w14:textId="77777777" w:rsidTr="006544BA">
        <w:trPr>
          <w:trHeight w:val="967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E1FDF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995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6ED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698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F1F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7070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27 500,00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5322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2DBB50C3" w14:textId="77777777" w:rsidTr="006544BA">
        <w:trPr>
          <w:trHeight w:val="942"/>
        </w:trPr>
        <w:tc>
          <w:tcPr>
            <w:tcW w:w="49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061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F6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</w:t>
            </w: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plochy záboru půdy stavbami dle čl. 6.3.1 i) b) Smlouvy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E2E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100 bm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993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43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C956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50 000,00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7CB86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78CD7AC1" w14:textId="77777777" w:rsidTr="00314E33">
        <w:trPr>
          <w:trHeight w:val="967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620A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A26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127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638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E9C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60 000,00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CC99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60 000,00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5F871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72B599A4" w14:textId="77777777" w:rsidTr="00314E33">
        <w:trPr>
          <w:trHeight w:val="81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276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52E2BF" w14:textId="09E0FAE6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194E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4926E6" w14:textId="1705FF2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661102" w14:textId="5C1969F5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A75032" w14:textId="5602B51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BC592B" w14:textId="40EA326F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36BD4F30" w14:textId="77777777" w:rsidTr="00314E33">
        <w:trPr>
          <w:trHeight w:val="81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0C4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E9038C" w14:textId="739DA88F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9EB5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5A45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B1F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4 480,00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E1D1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4 480,00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E8BF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E33" w:rsidRPr="00314E33" w14:paraId="3DF37BB5" w14:textId="77777777" w:rsidTr="00314E33">
        <w:trPr>
          <w:trHeight w:val="81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BBF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E5F7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18B0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EB4B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234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2 560,00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2069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2 560,00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3522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E33" w:rsidRPr="00314E33" w14:paraId="191B877E" w14:textId="77777777" w:rsidTr="00314E33">
        <w:trPr>
          <w:trHeight w:val="81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AAF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F59CC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B60B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A4D0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069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960,00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906B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960,00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4040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314E33" w:rsidRPr="00314E33" w14:paraId="6107AE59" w14:textId="77777777" w:rsidTr="00314E33">
        <w:trPr>
          <w:trHeight w:val="709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A56B" w14:textId="025866CC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FF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299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FAD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EF6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825,00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458C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524 700,00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F792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30.11.2028</w:t>
            </w:r>
          </w:p>
        </w:tc>
      </w:tr>
      <w:tr w:rsidR="00314E33" w:rsidRPr="00314E33" w14:paraId="526CB7C6" w14:textId="77777777" w:rsidTr="00314E33">
        <w:trPr>
          <w:trHeight w:val="604"/>
        </w:trPr>
        <w:tc>
          <w:tcPr>
            <w:tcW w:w="4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87CB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5B0B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C29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C75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109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BD6C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40 000,00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B886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314E33" w:rsidRPr="00314E33" w14:paraId="5F7A0757" w14:textId="77777777" w:rsidTr="00314E33">
        <w:trPr>
          <w:trHeight w:val="745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3176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35702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838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4A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43F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D452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1DA2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314E33" w:rsidRPr="00314E33" w14:paraId="56FEB0F7" w14:textId="77777777" w:rsidTr="00314E33">
        <w:trPr>
          <w:trHeight w:val="745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88F4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1CE472" w14:textId="146C4281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49A7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57ACA3" w14:textId="184010A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86D364" w14:textId="6CCBB394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6865A3" w14:textId="5DB5179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1014E6" w14:textId="0757128A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5C315D5B" w14:textId="77777777" w:rsidTr="00314E33">
        <w:trPr>
          <w:trHeight w:val="745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7E5DA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9981D0" w14:textId="326EF65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5C31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9D12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747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5 775,00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52AE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5 775,00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CCD6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314E33" w:rsidRPr="00314E33" w14:paraId="5B1F0458" w14:textId="77777777" w:rsidTr="006544BA">
        <w:trPr>
          <w:trHeight w:val="745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63F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65F" w14:textId="65EC9ED9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1AB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CA4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AE5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BB0A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39104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314E33" w:rsidRPr="00314E33" w14:paraId="4F958900" w14:textId="77777777" w:rsidTr="006544BA">
        <w:trPr>
          <w:trHeight w:val="734"/>
        </w:trPr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7F2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D8B" w14:textId="4196DCB9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996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0C4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725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1 237,50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525F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1 237,50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043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6544BA" w:rsidRPr="00314E33" w14:paraId="067EF6BF" w14:textId="77777777" w:rsidTr="006544BA">
        <w:trPr>
          <w:trHeight w:val="814"/>
        </w:trPr>
        <w:tc>
          <w:tcPr>
            <w:tcW w:w="3416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6A70D" w14:textId="653AE591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139B28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1 149 052,50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403B5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314E33" w:rsidRPr="00314E33" w14:paraId="183E7B02" w14:textId="77777777" w:rsidTr="00314E33">
        <w:trPr>
          <w:trHeight w:val="604"/>
        </w:trPr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CB58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5C17EF" w14:textId="30BA209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3 „Mapové dílo“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0F389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FBC490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B0A6D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E9BB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190 800,00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7B7A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6544BA" w:rsidRPr="00314E33" w14:paraId="63289F04" w14:textId="77777777" w:rsidTr="006544BA">
        <w:trPr>
          <w:trHeight w:val="814"/>
        </w:trPr>
        <w:tc>
          <w:tcPr>
            <w:tcW w:w="341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3954AB" w14:textId="1DC0623D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71F45F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190 800,00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8A898" w14:textId="77777777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6544BA" w:rsidRPr="00314E33" w14:paraId="2CBD28F1" w14:textId="77777777" w:rsidTr="006544BA">
        <w:trPr>
          <w:trHeight w:val="60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62603" w14:textId="25FAF9AE" w:rsidR="006544BA" w:rsidRPr="003A3075" w:rsidRDefault="006544BA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kalkulace ceny</w:t>
            </w:r>
          </w:p>
        </w:tc>
      </w:tr>
      <w:tr w:rsidR="00314E33" w:rsidRPr="00314E33" w14:paraId="4A36258D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5F2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C14B" w14:textId="3792824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482B" w14:textId="0A9BDE3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F01" w14:textId="18A7CAD4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8AD8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1 205 300,00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FA665F" w14:textId="781CF65D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5BDA2773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604D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27CA" w14:textId="0A24355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499" w14:textId="2A1EFF4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A815" w14:textId="02343B3C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E2E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1 149 052,50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B69761" w14:textId="28D12A9D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6D817244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3DFE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2399" w14:textId="7B5C9D41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74C1" w14:textId="2B09BDC0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F797" w14:textId="2FC14166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2FC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190 800,00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7CA98D" w14:textId="23F6A6F2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4D81F08B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983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0CAE" w14:textId="486F50EE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70D5" w14:textId="71808B15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A4DF" w14:textId="6B648F8D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4D6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2 545 152,50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81E02C" w14:textId="0BE3F5DC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2C063358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E861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8995" w14:textId="435BA01C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09BF" w14:textId="2D1A2BF0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BE74" w14:textId="601460E4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285B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534 482,03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3CF816" w14:textId="08D5E858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4E33" w:rsidRPr="00314E33" w14:paraId="5E7569A4" w14:textId="77777777" w:rsidTr="00314E33">
        <w:trPr>
          <w:trHeight w:val="604"/>
        </w:trPr>
        <w:tc>
          <w:tcPr>
            <w:tcW w:w="167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4EC782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CA716A" w14:textId="113F1F76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6DFC60" w14:textId="3DA69AC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77B4F0" w14:textId="3B8CA4E0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65084C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3 079 634,53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C0C6D" w14:textId="1D9E046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3075" w:rsidRPr="003A3075" w14:paraId="3A942B1F" w14:textId="77777777" w:rsidTr="00314E33">
        <w:trPr>
          <w:trHeight w:val="40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62B3AF" w14:textId="521B09BA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3075" w:rsidRPr="00314E33" w14:paraId="4C8C6CE3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2957" w14:textId="7251148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Česká republika – Státní pozemkový úřad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9C9B9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AGROPLAN spol. s r.o.</w:t>
            </w:r>
          </w:p>
        </w:tc>
      </w:tr>
      <w:tr w:rsidR="003A3075" w:rsidRPr="00314E33" w14:paraId="25579757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A208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EA047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</w:tr>
      <w:tr w:rsidR="003A3075" w:rsidRPr="00314E33" w14:paraId="73858EBB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AC63" w14:textId="7CF9DE3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1378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25.3.2026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32C40" w14:textId="31A2C7CE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13783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20.3.2026</w:t>
            </w:r>
          </w:p>
        </w:tc>
      </w:tr>
      <w:tr w:rsidR="003A3075" w:rsidRPr="00314E33" w14:paraId="1BD2DFF7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182F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E7EA" w14:textId="77777777" w:rsidR="003A3075" w:rsidRPr="003A3075" w:rsidRDefault="003A3075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3075" w:rsidRPr="00314E33" w14:paraId="43763C36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6C60D" w14:textId="77777777" w:rsidR="003A3075" w:rsidRPr="003A3075" w:rsidRDefault="003A3075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807E" w14:textId="77777777" w:rsidR="003A3075" w:rsidRPr="003A3075" w:rsidRDefault="003A3075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3075" w:rsidRPr="00314E33" w14:paraId="1ED88F4B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0C6AD" w14:textId="77777777" w:rsidR="003A3075" w:rsidRPr="003A3075" w:rsidRDefault="003A3075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9346" w14:textId="77777777" w:rsidR="003A3075" w:rsidRPr="003A3075" w:rsidRDefault="003A3075" w:rsidP="003A30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3075" w:rsidRPr="00314E33" w14:paraId="40056BF7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DFD3" w14:textId="7A290129" w:rsidR="003A3075" w:rsidRPr="003A3075" w:rsidRDefault="00314E33" w:rsidP="003A30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14E3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889A" w14:textId="3695D713" w:rsidR="003A3075" w:rsidRPr="00460FC7" w:rsidRDefault="00460FC7" w:rsidP="00460FC7">
            <w:pPr>
              <w:tabs>
                <w:tab w:val="left" w:pos="567"/>
                <w:tab w:val="left" w:pos="567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  <w:r w:rsidRPr="00314E3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„elektronicky podepsáno“</w:t>
            </w:r>
          </w:p>
        </w:tc>
      </w:tr>
      <w:tr w:rsidR="003A3075" w:rsidRPr="00314E33" w14:paraId="3234AC8C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AB6A" w14:textId="2B8CCDAB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________________________________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BC53" w14:textId="53BAD823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________________________________</w:t>
            </w:r>
          </w:p>
        </w:tc>
      </w:tr>
      <w:tr w:rsidR="003A3075" w:rsidRPr="00314E33" w14:paraId="4F76E698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3C0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5865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Petr Kubů</w:t>
            </w:r>
          </w:p>
        </w:tc>
      </w:tr>
      <w:tr w:rsidR="003A3075" w:rsidRPr="00314E33" w14:paraId="592FFC8A" w14:textId="77777777" w:rsidTr="00314E33">
        <w:trPr>
          <w:trHeight w:val="407"/>
        </w:trPr>
        <w:tc>
          <w:tcPr>
            <w:tcW w:w="284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2F23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ředitelka Krajského pozemkového úřadu pro Ústecký kraj</w:t>
            </w:r>
          </w:p>
        </w:tc>
        <w:tc>
          <w:tcPr>
            <w:tcW w:w="2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203FF" w14:textId="77777777" w:rsidR="003A3075" w:rsidRPr="003A3075" w:rsidRDefault="003A3075" w:rsidP="003A30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07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 společnosti</w:t>
            </w:r>
          </w:p>
        </w:tc>
      </w:tr>
    </w:tbl>
    <w:p w14:paraId="4C542FD1" w14:textId="77777777" w:rsidR="003A3075" w:rsidRPr="00314E33" w:rsidRDefault="003A3075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caps/>
          <w:sz w:val="16"/>
          <w:szCs w:val="16"/>
        </w:rPr>
      </w:pPr>
    </w:p>
    <w:sectPr w:rsidR="003A3075" w:rsidRPr="00314E33" w:rsidSect="00CB6F0F"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86FA" w14:textId="77777777" w:rsidR="00843F49" w:rsidRDefault="00843F49" w:rsidP="007936E4">
      <w:pPr>
        <w:spacing w:after="0"/>
      </w:pPr>
      <w:r>
        <w:separator/>
      </w:r>
    </w:p>
  </w:endnote>
  <w:endnote w:type="continuationSeparator" w:id="0">
    <w:p w14:paraId="422E7681" w14:textId="77777777" w:rsidR="00843F49" w:rsidRDefault="00843F49" w:rsidP="007936E4">
      <w:pPr>
        <w:spacing w:after="0"/>
      </w:pPr>
      <w:r>
        <w:continuationSeparator/>
      </w:r>
    </w:p>
  </w:endnote>
  <w:endnote w:type="continuationNotice" w:id="1">
    <w:p w14:paraId="09BE0D25" w14:textId="77777777" w:rsidR="00843F49" w:rsidRDefault="00843F4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3B66BAE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A307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91FA" w14:textId="1DCFFFD6" w:rsidR="006544BA" w:rsidRPr="006544BA" w:rsidRDefault="006544BA" w:rsidP="006544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8AC9" w14:textId="77777777" w:rsidR="006544BA" w:rsidRDefault="00654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BAEA" w14:textId="77777777" w:rsidR="00843F49" w:rsidRDefault="00843F49" w:rsidP="007936E4">
      <w:pPr>
        <w:spacing w:after="0"/>
      </w:pPr>
      <w:r>
        <w:separator/>
      </w:r>
    </w:p>
  </w:footnote>
  <w:footnote w:type="continuationSeparator" w:id="0">
    <w:p w14:paraId="53317723" w14:textId="77777777" w:rsidR="00843F49" w:rsidRDefault="00843F49" w:rsidP="007936E4">
      <w:pPr>
        <w:spacing w:after="0"/>
      </w:pPr>
      <w:r>
        <w:continuationSeparator/>
      </w:r>
    </w:p>
  </w:footnote>
  <w:footnote w:type="continuationNotice" w:id="1">
    <w:p w14:paraId="4409B150" w14:textId="77777777" w:rsidR="00843F49" w:rsidRDefault="00843F4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8D61BE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780C0B">
      <w:rPr>
        <w:szCs w:val="16"/>
      </w:rPr>
      <w:t>Polerady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C03" w14:textId="77777777" w:rsidR="007C2245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</w:p>
  <w:p w14:paraId="1621F82A" w14:textId="3737D5ED" w:rsidR="007C2245" w:rsidRDefault="007C2245" w:rsidP="007C2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 w:rsidRPr="00ED36B9">
      <w:rPr>
        <w:rFonts w:cs="Arial"/>
        <w:szCs w:val="16"/>
        <w:lang w:val="fr-FR" w:eastAsia="cs-CZ"/>
      </w:rPr>
      <w:t>Číslo smlouvy objednatele :</w:t>
    </w:r>
    <w:r w:rsidR="00ED36B9" w:rsidRPr="00ED36B9">
      <w:rPr>
        <w:rFonts w:cs="Arial"/>
        <w:szCs w:val="16"/>
        <w:lang w:val="fr-FR" w:eastAsia="cs-CZ"/>
      </w:rPr>
      <w:t xml:space="preserve"> 1104-2024-508207</w:t>
    </w:r>
    <w:r w:rsidR="000C65B9">
      <w:rPr>
        <w:rFonts w:cs="Arial"/>
        <w:szCs w:val="16"/>
        <w:lang w:val="fr-FR" w:eastAsia="cs-CZ"/>
      </w:rPr>
      <w:t>/1</w:t>
    </w:r>
  </w:p>
  <w:p w14:paraId="44B36398" w14:textId="57DF55C9" w:rsidR="0083666F" w:rsidRDefault="00043079" w:rsidP="007C2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976B2F">
      <w:rPr>
        <w:rFonts w:cs="Arial"/>
        <w:sz w:val="18"/>
        <w:szCs w:val="18"/>
        <w:lang w:val="fr-FR" w:eastAsia="cs-CZ"/>
      </w:rPr>
      <w:tab/>
    </w:r>
    <w:r w:rsidRPr="00976B2F">
      <w:rPr>
        <w:rFonts w:cs="Arial"/>
        <w:sz w:val="18"/>
        <w:szCs w:val="18"/>
        <w:lang w:val="fr-FR" w:eastAsia="cs-CZ"/>
      </w:rPr>
      <w:tab/>
    </w:r>
    <w:r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6544BA">
      <w:rPr>
        <w:rFonts w:cs="Arial"/>
        <w:szCs w:val="16"/>
        <w:lang w:val="fr-FR" w:eastAsia="cs-CZ"/>
      </w:rPr>
      <w:t xml:space="preserve"> </w:t>
    </w:r>
    <w:r w:rsidR="00D941A0" w:rsidRPr="00D941A0">
      <w:rPr>
        <w:rFonts w:cs="Arial"/>
        <w:szCs w:val="16"/>
        <w:lang w:val="fr-FR" w:eastAsia="cs-CZ"/>
      </w:rPr>
      <w:t>spudms00000016485987</w:t>
    </w:r>
  </w:p>
  <w:p w14:paraId="79FB4768" w14:textId="794B972F" w:rsidR="007C2245" w:rsidRDefault="000C65B9" w:rsidP="007C2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</w:t>
    </w:r>
    <w:r w:rsidR="007C2245">
      <w:rPr>
        <w:rFonts w:cs="Arial"/>
        <w:szCs w:val="16"/>
        <w:lang w:val="fr-FR" w:eastAsia="cs-CZ"/>
      </w:rPr>
      <w:t>íslo smlouvy zhotovitele :</w:t>
    </w:r>
  </w:p>
  <w:p w14:paraId="65929310" w14:textId="1D43162C" w:rsidR="007C2245" w:rsidRDefault="007C2245" w:rsidP="00F64EE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Název :</w:t>
    </w:r>
    <w:r w:rsidR="00ED36B9">
      <w:rPr>
        <w:rFonts w:cs="Arial"/>
        <w:szCs w:val="16"/>
        <w:lang w:val="fr-FR" w:eastAsia="cs-CZ"/>
      </w:rPr>
      <w:t xml:space="preserve"> Komplexní pozemkové úpravy Polerady</w:t>
    </w:r>
  </w:p>
  <w:p w14:paraId="59B40329" w14:textId="77777777" w:rsidR="007C2245" w:rsidRPr="007C2245" w:rsidRDefault="007C22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67B8" w14:textId="0F3C50F7" w:rsidR="003A3075" w:rsidRPr="00F3330E" w:rsidRDefault="00F3330E" w:rsidP="00F3330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>
      <w:rPr>
        <w:szCs w:val="16"/>
      </w:rPr>
      <w:t xml:space="preserve"> Polerady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5B9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83A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C78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ED0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C3D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744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A7A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422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E33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797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075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8E1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3F34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2BD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0834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0FC7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62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5B4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739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E7932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8BA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468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2A8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5AA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6CA6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79E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BBB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4B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3801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598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103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4AA9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C0B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245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31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4CB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3F49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8C5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48E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A2D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0AB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2FD"/>
    <w:rsid w:val="00A35E8F"/>
    <w:rsid w:val="00A366D6"/>
    <w:rsid w:val="00A367F7"/>
    <w:rsid w:val="00A36D24"/>
    <w:rsid w:val="00A378D6"/>
    <w:rsid w:val="00A4198C"/>
    <w:rsid w:val="00A426C3"/>
    <w:rsid w:val="00A4274E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FE6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3B0"/>
    <w:rsid w:val="00AA7FCD"/>
    <w:rsid w:val="00AB095C"/>
    <w:rsid w:val="00AB1575"/>
    <w:rsid w:val="00AB2137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0CA2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5FF2"/>
    <w:rsid w:val="00B973B9"/>
    <w:rsid w:val="00BA16AE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A1D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5E34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57E7B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0489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8C0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01F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522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1A0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20C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4E7D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570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0E4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0DB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B4A"/>
    <w:rsid w:val="00ED2F8F"/>
    <w:rsid w:val="00ED32BD"/>
    <w:rsid w:val="00ED36B9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4F9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0E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4EEB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579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538"/>
    <w:rsid w:val="00FE31DD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83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378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3783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ezmezer1">
    <w:name w:val="Bez mezer1"/>
    <w:uiPriority w:val="1"/>
    <w:qFormat/>
    <w:rsid w:val="005A02A8"/>
    <w:pPr>
      <w:ind w:left="851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4</cp:revision>
  <cp:lastPrinted>2026-03-17T14:02:00Z</cp:lastPrinted>
  <dcterms:created xsi:type="dcterms:W3CDTF">2026-03-20T08:12:00Z</dcterms:created>
  <dcterms:modified xsi:type="dcterms:W3CDTF">2026-03-25T12:16:00Z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