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77586A98" w14:textId="77777777" w:rsidR="0087725A" w:rsidRPr="00014665" w:rsidRDefault="0087725A" w:rsidP="0087725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Jhočeský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kraj,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na adrese </w:t>
      </w:r>
      <w:r>
        <w:rPr>
          <w:rFonts w:ascii="Arial" w:hAnsi="Arial" w:cs="Arial"/>
          <w:snapToGrid w:val="0"/>
          <w:sz w:val="22"/>
          <w:szCs w:val="22"/>
        </w:rPr>
        <w:t>Rudolfovská 80, 370 01 České Budějovice</w:t>
      </w:r>
    </w:p>
    <w:p w14:paraId="15FE3BDD" w14:textId="77777777" w:rsidR="0087725A" w:rsidRPr="00014665" w:rsidRDefault="0087725A" w:rsidP="0087725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554B3D77" w14:textId="77777777" w:rsidR="0087725A" w:rsidRPr="00014665" w:rsidRDefault="0087725A" w:rsidP="0087725A">
      <w:pPr>
        <w:tabs>
          <w:tab w:val="left" w:pos="4962"/>
        </w:tabs>
        <w:ind w:left="4962" w:hanging="4395"/>
        <w:jc w:val="left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>
        <w:rPr>
          <w:rFonts w:ascii="Arial" w:hAnsi="Arial" w:cs="Arial"/>
          <w:sz w:val="22"/>
          <w:szCs w:val="22"/>
        </w:rPr>
        <w:tab/>
        <w:t xml:space="preserve">Ing. Evou </w:t>
      </w:r>
      <w:proofErr w:type="spellStart"/>
      <w:r>
        <w:rPr>
          <w:rFonts w:ascii="Arial" w:hAnsi="Arial" w:cs="Arial"/>
          <w:sz w:val="22"/>
          <w:szCs w:val="22"/>
        </w:rPr>
        <w:t>Schmidtmajerovou</w:t>
      </w:r>
      <w:proofErr w:type="spellEnd"/>
      <w:r>
        <w:rPr>
          <w:rFonts w:ascii="Arial" w:hAnsi="Arial" w:cs="Arial"/>
          <w:sz w:val="22"/>
          <w:szCs w:val="22"/>
        </w:rPr>
        <w:t>, CSc., ředitelkou KPÚ pro Jihočeský kraj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1743CDDB" w14:textId="77777777" w:rsidR="00D92FC6" w:rsidRDefault="00D92FC6" w:rsidP="00D92FC6">
      <w:pPr>
        <w:tabs>
          <w:tab w:val="left" w:pos="4962"/>
        </w:tabs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A568D0">
        <w:rPr>
          <w:rFonts w:ascii="Arial" w:hAnsi="Arial" w:cs="Arial"/>
          <w:snapToGrid w:val="0"/>
          <w:sz w:val="22"/>
          <w:szCs w:val="22"/>
        </w:rPr>
        <w:t>Ing. Davidem Mišíkem</w:t>
      </w:r>
    </w:p>
    <w:p w14:paraId="1F3CFD36" w14:textId="77777777" w:rsidR="00D92FC6" w:rsidRPr="00A568D0" w:rsidRDefault="00D92FC6" w:rsidP="00D92FC6">
      <w:pPr>
        <w:tabs>
          <w:tab w:val="left" w:pos="4962"/>
        </w:tabs>
        <w:spacing w:before="0"/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Pr="00A568D0">
        <w:rPr>
          <w:rFonts w:ascii="Arial" w:hAnsi="Arial" w:cs="Arial"/>
          <w:snapToGrid w:val="0"/>
          <w:sz w:val="22"/>
          <w:szCs w:val="22"/>
        </w:rPr>
        <w:t>vedoucím Pobočky Tábor</w:t>
      </w:r>
    </w:p>
    <w:p w14:paraId="7D56E9F3" w14:textId="77777777" w:rsidR="007A3DA3" w:rsidRPr="00014665" w:rsidRDefault="007A3DA3" w:rsidP="007A3DA3">
      <w:pPr>
        <w:tabs>
          <w:tab w:val="left" w:pos="4536"/>
          <w:tab w:val="left" w:pos="4962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F41D8AA" w14:textId="77777777" w:rsidR="0087493B" w:rsidRPr="00F71C01" w:rsidRDefault="0087493B" w:rsidP="0087493B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</w: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ab/>
        <w:t xml:space="preserve">+ 420 724 179 204 </w:t>
      </w:r>
    </w:p>
    <w:p w14:paraId="3C21AA08" w14:textId="77777777" w:rsidR="0087493B" w:rsidRPr="00F71C01" w:rsidRDefault="0087493B" w:rsidP="0087493B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F71C01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E-mail:</w:t>
      </w:r>
      <w:r w:rsidRPr="00F71C0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F71C0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Pr="00F71C01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ab/>
      </w:r>
      <w:r w:rsidRPr="00F71C01">
        <w:rPr>
          <w:rFonts w:ascii="Arial" w:eastAsia="Lucida Sans Unicode" w:hAnsi="Arial" w:cs="Arial"/>
          <w:kern w:val="2"/>
          <w:sz w:val="22"/>
          <w:szCs w:val="22"/>
          <w:lang w:eastAsia="en-US"/>
          <w14:ligatures w14:val="standardContextual"/>
        </w:rPr>
        <w:t>tabor.pk@spu.gov.cz</w:t>
      </w:r>
    </w:p>
    <w:p w14:paraId="0F0157AB" w14:textId="08678483" w:rsidR="007A3DA3" w:rsidRPr="00014665" w:rsidRDefault="007A3DA3" w:rsidP="007A3DA3">
      <w:pPr>
        <w:tabs>
          <w:tab w:val="left" w:pos="4962"/>
        </w:tabs>
        <w:spacing w:before="0"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schránky: </w:t>
      </w: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72917109" w14:textId="77777777" w:rsidR="00700330" w:rsidRPr="00A50F4D" w:rsidRDefault="00700330" w:rsidP="00700330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  <w:highlight w:val="cyan"/>
        </w:rPr>
      </w:pPr>
      <w:r w:rsidRPr="00A50F4D">
        <w:rPr>
          <w:rFonts w:ascii="Arial" w:hAnsi="Arial" w:cs="Arial"/>
          <w:b/>
          <w:sz w:val="22"/>
          <w:szCs w:val="22"/>
          <w:highlight w:val="cyan"/>
        </w:rPr>
        <w:t>[Obchodní firma zhotovitele]</w:t>
      </w:r>
    </w:p>
    <w:p w14:paraId="50AA49A0" w14:textId="77777777" w:rsidR="00700330" w:rsidRPr="00014665" w:rsidRDefault="00700330" w:rsidP="00700330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014665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014665">
        <w:rPr>
          <w:rFonts w:ascii="Arial" w:hAnsi="Arial" w:cs="Arial"/>
          <w:bCs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IČO: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>, oddíl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  <w:r w:rsidRPr="00014665">
        <w:rPr>
          <w:rFonts w:ascii="Arial" w:hAnsi="Arial" w:cs="Arial"/>
          <w:snapToGrid w:val="0"/>
          <w:sz w:val="22"/>
          <w:szCs w:val="22"/>
        </w:rPr>
        <w:t>, vložka</w:t>
      </w: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FD75392" w14:textId="77777777" w:rsidR="00700330" w:rsidRPr="00014665" w:rsidRDefault="00700330" w:rsidP="00700330">
      <w:pPr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2ADD6B6" w14:textId="77777777" w:rsidR="00700330" w:rsidRPr="00014665" w:rsidRDefault="00700330" w:rsidP="00700330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1212F9AF" w14:textId="77777777" w:rsidR="00700330" w:rsidRPr="00014665" w:rsidRDefault="00700330" w:rsidP="00700330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D0161E6" w14:textId="77777777" w:rsidR="00700330" w:rsidRPr="00014665" w:rsidRDefault="00700330" w:rsidP="00700330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9159EA7" w14:textId="77777777" w:rsidR="00700330" w:rsidRPr="00014665" w:rsidRDefault="00700330" w:rsidP="00700330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Tel.: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0D744E4E" w14:textId="77777777" w:rsidR="00700330" w:rsidRPr="00014665" w:rsidRDefault="00700330" w:rsidP="00700330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41ECAD73" w14:textId="77777777" w:rsidR="00700330" w:rsidRPr="00014665" w:rsidRDefault="00700330" w:rsidP="00700330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014665">
        <w:rPr>
          <w:rFonts w:ascii="Arial" w:hAnsi="Arial" w:cs="Arial"/>
          <w:sz w:val="22"/>
          <w:szCs w:val="22"/>
        </w:rPr>
        <w:t>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2FC6E793" w14:textId="77777777" w:rsidR="00700330" w:rsidRPr="00014665" w:rsidRDefault="00700330" w:rsidP="00700330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014665">
        <w:rPr>
          <w:rFonts w:ascii="Arial" w:hAnsi="Arial" w:cs="Arial"/>
          <w:b/>
          <w:sz w:val="22"/>
          <w:szCs w:val="22"/>
        </w:rPr>
        <w:t>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7CAEC139" w14:textId="77777777" w:rsidR="00700330" w:rsidRPr="00014665" w:rsidRDefault="00700330" w:rsidP="00700330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4665">
        <w:rPr>
          <w:rFonts w:ascii="Arial" w:hAnsi="Arial" w:cs="Arial"/>
          <w:sz w:val="22"/>
          <w:szCs w:val="22"/>
        </w:rPr>
        <w:t xml:space="preserve">účtu: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5737AB35" w14:textId="77777777" w:rsidR="00700330" w:rsidRPr="00014665" w:rsidRDefault="00700330" w:rsidP="00700330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proofErr w:type="gramStart"/>
      <w:r w:rsidRPr="00014665">
        <w:rPr>
          <w:rFonts w:ascii="Arial" w:hAnsi="Arial" w:cs="Arial"/>
          <w:sz w:val="22"/>
          <w:szCs w:val="22"/>
        </w:rPr>
        <w:t xml:space="preserve">DIČ: </w:t>
      </w:r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....</w:t>
      </w:r>
      <w:proofErr w:type="gramEnd"/>
      <w:r w:rsidRPr="00A50F4D">
        <w:rPr>
          <w:rFonts w:ascii="Arial" w:hAnsi="Arial" w:cs="Arial"/>
          <w:snapToGrid w:val="0"/>
          <w:sz w:val="22"/>
          <w:szCs w:val="22"/>
          <w:highlight w:val="cyan"/>
        </w:rPr>
        <w:t>.</w:t>
      </w:r>
    </w:p>
    <w:p w14:paraId="0DAFE1B4" w14:textId="77777777" w:rsidR="00700330" w:rsidRPr="003C0D30" w:rsidRDefault="00700330" w:rsidP="00700330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513B2C36" w14:textId="77777777" w:rsidR="00700330" w:rsidRDefault="00700330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1DC6184C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</w:t>
      </w:r>
      <w:r w:rsidR="001671E3" w:rsidRPr="003F10D2">
        <w:rPr>
          <w:rFonts w:ascii="Arial" w:hAnsi="Arial" w:cs="Arial"/>
          <w:sz w:val="22"/>
          <w:szCs w:val="22"/>
        </w:rPr>
        <w:t>realizuje veřejná zakázka s</w:t>
      </w:r>
      <w:r w:rsidR="001671E3">
        <w:rPr>
          <w:rFonts w:ascii="Arial" w:hAnsi="Arial" w:cs="Arial"/>
          <w:sz w:val="22"/>
          <w:szCs w:val="22"/>
        </w:rPr>
        <w:t> </w:t>
      </w:r>
      <w:r w:rsidR="001671E3" w:rsidRPr="003F10D2">
        <w:rPr>
          <w:rFonts w:ascii="Arial" w:hAnsi="Arial" w:cs="Arial"/>
          <w:sz w:val="22"/>
          <w:szCs w:val="22"/>
        </w:rPr>
        <w:t>názvem</w:t>
      </w:r>
      <w:r w:rsidR="001671E3">
        <w:rPr>
          <w:rFonts w:ascii="Arial" w:hAnsi="Arial" w:cs="Arial"/>
          <w:sz w:val="22"/>
          <w:szCs w:val="22"/>
        </w:rPr>
        <w:t xml:space="preserve"> </w:t>
      </w:r>
      <w:r w:rsidR="001671E3" w:rsidRPr="0032302D">
        <w:rPr>
          <w:rFonts w:ascii="Arial" w:hAnsi="Arial" w:cs="Arial"/>
          <w:b/>
          <w:bCs/>
          <w:sz w:val="22"/>
          <w:szCs w:val="22"/>
        </w:rPr>
        <w:t xml:space="preserve">Vytyčení po </w:t>
      </w:r>
      <w:proofErr w:type="spellStart"/>
      <w:r w:rsidR="001671E3" w:rsidRPr="0032302D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1671E3" w:rsidRPr="0032302D">
        <w:rPr>
          <w:rFonts w:ascii="Arial" w:hAnsi="Arial" w:cs="Arial"/>
          <w:b/>
          <w:bCs/>
          <w:sz w:val="22"/>
          <w:szCs w:val="22"/>
        </w:rPr>
        <w:t xml:space="preserve"> v okrese </w:t>
      </w:r>
      <w:r w:rsidR="007B6B6F" w:rsidRPr="0032302D">
        <w:rPr>
          <w:rFonts w:ascii="Arial" w:hAnsi="Arial" w:cs="Arial"/>
          <w:b/>
          <w:bCs/>
          <w:sz w:val="22"/>
          <w:szCs w:val="22"/>
        </w:rPr>
        <w:t xml:space="preserve">Tábor </w:t>
      </w:r>
      <w:r w:rsidR="001671E3" w:rsidRPr="0032302D">
        <w:rPr>
          <w:rFonts w:ascii="Arial" w:hAnsi="Arial" w:cs="Arial"/>
          <w:b/>
          <w:bCs/>
          <w:sz w:val="22"/>
          <w:szCs w:val="22"/>
        </w:rPr>
        <w:t>202</w:t>
      </w:r>
      <w:r w:rsidR="007B6B6F" w:rsidRPr="0032302D">
        <w:rPr>
          <w:rFonts w:ascii="Arial" w:hAnsi="Arial" w:cs="Arial"/>
          <w:b/>
          <w:bCs/>
          <w:sz w:val="22"/>
          <w:szCs w:val="22"/>
        </w:rPr>
        <w:t>6</w:t>
      </w:r>
      <w:r w:rsidR="001671E3" w:rsidRPr="0032302D">
        <w:rPr>
          <w:rFonts w:ascii="Arial" w:hAnsi="Arial" w:cs="Arial"/>
          <w:b/>
          <w:bCs/>
          <w:sz w:val="22"/>
          <w:szCs w:val="22"/>
        </w:rPr>
        <w:t xml:space="preserve"> I.</w:t>
      </w:r>
      <w:r w:rsidR="001671E3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1671E3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1671E3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1671E3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4DF7591D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  <w:r w:rsidR="008B0916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E1C63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143F430A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6E1C63">
        <w:rPr>
          <w:rFonts w:ascii="Arial" w:hAnsi="Arial" w:cs="Arial"/>
          <w:sz w:val="22"/>
          <w:szCs w:val="22"/>
        </w:rPr>
        <w:t>Jihočeský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303662">
        <w:rPr>
          <w:rFonts w:ascii="Arial" w:hAnsi="Arial" w:cs="Arial"/>
          <w:sz w:val="22"/>
          <w:szCs w:val="22"/>
        </w:rPr>
        <w:t>Tábor.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CBAE112" w14:textId="4EAA90DD" w:rsidR="0010278B" w:rsidRPr="00014665" w:rsidRDefault="0010278B" w:rsidP="0010278B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Zhotovením Díla se rozumí vytyčení a zaměření lomových bodů vlastnických hranic pozemků </w:t>
      </w:r>
      <w:proofErr w:type="gramStart"/>
      <w:r w:rsidRPr="00A412A8">
        <w:rPr>
          <w:rFonts w:ascii="Arial" w:hAnsi="Arial" w:cs="Arial"/>
          <w:sz w:val="22"/>
          <w:szCs w:val="22"/>
        </w:rPr>
        <w:t>v  katastrálních</w:t>
      </w:r>
      <w:proofErr w:type="gramEnd"/>
      <w:r w:rsidRPr="00A412A8">
        <w:rPr>
          <w:rFonts w:ascii="Arial" w:hAnsi="Arial" w:cs="Arial"/>
          <w:sz w:val="22"/>
          <w:szCs w:val="22"/>
        </w:rPr>
        <w:t xml:space="preserve"> územích:</w:t>
      </w:r>
      <w:r w:rsidR="00A412A8" w:rsidRPr="00A412A8">
        <w:rPr>
          <w:rFonts w:ascii="Arial" w:hAnsi="Arial" w:cs="Arial"/>
          <w:b/>
          <w:bCs/>
          <w:sz w:val="22"/>
          <w:szCs w:val="22"/>
        </w:rPr>
        <w:t xml:space="preserve"> </w:t>
      </w:r>
      <w:r w:rsidR="00A412A8" w:rsidRPr="00A412A8">
        <w:rPr>
          <w:rFonts w:ascii="Arial" w:hAnsi="Arial" w:cs="Arial"/>
          <w:b/>
          <w:bCs/>
          <w:sz w:val="22"/>
          <w:szCs w:val="22"/>
        </w:rPr>
        <w:t>Hlavatce,</w:t>
      </w:r>
      <w:r w:rsidR="00A412A8" w:rsidRPr="00A412A8">
        <w:rPr>
          <w:rFonts w:ascii="Arial" w:hAnsi="Arial" w:cs="Arial"/>
          <w:sz w:val="22"/>
          <w:szCs w:val="22"/>
        </w:rPr>
        <w:t xml:space="preserve"> </w:t>
      </w:r>
      <w:r w:rsidR="00A412A8" w:rsidRPr="00A412A8">
        <w:rPr>
          <w:rFonts w:ascii="Arial" w:hAnsi="Arial" w:cs="Arial"/>
          <w:b/>
          <w:bCs/>
          <w:sz w:val="22"/>
          <w:szCs w:val="22"/>
        </w:rPr>
        <w:t xml:space="preserve">Makov u Jistebnice, </w:t>
      </w:r>
      <w:proofErr w:type="spellStart"/>
      <w:r w:rsidR="00A412A8" w:rsidRPr="00A412A8">
        <w:rPr>
          <w:rFonts w:ascii="Arial" w:hAnsi="Arial" w:cs="Arial"/>
          <w:b/>
          <w:bCs/>
          <w:sz w:val="22"/>
          <w:szCs w:val="22"/>
        </w:rPr>
        <w:t>Malešín</w:t>
      </w:r>
      <w:proofErr w:type="spellEnd"/>
      <w:r w:rsidR="00A412A8" w:rsidRPr="00A412A8">
        <w:rPr>
          <w:rFonts w:ascii="Arial" w:hAnsi="Arial" w:cs="Arial"/>
          <w:b/>
          <w:bCs/>
          <w:sz w:val="22"/>
          <w:szCs w:val="22"/>
        </w:rPr>
        <w:t xml:space="preserve"> u Vodice a Vlkov nad Lužnicí</w:t>
      </w:r>
      <w:r w:rsidRPr="00A412A8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A412A8">
        <w:rPr>
          <w:rFonts w:ascii="Arial" w:hAnsi="Arial" w:cs="Arial"/>
          <w:sz w:val="22"/>
          <w:szCs w:val="22"/>
        </w:rPr>
        <w:t>okres:</w:t>
      </w:r>
      <w:r w:rsidR="00A412A8" w:rsidRPr="00A412A8">
        <w:rPr>
          <w:rFonts w:ascii="Arial" w:hAnsi="Arial" w:cs="Arial"/>
          <w:sz w:val="22"/>
          <w:szCs w:val="22"/>
        </w:rPr>
        <w:t>Tábor</w:t>
      </w:r>
      <w:proofErr w:type="spellEnd"/>
      <w:proofErr w:type="gramEnd"/>
      <w:r w:rsidRPr="00A412A8">
        <w:rPr>
          <w:rFonts w:ascii="Arial" w:hAnsi="Arial" w:cs="Arial"/>
          <w:sz w:val="22"/>
          <w:szCs w:val="22"/>
        </w:rPr>
        <w:t xml:space="preserve"> včetně</w:t>
      </w:r>
      <w:r w:rsidRPr="00014665">
        <w:rPr>
          <w:rFonts w:ascii="Arial" w:hAnsi="Arial" w:cs="Arial"/>
          <w:sz w:val="22"/>
          <w:szCs w:val="22"/>
        </w:rPr>
        <w:t xml:space="preserve"> vyhotovení záznamu podrobného měření změn („</w:t>
      </w:r>
      <w:r w:rsidRPr="00B2624E">
        <w:rPr>
          <w:rFonts w:ascii="Arial" w:hAnsi="Arial" w:cs="Arial"/>
          <w:b/>
          <w:bCs/>
          <w:sz w:val="22"/>
          <w:szCs w:val="22"/>
        </w:rPr>
        <w:t>ZPMZ</w:t>
      </w:r>
      <w:r w:rsidRPr="00014665">
        <w:rPr>
          <w:rFonts w:ascii="Arial" w:hAnsi="Arial" w:cs="Arial"/>
          <w:sz w:val="22"/>
          <w:szCs w:val="22"/>
        </w:rPr>
        <w:t>“).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0D68656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A412A8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8AD76BA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306641">
        <w:rPr>
          <w:rFonts w:ascii="Arial" w:hAnsi="Arial" w:cs="Arial"/>
          <w:sz w:val="22"/>
          <w:szCs w:val="22"/>
        </w:rPr>
        <w:t>Jihočeský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79A4">
        <w:rPr>
          <w:rFonts w:ascii="Arial" w:hAnsi="Arial" w:cs="Arial"/>
          <w:sz w:val="22"/>
          <w:szCs w:val="22"/>
        </w:rPr>
        <w:t>Tábnor</w:t>
      </w:r>
      <w:proofErr w:type="spellEnd"/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8C79A4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 xml:space="preserve">bjednateli zároveň </w:t>
      </w:r>
      <w:r w:rsidR="00B2052C" w:rsidRPr="00DA61BA">
        <w:rPr>
          <w:rFonts w:ascii="Arial" w:hAnsi="Arial" w:cs="Arial"/>
          <w:sz w:val="22"/>
          <w:szCs w:val="22"/>
        </w:rPr>
        <w:t>dokla</w:t>
      </w:r>
      <w:r w:rsidR="00364EAE" w:rsidRPr="00DA61BA">
        <w:rPr>
          <w:rFonts w:ascii="Arial" w:hAnsi="Arial" w:cs="Arial"/>
          <w:sz w:val="22"/>
          <w:szCs w:val="22"/>
        </w:rPr>
        <w:t>d o předání dokumentace na kata</w:t>
      </w:r>
      <w:r w:rsidR="00B2052C" w:rsidRPr="00DA61BA">
        <w:rPr>
          <w:rFonts w:ascii="Arial" w:hAnsi="Arial" w:cs="Arial"/>
          <w:sz w:val="22"/>
          <w:szCs w:val="22"/>
        </w:rPr>
        <w:t>s</w:t>
      </w:r>
      <w:r w:rsidR="00364EAE" w:rsidRPr="00DA61BA">
        <w:rPr>
          <w:rFonts w:ascii="Arial" w:hAnsi="Arial" w:cs="Arial"/>
          <w:sz w:val="22"/>
          <w:szCs w:val="22"/>
        </w:rPr>
        <w:t>t</w:t>
      </w:r>
      <w:r w:rsidR="00B2052C" w:rsidRPr="00DA61BA">
        <w:rPr>
          <w:rFonts w:ascii="Arial" w:hAnsi="Arial" w:cs="Arial"/>
          <w:sz w:val="22"/>
          <w:szCs w:val="22"/>
        </w:rPr>
        <w:t>rální úřad</w:t>
      </w:r>
      <w:r w:rsidR="00754188" w:rsidRPr="00DA61BA">
        <w:rPr>
          <w:rFonts w:ascii="Arial" w:hAnsi="Arial" w:cs="Arial"/>
          <w:sz w:val="22"/>
          <w:szCs w:val="22"/>
        </w:rPr>
        <w:t>.</w:t>
      </w:r>
      <w:r w:rsidR="00B2052C" w:rsidRPr="00DA61BA">
        <w:rPr>
          <w:rFonts w:ascii="Arial" w:hAnsi="Arial" w:cs="Arial"/>
          <w:sz w:val="22"/>
          <w:szCs w:val="22"/>
        </w:rPr>
        <w:t xml:space="preserve"> </w:t>
      </w:r>
      <w:r w:rsidR="005F38B8" w:rsidRPr="00DA61BA">
        <w:rPr>
          <w:rFonts w:ascii="Arial" w:hAnsi="Arial" w:cs="Arial"/>
          <w:sz w:val="22"/>
          <w:szCs w:val="22"/>
        </w:rPr>
        <w:t xml:space="preserve">Zhotovitel předá </w:t>
      </w:r>
      <w:r w:rsidR="00527B62" w:rsidRPr="00DA61BA">
        <w:rPr>
          <w:rFonts w:ascii="Arial" w:hAnsi="Arial" w:cs="Arial"/>
          <w:sz w:val="22"/>
          <w:szCs w:val="22"/>
        </w:rPr>
        <w:t>zákres vytyčen</w:t>
      </w:r>
      <w:r w:rsidR="005F38B8" w:rsidRPr="00DA61BA">
        <w:rPr>
          <w:rFonts w:ascii="Arial" w:hAnsi="Arial" w:cs="Arial"/>
          <w:sz w:val="22"/>
          <w:szCs w:val="22"/>
        </w:rPr>
        <w:t>ých hranic</w:t>
      </w:r>
      <w:r w:rsidR="00527B62" w:rsidRPr="00DA61BA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DA61BA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DA61BA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DA61BA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DA61BA">
        <w:rPr>
          <w:rFonts w:ascii="Arial" w:hAnsi="Arial" w:cs="Arial"/>
          <w:sz w:val="22"/>
          <w:szCs w:val="22"/>
        </w:rPr>
        <w:t xml:space="preserve">. </w:t>
      </w:r>
      <w:r w:rsidR="008B77F6" w:rsidRPr="00DA61BA">
        <w:rPr>
          <w:rFonts w:ascii="Arial" w:hAnsi="Arial" w:cs="Arial"/>
          <w:sz w:val="22"/>
          <w:szCs w:val="22"/>
        </w:rPr>
        <w:t>Digitální data budou předá</w:t>
      </w:r>
      <w:r w:rsidR="00F04956" w:rsidRPr="00DA61BA">
        <w:rPr>
          <w:rFonts w:ascii="Arial" w:hAnsi="Arial" w:cs="Arial"/>
          <w:sz w:val="22"/>
          <w:szCs w:val="22"/>
        </w:rPr>
        <w:t>na</w:t>
      </w:r>
      <w:r w:rsidR="00CB7B66" w:rsidRPr="00DA61BA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DA61BA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DA61BA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E84C6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84C61">
        <w:rPr>
          <w:rFonts w:ascii="Arial" w:hAnsi="Arial" w:cs="Arial"/>
          <w:sz w:val="22"/>
          <w:szCs w:val="22"/>
        </w:rPr>
        <w:t>Zahájení činnosti:</w:t>
      </w:r>
      <w:r w:rsidR="00AD699E" w:rsidRPr="00E84C61">
        <w:rPr>
          <w:rFonts w:ascii="Arial" w:hAnsi="Arial" w:cs="Arial"/>
          <w:sz w:val="22"/>
          <w:szCs w:val="22"/>
        </w:rPr>
        <w:t xml:space="preserve"> </w:t>
      </w:r>
      <w:r w:rsidR="00D6451F" w:rsidRPr="00E84C61">
        <w:rPr>
          <w:rFonts w:ascii="Arial" w:hAnsi="Arial" w:cs="Arial"/>
          <w:sz w:val="22"/>
          <w:szCs w:val="22"/>
        </w:rPr>
        <w:t xml:space="preserve">po podpisu </w:t>
      </w:r>
      <w:r w:rsidR="00215CEC" w:rsidRPr="00E84C61">
        <w:rPr>
          <w:rFonts w:ascii="Arial" w:hAnsi="Arial" w:cs="Arial"/>
          <w:sz w:val="22"/>
          <w:szCs w:val="22"/>
        </w:rPr>
        <w:t>S</w:t>
      </w:r>
      <w:r w:rsidR="00D6451F" w:rsidRPr="00E84C61">
        <w:rPr>
          <w:rFonts w:ascii="Arial" w:hAnsi="Arial" w:cs="Arial"/>
          <w:sz w:val="22"/>
          <w:szCs w:val="22"/>
        </w:rPr>
        <w:t xml:space="preserve">mlouvy </w:t>
      </w:r>
      <w:r w:rsidR="00993230" w:rsidRPr="00E84C61">
        <w:rPr>
          <w:rFonts w:ascii="Arial" w:hAnsi="Arial" w:cs="Arial"/>
          <w:sz w:val="22"/>
          <w:szCs w:val="22"/>
        </w:rPr>
        <w:t>S</w:t>
      </w:r>
      <w:r w:rsidR="008345B9" w:rsidRPr="00E84C6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E84C61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E84C61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E84C61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E84C61">
        <w:rPr>
          <w:rFonts w:ascii="Arial" w:hAnsi="Arial" w:cs="Arial"/>
          <w:b/>
          <w:bCs/>
          <w:sz w:val="22"/>
          <w:szCs w:val="22"/>
          <w:highlight w:val="cyan"/>
        </w:rPr>
        <w:t>…………</w:t>
      </w:r>
      <w:r w:rsidR="00294AF8" w:rsidRPr="00E84C61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E84C61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E84C61">
        <w:rPr>
          <w:rFonts w:ascii="Arial" w:hAnsi="Arial" w:cs="Arial"/>
          <w:sz w:val="22"/>
          <w:szCs w:val="22"/>
        </w:rPr>
        <w:t>k </w:t>
      </w:r>
      <w:r w:rsidR="00294AF8" w:rsidRPr="00E84C61">
        <w:rPr>
          <w:rFonts w:ascii="Arial" w:hAnsi="Arial" w:cs="Arial"/>
          <w:sz w:val="22"/>
          <w:szCs w:val="22"/>
        </w:rPr>
        <w:t>uveřejnění</w:t>
      </w:r>
      <w:r w:rsidR="0010420E" w:rsidRPr="00E84C61">
        <w:rPr>
          <w:rFonts w:ascii="Arial" w:hAnsi="Arial" w:cs="Arial"/>
          <w:sz w:val="22"/>
          <w:szCs w:val="22"/>
        </w:rPr>
        <w:t xml:space="preserve"> uzavřené </w:t>
      </w:r>
      <w:r w:rsidR="00831940" w:rsidRPr="00E84C61">
        <w:rPr>
          <w:rFonts w:ascii="Arial" w:hAnsi="Arial" w:cs="Arial"/>
          <w:sz w:val="22"/>
          <w:szCs w:val="22"/>
        </w:rPr>
        <w:t>S</w:t>
      </w:r>
      <w:r w:rsidR="0010420E" w:rsidRPr="00E84C61">
        <w:rPr>
          <w:rFonts w:ascii="Arial" w:hAnsi="Arial" w:cs="Arial"/>
          <w:sz w:val="22"/>
          <w:szCs w:val="22"/>
        </w:rPr>
        <w:t>mlouvy</w:t>
      </w:r>
      <w:r w:rsidR="00294AF8" w:rsidRPr="00E84C61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E84C61">
        <w:rPr>
          <w:rFonts w:ascii="Arial" w:hAnsi="Arial" w:cs="Arial"/>
          <w:sz w:val="22"/>
          <w:szCs w:val="22"/>
        </w:rPr>
        <w:br/>
      </w:r>
      <w:r w:rsidR="00294AF8" w:rsidRPr="00E84C61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E84C61">
        <w:rPr>
          <w:rFonts w:ascii="Arial" w:hAnsi="Arial" w:cs="Arial"/>
          <w:sz w:val="22"/>
          <w:szCs w:val="22"/>
        </w:rPr>
        <w:t>S</w:t>
      </w:r>
      <w:r w:rsidR="00294AF8" w:rsidRPr="00E84C61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E84C61">
        <w:rPr>
          <w:rFonts w:ascii="Arial" w:hAnsi="Arial" w:cs="Arial"/>
          <w:sz w:val="22"/>
          <w:szCs w:val="22"/>
        </w:rPr>
        <w:t>S</w:t>
      </w:r>
      <w:r w:rsidR="00294AF8" w:rsidRPr="00E84C61">
        <w:rPr>
          <w:rFonts w:ascii="Arial" w:hAnsi="Arial" w:cs="Arial"/>
          <w:sz w:val="22"/>
          <w:szCs w:val="22"/>
        </w:rPr>
        <w:t>mlouvu spolu s potvrzením o jejím uveřejnění.</w:t>
      </w:r>
    </w:p>
    <w:p w14:paraId="5496C820" w14:textId="77777777" w:rsidR="00E9562C" w:rsidRDefault="00E9562C" w:rsidP="00E9562C">
      <w:pPr>
        <w:pStyle w:val="Zhlav"/>
        <w:numPr>
          <w:ilvl w:val="1"/>
          <w:numId w:val="75"/>
        </w:numPr>
        <w:tabs>
          <w:tab w:val="clear" w:pos="4536"/>
          <w:tab w:val="clear" w:pos="9072"/>
          <w:tab w:val="left" w:pos="2552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F0C41">
        <w:rPr>
          <w:rFonts w:ascii="Arial" w:hAnsi="Arial" w:cs="Arial"/>
          <w:sz w:val="22"/>
          <w:szCs w:val="22"/>
        </w:rPr>
        <w:t xml:space="preserve">Místo plnění Díla: </w:t>
      </w:r>
      <w:r>
        <w:rPr>
          <w:rFonts w:ascii="Arial" w:hAnsi="Arial" w:cs="Arial"/>
          <w:sz w:val="22"/>
          <w:szCs w:val="22"/>
        </w:rPr>
        <w:tab/>
        <w:t>katastrální území: Hlavatce, okres: Tábor</w:t>
      </w:r>
    </w:p>
    <w:p w14:paraId="378867FD" w14:textId="77777777" w:rsidR="00E9562C" w:rsidRPr="001F0C41" w:rsidRDefault="00E9562C" w:rsidP="00E9562C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Makov u Jistebnice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070A3220" w14:textId="77777777" w:rsidR="00E9562C" w:rsidRPr="001F0C41" w:rsidRDefault="00E9562C" w:rsidP="00E9562C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Malešín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vodice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1F0C41">
        <w:rPr>
          <w:rFonts w:ascii="Arial" w:hAnsi="Arial" w:cs="Arial"/>
          <w:sz w:val="22"/>
          <w:szCs w:val="22"/>
        </w:rPr>
        <w:t xml:space="preserve">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2D31A79B" w14:textId="77777777" w:rsidR="00E9562C" w:rsidRPr="001F0C41" w:rsidRDefault="00E9562C" w:rsidP="00E9562C">
      <w:pPr>
        <w:pStyle w:val="Zhlav"/>
        <w:tabs>
          <w:tab w:val="clear" w:pos="4536"/>
          <w:tab w:val="clear" w:pos="9072"/>
          <w:tab w:val="left" w:pos="2552"/>
        </w:tabs>
        <w:spacing w:before="120" w:after="120"/>
        <w:ind w:left="5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F0C41">
        <w:rPr>
          <w:rFonts w:ascii="Arial" w:hAnsi="Arial" w:cs="Arial"/>
          <w:sz w:val="22"/>
          <w:szCs w:val="22"/>
        </w:rPr>
        <w:t>katastrální území:</w:t>
      </w:r>
      <w:r>
        <w:rPr>
          <w:rFonts w:ascii="Arial" w:hAnsi="Arial" w:cs="Arial"/>
          <w:sz w:val="22"/>
          <w:szCs w:val="22"/>
        </w:rPr>
        <w:t xml:space="preserve"> Vlkov nad Lužnicí</w:t>
      </w:r>
      <w:r w:rsidRPr="001F0C41">
        <w:rPr>
          <w:rFonts w:ascii="Arial" w:hAnsi="Arial" w:cs="Arial"/>
          <w:sz w:val="22"/>
          <w:szCs w:val="22"/>
        </w:rPr>
        <w:t>, okres:</w:t>
      </w:r>
      <w:r>
        <w:rPr>
          <w:rFonts w:ascii="Arial" w:hAnsi="Arial" w:cs="Arial"/>
          <w:sz w:val="22"/>
          <w:szCs w:val="22"/>
        </w:rPr>
        <w:t xml:space="preserve"> Tábor</w:t>
      </w:r>
    </w:p>
    <w:p w14:paraId="723C83F2" w14:textId="0DFF6121" w:rsidR="00D25911" w:rsidRPr="00A4184F" w:rsidRDefault="00D25911" w:rsidP="000041A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A4184F">
        <w:rPr>
          <w:rFonts w:ascii="Arial" w:hAnsi="Arial" w:cs="Arial"/>
          <w:sz w:val="22"/>
          <w:szCs w:val="22"/>
        </w:rPr>
        <w:t xml:space="preserve">Dokončené Dílo bude předáno Objednateli na adrese: Státní pozemkový úřad, Krajský pozemkový úřad pro Jihočeský kraj, </w:t>
      </w:r>
      <w:r w:rsidR="00F933BD" w:rsidRPr="008A4405">
        <w:rPr>
          <w:rFonts w:ascii="Arial" w:hAnsi="Arial" w:cs="Arial"/>
          <w:sz w:val="22"/>
          <w:szCs w:val="22"/>
        </w:rPr>
        <w:t>Pobočka Tábor, Husovo nám. 2938, 390 02 Tábor.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C3F7C1D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D2591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bjednatelem převzato a akceptováno bez výhrad. Bez předávacího protokolu </w:t>
      </w:r>
      <w:r w:rsidR="00B33054" w:rsidRPr="00F9412A">
        <w:rPr>
          <w:rFonts w:ascii="Arial" w:hAnsi="Arial" w:cs="Arial"/>
          <w:sz w:val="22"/>
          <w:szCs w:val="22"/>
        </w:rPr>
        <w:lastRenderedPageBreak/>
        <w:t>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E17D22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F933BD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55F80C2E" w14:textId="18104C15" w:rsidR="00484147" w:rsidRDefault="00484147" w:rsidP="00484147">
      <w:pPr>
        <w:pStyle w:val="Odstavecseseznamem"/>
        <w:spacing w:after="120"/>
        <w:ind w:left="360"/>
        <w:rPr>
          <w:rFonts w:ascii="Arial" w:hAnsi="Arial" w:cs="Arial"/>
          <w:sz w:val="22"/>
          <w:szCs w:val="22"/>
        </w:rPr>
      </w:pPr>
      <w:r w:rsidRPr="008D33A7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F933BD">
        <w:rPr>
          <w:rFonts w:ascii="Arial" w:hAnsi="Arial" w:cs="Arial"/>
          <w:b/>
          <w:bCs/>
          <w:sz w:val="22"/>
          <w:szCs w:val="22"/>
        </w:rPr>
        <w:t>49</w:t>
      </w:r>
      <w:r w:rsidRPr="008D33A7">
        <w:rPr>
          <w:rFonts w:ascii="Arial" w:hAnsi="Arial" w:cs="Arial"/>
          <w:b/>
          <w:bCs/>
          <w:sz w:val="22"/>
          <w:szCs w:val="22"/>
        </w:rPr>
        <w:t xml:space="preserve"> MJ) – </w:t>
      </w:r>
      <w:r w:rsidR="00C93BBC">
        <w:rPr>
          <w:rFonts w:ascii="Arial" w:hAnsi="Arial" w:cs="Arial"/>
          <w:b/>
          <w:bCs/>
          <w:sz w:val="22"/>
          <w:szCs w:val="22"/>
        </w:rPr>
        <w:t xml:space="preserve">katastrální území Hlavatce, Makov u Jistebnice, </w:t>
      </w:r>
      <w:proofErr w:type="spellStart"/>
      <w:r w:rsidR="00C93BBC">
        <w:rPr>
          <w:rFonts w:ascii="Arial" w:hAnsi="Arial" w:cs="Arial"/>
          <w:b/>
          <w:bCs/>
          <w:sz w:val="22"/>
          <w:szCs w:val="22"/>
        </w:rPr>
        <w:t>Malešín</w:t>
      </w:r>
      <w:proofErr w:type="spellEnd"/>
      <w:r w:rsidR="00C93BBC">
        <w:rPr>
          <w:rFonts w:ascii="Arial" w:hAnsi="Arial" w:cs="Arial"/>
          <w:b/>
          <w:bCs/>
          <w:sz w:val="22"/>
          <w:szCs w:val="22"/>
        </w:rPr>
        <w:t xml:space="preserve"> u Vodice, Vlkov nad Lužnicí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1701"/>
        <w:gridCol w:w="1559"/>
        <w:gridCol w:w="1701"/>
      </w:tblGrid>
      <w:tr w:rsidR="00484147" w14:paraId="18CB9A2B" w14:textId="77777777" w:rsidTr="0055661F">
        <w:tc>
          <w:tcPr>
            <w:tcW w:w="2694" w:type="dxa"/>
            <w:vAlign w:val="center"/>
          </w:tcPr>
          <w:p w14:paraId="27F82724" w14:textId="77777777" w:rsidR="00484147" w:rsidRPr="007C2403" w:rsidRDefault="00484147" w:rsidP="0055661F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7C2403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276" w:type="dxa"/>
            <w:vAlign w:val="center"/>
          </w:tcPr>
          <w:p w14:paraId="76024F2A" w14:textId="77777777" w:rsidR="00484147" w:rsidRPr="007C2403" w:rsidRDefault="00484147" w:rsidP="0055661F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559" w:type="dxa"/>
            <w:vAlign w:val="center"/>
          </w:tcPr>
          <w:p w14:paraId="51A3FC36" w14:textId="77777777" w:rsidR="00484147" w:rsidRPr="007C2403" w:rsidRDefault="00484147" w:rsidP="0055661F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1 MJ</w:t>
            </w:r>
          </w:p>
        </w:tc>
        <w:tc>
          <w:tcPr>
            <w:tcW w:w="1701" w:type="dxa"/>
            <w:vAlign w:val="center"/>
          </w:tcPr>
          <w:p w14:paraId="1B0F8A7F" w14:textId="77777777" w:rsidR="00484147" w:rsidRPr="007C2403" w:rsidRDefault="00484147" w:rsidP="0055661F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Smluvní cena celkem v Kč bez DPH</w:t>
            </w:r>
          </w:p>
        </w:tc>
        <w:tc>
          <w:tcPr>
            <w:tcW w:w="1559" w:type="dxa"/>
            <w:vAlign w:val="center"/>
          </w:tcPr>
          <w:p w14:paraId="3E40ECAC" w14:textId="77777777" w:rsidR="00484147" w:rsidRPr="007C2403" w:rsidRDefault="00484147" w:rsidP="0055661F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Pr="00FE1E4E">
              <w:rPr>
                <w:rFonts w:ascii="Arial" w:hAnsi="Arial" w:cs="Arial"/>
                <w:b/>
                <w:highlight w:val="cyan"/>
              </w:rPr>
              <w:t>XX</w:t>
            </w:r>
            <w:r>
              <w:rPr>
                <w:rFonts w:ascii="Arial" w:hAnsi="Arial" w:cs="Arial"/>
                <w:b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5BC467B6" w14:textId="77777777" w:rsidR="00484147" w:rsidRPr="007C2403" w:rsidRDefault="00484147" w:rsidP="0055661F">
            <w:pPr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cena v Kč s DPH</w:t>
            </w:r>
          </w:p>
        </w:tc>
      </w:tr>
      <w:tr w:rsidR="004C5B02" w14:paraId="610507FC" w14:textId="77777777" w:rsidTr="009E6E3E">
        <w:tc>
          <w:tcPr>
            <w:tcW w:w="2694" w:type="dxa"/>
            <w:vAlign w:val="center"/>
          </w:tcPr>
          <w:p w14:paraId="55E6306C" w14:textId="5B679931" w:rsidR="004C5B02" w:rsidRPr="008D33A7" w:rsidRDefault="004C5B02" w:rsidP="004C5B02">
            <w:pPr>
              <w:spacing w:after="120"/>
              <w:ind w:left="0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Hlavatce</w:t>
            </w:r>
          </w:p>
        </w:tc>
        <w:tc>
          <w:tcPr>
            <w:tcW w:w="1276" w:type="dxa"/>
            <w:vAlign w:val="center"/>
          </w:tcPr>
          <w:p w14:paraId="7ADC800A" w14:textId="5BA249FE" w:rsidR="004C5B02" w:rsidRPr="008D33A7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  <w:highlight w:val="yellow"/>
              </w:rPr>
            </w:pPr>
            <w:r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1559" w:type="dxa"/>
          </w:tcPr>
          <w:p w14:paraId="7828F38B" w14:textId="48C12D7C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6141BB3" w14:textId="72D889DB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5C7773C6" w14:textId="05FDDF9C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DA15349" w14:textId="56CC0B14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4C5B02" w14:paraId="47661CE2" w14:textId="77777777" w:rsidTr="0055661F">
        <w:tc>
          <w:tcPr>
            <w:tcW w:w="2694" w:type="dxa"/>
          </w:tcPr>
          <w:p w14:paraId="1910411D" w14:textId="48A45DC2" w:rsidR="004C5B02" w:rsidRPr="004E3608" w:rsidRDefault="004C5B02" w:rsidP="004C5B02">
            <w:pPr>
              <w:spacing w:after="120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Makov u Jistebnice</w:t>
            </w:r>
          </w:p>
        </w:tc>
        <w:tc>
          <w:tcPr>
            <w:tcW w:w="1276" w:type="dxa"/>
          </w:tcPr>
          <w:p w14:paraId="1F9EC4F6" w14:textId="764E3EE4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59" w:type="dxa"/>
          </w:tcPr>
          <w:p w14:paraId="28F6D986" w14:textId="60B6C078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2103C073" w14:textId="247EF13F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27FABC4B" w14:textId="6F1AF4A5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59164BC8" w14:textId="3F85650E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4C5B02" w14:paraId="5C847A22" w14:textId="77777777" w:rsidTr="0055661F">
        <w:tc>
          <w:tcPr>
            <w:tcW w:w="2694" w:type="dxa"/>
          </w:tcPr>
          <w:p w14:paraId="336EF327" w14:textId="5B8D2727" w:rsidR="004C5B02" w:rsidRPr="004E3608" w:rsidRDefault="004C5B02" w:rsidP="004C5B02">
            <w:pPr>
              <w:spacing w:after="120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Malešín</w:t>
            </w:r>
            <w:proofErr w:type="spellEnd"/>
            <w:r>
              <w:rPr>
                <w:rFonts w:ascii="Arial" w:hAnsi="Arial" w:cs="Arial"/>
              </w:rPr>
              <w:t xml:space="preserve"> u Vodice</w:t>
            </w:r>
          </w:p>
        </w:tc>
        <w:tc>
          <w:tcPr>
            <w:tcW w:w="1276" w:type="dxa"/>
          </w:tcPr>
          <w:p w14:paraId="4272EBF8" w14:textId="67586D9B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59" w:type="dxa"/>
          </w:tcPr>
          <w:p w14:paraId="4DD369E7" w14:textId="12E112E9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42929078" w14:textId="780C7C58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0BBD255D" w14:textId="53248056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724F051F" w14:textId="7F8081B8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4C5B02" w14:paraId="79DF9744" w14:textId="77777777" w:rsidTr="0055661F">
        <w:tc>
          <w:tcPr>
            <w:tcW w:w="2694" w:type="dxa"/>
          </w:tcPr>
          <w:p w14:paraId="614E5E90" w14:textId="7FFD7690" w:rsidR="004C5B02" w:rsidRPr="004E3608" w:rsidRDefault="004C5B02" w:rsidP="004C5B02">
            <w:pPr>
              <w:spacing w:after="12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Vlkov nad Lužnicí</w:t>
            </w:r>
          </w:p>
        </w:tc>
        <w:tc>
          <w:tcPr>
            <w:tcW w:w="1276" w:type="dxa"/>
          </w:tcPr>
          <w:p w14:paraId="168EAFF4" w14:textId="39BA62EE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559" w:type="dxa"/>
          </w:tcPr>
          <w:p w14:paraId="7B00DDDB" w14:textId="3B0CC121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6B4C1FEE" w14:textId="58BC3BEA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559" w:type="dxa"/>
          </w:tcPr>
          <w:p w14:paraId="6271D396" w14:textId="423199EA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  <w:tc>
          <w:tcPr>
            <w:tcW w:w="1701" w:type="dxa"/>
          </w:tcPr>
          <w:p w14:paraId="43CF1183" w14:textId="5865206A" w:rsidR="004C5B02" w:rsidRPr="004E3608" w:rsidRDefault="004C5B02" w:rsidP="004C5B02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6459AB">
              <w:rPr>
                <w:rFonts w:ascii="Arial" w:hAnsi="Arial" w:cs="Arial"/>
                <w:bCs/>
                <w:highlight w:val="cyan"/>
              </w:rPr>
              <w:t>XXXXX</w:t>
            </w:r>
            <w:r w:rsidRPr="006459AB">
              <w:rPr>
                <w:rFonts w:ascii="Arial" w:hAnsi="Arial" w:cs="Arial"/>
                <w:bCs/>
              </w:rPr>
              <w:t xml:space="preserve"> Kč</w:t>
            </w:r>
          </w:p>
        </w:tc>
      </w:tr>
      <w:tr w:rsidR="00484147" w14:paraId="62D84615" w14:textId="77777777" w:rsidTr="0055661F">
        <w:tc>
          <w:tcPr>
            <w:tcW w:w="2694" w:type="dxa"/>
          </w:tcPr>
          <w:p w14:paraId="5D560242" w14:textId="77777777" w:rsidR="00484147" w:rsidRPr="004E3608" w:rsidRDefault="00484147" w:rsidP="0055661F">
            <w:pPr>
              <w:spacing w:after="120"/>
              <w:ind w:left="0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</w:tcPr>
          <w:p w14:paraId="47A17DCF" w14:textId="77777777" w:rsidR="00484147" w:rsidRPr="004E3608" w:rsidRDefault="00484147" w:rsidP="0055661F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559" w:type="dxa"/>
          </w:tcPr>
          <w:p w14:paraId="19645441" w14:textId="77777777" w:rsidR="00484147" w:rsidRPr="004E3608" w:rsidRDefault="00484147" w:rsidP="0055661F">
            <w:pPr>
              <w:spacing w:after="120"/>
              <w:ind w:left="0"/>
              <w:jc w:val="right"/>
              <w:rPr>
                <w:rFonts w:ascii="Arial" w:hAnsi="Arial" w:cs="Arial"/>
                <w:bCs/>
              </w:rPr>
            </w:pPr>
            <w:r w:rsidRPr="004E3608">
              <w:rPr>
                <w:rFonts w:ascii="Arial" w:hAnsi="Arial" w:cs="Arial"/>
                <w:bCs/>
              </w:rPr>
              <w:t>---</w:t>
            </w:r>
          </w:p>
        </w:tc>
        <w:tc>
          <w:tcPr>
            <w:tcW w:w="1701" w:type="dxa"/>
          </w:tcPr>
          <w:p w14:paraId="3901043A" w14:textId="77777777" w:rsidR="00484147" w:rsidRPr="004E3608" w:rsidRDefault="00484147" w:rsidP="0055661F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559" w:type="dxa"/>
          </w:tcPr>
          <w:p w14:paraId="770BEAE7" w14:textId="77777777" w:rsidR="00484147" w:rsidRPr="004E3608" w:rsidRDefault="00484147" w:rsidP="0055661F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</w:tcPr>
          <w:p w14:paraId="1F3F84D9" w14:textId="77777777" w:rsidR="00484147" w:rsidRPr="004E3608" w:rsidRDefault="00484147" w:rsidP="0055661F">
            <w:pPr>
              <w:spacing w:after="120"/>
              <w:ind w:left="0"/>
              <w:jc w:val="right"/>
              <w:rPr>
                <w:rFonts w:ascii="Arial" w:hAnsi="Arial" w:cs="Arial"/>
                <w:b/>
              </w:rPr>
            </w:pPr>
            <w:r w:rsidRPr="004E3608">
              <w:rPr>
                <w:rFonts w:ascii="Arial" w:hAnsi="Arial" w:cs="Arial"/>
                <w:b/>
                <w:highlight w:val="cyan"/>
              </w:rPr>
              <w:t>XXXXX</w:t>
            </w:r>
            <w:r w:rsidRPr="004E3608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78CF6494" w14:textId="77777777" w:rsidR="007522FD" w:rsidRPr="00014665" w:rsidRDefault="007522FD" w:rsidP="007522FD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177C0405" w14:textId="7C8673EB" w:rsidR="001F2226" w:rsidRPr="00014665" w:rsidRDefault="001F2226" w:rsidP="00741097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17DC1A1A" w14:textId="1200CD75" w:rsidR="008B15E9" w:rsidRPr="00014665" w:rsidRDefault="008B15E9" w:rsidP="008B15E9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792100">
        <w:rPr>
          <w:rFonts w:ascii="Arial" w:hAnsi="Arial" w:cs="Arial"/>
          <w:sz w:val="22"/>
          <w:szCs w:val="22"/>
        </w:rPr>
        <w:t>Tábor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>
        <w:rPr>
          <w:rFonts w:ascii="Arial" w:hAnsi="Arial" w:cs="Arial"/>
          <w:sz w:val="22"/>
          <w:szCs w:val="22"/>
        </w:rPr>
        <w:t xml:space="preserve">Jihočeský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Pr="00085F28">
        <w:rPr>
          <w:rFonts w:ascii="Arial" w:hAnsi="Arial" w:cs="Arial"/>
          <w:snapToGrid w:val="0"/>
          <w:sz w:val="22"/>
          <w:szCs w:val="22"/>
        </w:rPr>
        <w:t>s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Zhotovitel i DPH podle platných zákonů. </w:t>
      </w:r>
      <w:r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Jihočeský </w:t>
      </w:r>
      <w:r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990C12">
        <w:rPr>
          <w:rFonts w:ascii="Arial" w:hAnsi="Arial" w:cs="Arial"/>
          <w:b/>
          <w:snapToGrid w:val="0"/>
          <w:sz w:val="22"/>
          <w:szCs w:val="22"/>
        </w:rPr>
        <w:t>Tábor,</w:t>
      </w:r>
      <w:r w:rsidRPr="00085F28">
        <w:rPr>
          <w:rFonts w:ascii="Arial" w:hAnsi="Arial" w:cs="Arial"/>
          <w:b/>
          <w:snapToGrid w:val="0"/>
          <w:sz w:val="22"/>
          <w:szCs w:val="22"/>
        </w:rPr>
        <w:t xml:space="preserve"> adresa</w:t>
      </w:r>
      <w:r w:rsidR="00FA4973">
        <w:rPr>
          <w:rFonts w:ascii="Arial" w:hAnsi="Arial" w:cs="Arial"/>
          <w:b/>
          <w:snapToGrid w:val="0"/>
          <w:sz w:val="22"/>
          <w:szCs w:val="22"/>
        </w:rPr>
        <w:t>:</w:t>
      </w:r>
      <w:r w:rsidR="00FA4973" w:rsidRPr="00FA4973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FA4973" w:rsidRPr="00573251">
        <w:rPr>
          <w:rFonts w:ascii="Arial" w:hAnsi="Arial" w:cs="Arial"/>
          <w:b/>
          <w:snapToGrid w:val="0"/>
          <w:sz w:val="22"/>
          <w:szCs w:val="22"/>
        </w:rPr>
        <w:t>Husovo nám. 2938, 390 02 Tábor</w:t>
      </w:r>
      <w:r w:rsidR="00FA4973">
        <w:rPr>
          <w:rFonts w:ascii="Arial" w:hAnsi="Arial" w:cs="Arial"/>
          <w:b/>
          <w:snapToGrid w:val="0"/>
          <w:sz w:val="22"/>
          <w:szCs w:val="22"/>
        </w:rPr>
        <w:t>.</w:t>
      </w:r>
      <w:r w:rsidR="00FA4973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5F28">
        <w:rPr>
          <w:rFonts w:ascii="Arial" w:hAnsi="Arial" w:cs="Arial"/>
          <w:snapToGrid w:val="0"/>
          <w:sz w:val="22"/>
          <w:szCs w:val="22"/>
        </w:rPr>
        <w:t>Pokud faktura neobsahuje všechny zákonem a Smlouvou stanovené náležitosti, je Objednatel povinen bezodkladně fakturu vrátit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Zhotoviteli s tím, že Zhotovitel je poté povinen vystavit novou fakturu s novým termínem splatnosti. V takovém případě není Objednatel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6141EA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6141EA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6141EA">
        <w:rPr>
          <w:rFonts w:ascii="Arial" w:hAnsi="Arial" w:cs="Arial"/>
          <w:sz w:val="22"/>
          <w:szCs w:val="22"/>
        </w:rPr>
        <w:br/>
      </w:r>
      <w:r w:rsidRPr="006141EA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6141EA">
        <w:rPr>
          <w:rFonts w:ascii="Arial" w:hAnsi="Arial" w:cs="Arial"/>
          <w:sz w:val="22"/>
          <w:szCs w:val="22"/>
        </w:rPr>
        <w:t>S</w:t>
      </w:r>
      <w:r w:rsidRPr="006141EA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6141EA">
        <w:rPr>
          <w:rFonts w:ascii="Arial" w:hAnsi="Arial" w:cs="Arial"/>
          <w:sz w:val="22"/>
          <w:szCs w:val="22"/>
        </w:rPr>
        <w:t>S</w:t>
      </w:r>
      <w:r w:rsidRPr="006141EA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6141EA">
        <w:rPr>
          <w:rFonts w:ascii="Arial" w:hAnsi="Arial" w:cs="Arial"/>
          <w:sz w:val="22"/>
          <w:szCs w:val="22"/>
        </w:rPr>
        <w:t>S</w:t>
      </w:r>
      <w:r w:rsidRPr="006141EA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6141EA">
        <w:rPr>
          <w:rFonts w:ascii="Arial" w:hAnsi="Arial" w:cs="Arial"/>
          <w:sz w:val="22"/>
          <w:szCs w:val="22"/>
        </w:rPr>
        <w:t>O</w:t>
      </w:r>
      <w:r w:rsidRPr="006141EA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6141EA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6141EA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6141EA">
        <w:rPr>
          <w:rFonts w:ascii="Arial" w:hAnsi="Arial" w:cs="Arial"/>
          <w:sz w:val="22"/>
          <w:szCs w:val="22"/>
        </w:rPr>
        <w:t>S</w:t>
      </w:r>
      <w:r w:rsidRPr="006141EA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0DC7C46" w:rsidR="00B817EB" w:rsidRPr="00B9381E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B9381E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B9381E">
        <w:rPr>
          <w:rFonts w:ascii="Arial" w:hAnsi="Arial" w:cs="Arial"/>
          <w:sz w:val="22"/>
          <w:szCs w:val="22"/>
        </w:rPr>
        <w:t xml:space="preserve"> Tábor</w:t>
      </w:r>
    </w:p>
    <w:p w14:paraId="42D757B8" w14:textId="77777777" w:rsidR="00B9381E" w:rsidRDefault="00B9381E" w:rsidP="00B9381E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5A0F8085" w14:textId="77777777" w:rsidR="00B9381E" w:rsidRDefault="00B9381E" w:rsidP="00B9381E">
      <w:pPr>
        <w:pStyle w:val="Odstavecseseznamem"/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7B00BC14" w14:textId="77777777" w:rsidR="00B9381E" w:rsidRPr="00014665" w:rsidRDefault="00B9381E" w:rsidP="00B9381E">
      <w:pPr>
        <w:pStyle w:val="Odstavecseseznamem"/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lastRenderedPageBreak/>
        <w:t>Smluvní strany tímto výslovně prohlašují, že tato Smlouva vyjadřuje jejich pravou a svobodnou vůli, na důkaz čehož připojují níže své podpisy.</w:t>
      </w:r>
    </w:p>
    <w:p w14:paraId="335E7E60" w14:textId="77777777" w:rsidR="00B9381E" w:rsidRDefault="00B9381E" w:rsidP="00094E27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bookmarkStart w:id="1" w:name="_Hlk51932588"/>
    </w:p>
    <w:p w14:paraId="1A01C099" w14:textId="663C538F" w:rsidR="00094E27" w:rsidRPr="00014665" w:rsidRDefault="00094E27" w:rsidP="00094E27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50467AC2" w14:textId="77777777" w:rsidR="00094E27" w:rsidRDefault="00094E27" w:rsidP="00094E27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3AE041C3" w14:textId="77777777" w:rsidR="00094E27" w:rsidRPr="00610F2F" w:rsidRDefault="00094E27" w:rsidP="00094E27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…………</w:t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4847B526" w14:textId="77777777" w:rsidR="00094E27" w:rsidRDefault="00094E27" w:rsidP="00094E27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70EB31C2" w14:textId="77777777" w:rsidR="00094E27" w:rsidRDefault="00094E27" w:rsidP="00094E27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6DB72482" w14:textId="43EC7771" w:rsidR="00094E27" w:rsidRPr="00846784" w:rsidRDefault="00094E27" w:rsidP="00094E27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  <w:r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260078CE" w14:textId="77777777" w:rsidR="00094E27" w:rsidRPr="00014665" w:rsidRDefault="00094E27" w:rsidP="00094E27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7B273EB0" w14:textId="77777777" w:rsidR="00094E27" w:rsidRPr="00014665" w:rsidRDefault="00094E27" w:rsidP="00094E27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Eva Schmidtmajerová, CSc.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p w14:paraId="2B9CED8F" w14:textId="77777777" w:rsidR="00094E27" w:rsidRPr="00014665" w:rsidRDefault="00094E27" w:rsidP="00094E27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KPÚ pro Jihočeský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Pr="009373ED">
        <w:rPr>
          <w:rFonts w:ascii="Arial" w:hAnsi="Arial" w:cs="Arial"/>
          <w:sz w:val="22"/>
          <w:szCs w:val="22"/>
          <w:highlight w:val="cyan"/>
        </w:rPr>
        <w:t>…………</w:t>
      </w:r>
    </w:p>
    <w:bookmarkEnd w:id="1"/>
    <w:p w14:paraId="16B0B4BC" w14:textId="77777777" w:rsidR="00B9381E" w:rsidRDefault="00B9381E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4B22F22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4CFCFCC0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70DC90C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C5C1D04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6360183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8FEC6BA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2A44637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065917C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794C959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A552600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BA8ECC2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61BE773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598D924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5C3E383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ED4867E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C6FF4CD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7337D4A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CB570F4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B30E930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A810207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E40FC8B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804A6D7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1500162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10DF9B8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F9B6292" w14:textId="77777777" w:rsidR="00F43BB8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2E54BE6" w14:textId="77777777" w:rsidR="00F43BB8" w:rsidRPr="00D52410" w:rsidRDefault="00F43BB8" w:rsidP="00F43BB8">
      <w:pPr>
        <w:spacing w:before="0" w:after="160" w:line="259" w:lineRule="auto"/>
        <w:ind w:left="0"/>
        <w:jc w:val="lef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2410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Příloha č. 1</w:t>
      </w:r>
    </w:p>
    <w:p w14:paraId="319D5CFE" w14:textId="77777777" w:rsidR="00F43BB8" w:rsidRPr="00D52410" w:rsidRDefault="00F43BB8" w:rsidP="00F43BB8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D055D14" w14:textId="77777777" w:rsidR="00F43BB8" w:rsidRPr="00D52410" w:rsidRDefault="00F43BB8" w:rsidP="00F43BB8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52410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Seznam vytyčovaných pozemků s uvedením katastrálního území</w:t>
      </w:r>
    </w:p>
    <w:p w14:paraId="51D0D32F" w14:textId="77777777" w:rsidR="00F43BB8" w:rsidRPr="00F3426C" w:rsidRDefault="00F43BB8" w:rsidP="00F43BB8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938"/>
        <w:gridCol w:w="2166"/>
        <w:gridCol w:w="4954"/>
        <w:gridCol w:w="983"/>
      </w:tblGrid>
      <w:tr w:rsidR="00F43BB8" w:rsidRPr="00F3426C" w14:paraId="26CEBA76" w14:textId="77777777" w:rsidTr="00155137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4282EC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39A57133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1AF486B9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E12ED7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F43BB8" w:rsidRPr="00F3426C" w14:paraId="1635BCF6" w14:textId="77777777" w:rsidTr="00155137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D3F7DD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66" w:type="dxa"/>
            <w:tcBorders>
              <w:top w:val="single" w:sz="12" w:space="0" w:color="auto"/>
            </w:tcBorders>
            <w:vAlign w:val="center"/>
          </w:tcPr>
          <w:p w14:paraId="55D8BF90" w14:textId="77777777" w:rsidR="00F43BB8" w:rsidRPr="00072B82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72B82">
              <w:rPr>
                <w:rFonts w:ascii="Arial" w:eastAsia="Calibri" w:hAnsi="Arial" w:cs="Arial"/>
                <w:sz w:val="22"/>
                <w:szCs w:val="22"/>
                <w:lang w:eastAsia="en-US"/>
              </w:rPr>
              <w:t>Hlavatce</w:t>
            </w:r>
          </w:p>
        </w:tc>
        <w:tc>
          <w:tcPr>
            <w:tcW w:w="4954" w:type="dxa"/>
            <w:tcBorders>
              <w:top w:val="single" w:sz="12" w:space="0" w:color="auto"/>
            </w:tcBorders>
            <w:vAlign w:val="center"/>
          </w:tcPr>
          <w:p w14:paraId="7739CED3" w14:textId="77777777" w:rsidR="00F43BB8" w:rsidRPr="00072B82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2010, 2026, 2395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C07AD8" w14:textId="77777777" w:rsidR="00F43BB8" w:rsidRPr="00072B82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F43BB8" w:rsidRPr="00F3426C" w14:paraId="03DA8845" w14:textId="77777777" w:rsidTr="00155137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269EF306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66" w:type="dxa"/>
            <w:vAlign w:val="center"/>
          </w:tcPr>
          <w:p w14:paraId="3ADDF5DC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Hlavatce</w:t>
            </w:r>
          </w:p>
        </w:tc>
        <w:tc>
          <w:tcPr>
            <w:tcW w:w="4954" w:type="dxa"/>
            <w:vAlign w:val="center"/>
          </w:tcPr>
          <w:p w14:paraId="702DDA1A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2151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2A1507D7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F43BB8" w:rsidRPr="00F3426C" w14:paraId="788340C1" w14:textId="77777777" w:rsidTr="00155137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1AA6547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66" w:type="dxa"/>
            <w:vAlign w:val="center"/>
          </w:tcPr>
          <w:p w14:paraId="30FC470F" w14:textId="77777777" w:rsidR="00F43BB8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Hlavatce</w:t>
            </w:r>
          </w:p>
        </w:tc>
        <w:tc>
          <w:tcPr>
            <w:tcW w:w="4954" w:type="dxa"/>
            <w:vAlign w:val="center"/>
          </w:tcPr>
          <w:p w14:paraId="593EE470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2241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5CCE7C4B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F43BB8" w:rsidRPr="00F3426C" w14:paraId="30497778" w14:textId="77777777" w:rsidTr="00155137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E582173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66" w:type="dxa"/>
            <w:vAlign w:val="center"/>
          </w:tcPr>
          <w:p w14:paraId="760823FF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Hlavatce</w:t>
            </w:r>
          </w:p>
        </w:tc>
        <w:tc>
          <w:tcPr>
            <w:tcW w:w="4954" w:type="dxa"/>
            <w:vAlign w:val="center"/>
          </w:tcPr>
          <w:p w14:paraId="3159EB11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2160, 2204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619BC7B6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F43BB8" w:rsidRPr="00F3426C" w14:paraId="3A59B26A" w14:textId="77777777" w:rsidTr="00155137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D791515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92A7BFA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CELKEM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Hlavatce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E30C3F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31</w:t>
            </w:r>
          </w:p>
        </w:tc>
      </w:tr>
      <w:tr w:rsidR="00F43BB8" w:rsidRPr="00F3426C" w14:paraId="6A2983F9" w14:textId="77777777" w:rsidTr="00155137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1E6B25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012DBB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4416C2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3047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9D052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F43BB8" w:rsidRPr="00F3426C" w14:paraId="6041448F" w14:textId="77777777" w:rsidTr="00155137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B8CB69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2D6060D3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Makov u Jistebnice</w:t>
            </w:r>
          </w:p>
        </w:tc>
        <w:tc>
          <w:tcPr>
            <w:tcW w:w="4954" w:type="dxa"/>
            <w:tcBorders>
              <w:bottom w:val="single" w:sz="4" w:space="0" w:color="auto"/>
            </w:tcBorders>
            <w:vAlign w:val="center"/>
          </w:tcPr>
          <w:p w14:paraId="656F44C9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2716</w:t>
            </w:r>
          </w:p>
        </w:tc>
        <w:tc>
          <w:tcPr>
            <w:tcW w:w="98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AEAD74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F43BB8" w:rsidRPr="00F3426C" w14:paraId="01564456" w14:textId="77777777" w:rsidTr="00155137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F000E2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5EBD44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Makov u Jistebnice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8F810B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F43BB8" w:rsidRPr="00F3426C" w14:paraId="6366E1FC" w14:textId="77777777" w:rsidTr="00155137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8859B4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66" w:type="dxa"/>
            <w:tcBorders>
              <w:bottom w:val="single" w:sz="12" w:space="0" w:color="auto"/>
            </w:tcBorders>
            <w:vAlign w:val="center"/>
          </w:tcPr>
          <w:p w14:paraId="3AE62CA7" w14:textId="77777777" w:rsidR="00F43BB8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Malešín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u Vodice</w:t>
            </w:r>
          </w:p>
        </w:tc>
        <w:tc>
          <w:tcPr>
            <w:tcW w:w="4954" w:type="dxa"/>
            <w:tcBorders>
              <w:bottom w:val="single" w:sz="12" w:space="0" w:color="auto"/>
            </w:tcBorders>
            <w:vAlign w:val="center"/>
          </w:tcPr>
          <w:p w14:paraId="2B4BD4F1" w14:textId="77777777" w:rsidR="00F43BB8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519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34E5F7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F43BB8" w:rsidRPr="00F3426C" w14:paraId="2292FCC5" w14:textId="77777777" w:rsidTr="00155137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CF875A8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166" w:type="dxa"/>
            <w:vAlign w:val="center"/>
          </w:tcPr>
          <w:p w14:paraId="62C6AA8F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7A8A2BF4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1316, 1337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21C52116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F43BB8" w:rsidRPr="00F3426C" w14:paraId="724A257C" w14:textId="77777777" w:rsidTr="00155137">
        <w:trPr>
          <w:trHeight w:val="510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BF7D8BF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166" w:type="dxa"/>
            <w:vAlign w:val="center"/>
          </w:tcPr>
          <w:p w14:paraId="6E4306A7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Vlkov nad Lužnicí</w:t>
            </w:r>
          </w:p>
        </w:tc>
        <w:tc>
          <w:tcPr>
            <w:tcW w:w="4954" w:type="dxa"/>
            <w:vAlign w:val="center"/>
          </w:tcPr>
          <w:p w14:paraId="1C632AD5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KN 1338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236EF217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F43BB8" w:rsidRPr="00F3426C" w14:paraId="02237A20" w14:textId="77777777" w:rsidTr="00155137">
        <w:trPr>
          <w:trHeight w:val="510"/>
        </w:trPr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18CEAAE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3613C697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CELKEM Vlkov nad Lužnicí</w:t>
            </w:r>
          </w:p>
        </w:tc>
        <w:tc>
          <w:tcPr>
            <w:tcW w:w="98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B65D3B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</w:tr>
      <w:tr w:rsidR="00F43BB8" w:rsidRPr="00F3426C" w14:paraId="176E157C" w14:textId="77777777" w:rsidTr="00155137">
        <w:trPr>
          <w:trHeight w:val="51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610E15D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A2680E" w14:textId="77777777" w:rsidR="00F43BB8" w:rsidRPr="00F3426C" w:rsidRDefault="00F43BB8" w:rsidP="00155137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CELKEM okres Tábor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17EC591" w14:textId="77777777" w:rsidR="00F43BB8" w:rsidRPr="00F3426C" w:rsidRDefault="00F43BB8" w:rsidP="00155137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49</w:t>
            </w:r>
          </w:p>
        </w:tc>
      </w:tr>
    </w:tbl>
    <w:p w14:paraId="753AE64C" w14:textId="77777777" w:rsidR="00F43BB8" w:rsidRPr="00D52410" w:rsidRDefault="00F43BB8" w:rsidP="00F43BB8">
      <w:pPr>
        <w:spacing w:before="0" w:after="160" w:line="259" w:lineRule="auto"/>
        <w:ind w:left="0"/>
        <w:jc w:val="center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FA1F0E9" w14:textId="77777777" w:rsidR="00F43BB8" w:rsidRPr="00014665" w:rsidRDefault="00F43BB8" w:rsidP="00F43BB8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74310B9" w14:textId="77777777" w:rsidR="00F43BB8" w:rsidRPr="00014665" w:rsidRDefault="00F43BB8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F43BB8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028B" w14:textId="77777777" w:rsidR="006A48A9" w:rsidRDefault="006A48A9" w:rsidP="003C2E23">
      <w:pPr>
        <w:spacing w:before="0"/>
      </w:pPr>
      <w:r>
        <w:separator/>
      </w:r>
    </w:p>
  </w:endnote>
  <w:endnote w:type="continuationSeparator" w:id="0">
    <w:p w14:paraId="3BC41B8C" w14:textId="77777777" w:rsidR="006A48A9" w:rsidRDefault="006A48A9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2318" w14:textId="77777777" w:rsidR="006A48A9" w:rsidRDefault="006A48A9" w:rsidP="003C2E23">
      <w:pPr>
        <w:spacing w:before="0"/>
      </w:pPr>
      <w:r>
        <w:separator/>
      </w:r>
    </w:p>
  </w:footnote>
  <w:footnote w:type="continuationSeparator" w:id="0">
    <w:p w14:paraId="1EE67993" w14:textId="77777777" w:rsidR="006A48A9" w:rsidRDefault="006A48A9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3296" w14:textId="77777777" w:rsidR="00F355FE" w:rsidRPr="00DC4D21" w:rsidRDefault="00F355FE" w:rsidP="00F355FE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1D63C8">
      <w:rPr>
        <w:rFonts w:ascii="Arial" w:hAnsi="Arial" w:cs="Arial"/>
        <w:sz w:val="16"/>
        <w:szCs w:val="16"/>
      </w:rPr>
      <w:t xml:space="preserve">Vytyčení po </w:t>
    </w:r>
    <w:proofErr w:type="spellStart"/>
    <w:r w:rsidRPr="001D63C8">
      <w:rPr>
        <w:rFonts w:ascii="Arial" w:hAnsi="Arial" w:cs="Arial"/>
        <w:sz w:val="16"/>
        <w:szCs w:val="16"/>
      </w:rPr>
      <w:t>KoPÚ</w:t>
    </w:r>
    <w:proofErr w:type="spellEnd"/>
    <w:r w:rsidRPr="001D63C8">
      <w:rPr>
        <w:rFonts w:ascii="Arial" w:hAnsi="Arial" w:cs="Arial"/>
        <w:sz w:val="16"/>
        <w:szCs w:val="16"/>
      </w:rPr>
      <w:t xml:space="preserve"> v okrese Tábor 202</w:t>
    </w:r>
    <w:r>
      <w:rPr>
        <w:rFonts w:ascii="Arial" w:hAnsi="Arial" w:cs="Arial"/>
        <w:sz w:val="16"/>
        <w:szCs w:val="16"/>
      </w:rPr>
      <w:t>6</w:t>
    </w:r>
    <w:r w:rsidRPr="001D63C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I</w:t>
    </w:r>
    <w:r w:rsidRPr="001D63C8">
      <w:rPr>
        <w:rFonts w:ascii="Arial" w:hAnsi="Arial" w:cs="Arial"/>
        <w:sz w:val="16"/>
        <w:szCs w:val="16"/>
      </w:rPr>
      <w:t xml:space="preserve">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E993" w14:textId="77777777" w:rsidR="00685DE2" w:rsidRPr="00FF7DBF" w:rsidRDefault="00685DE2" w:rsidP="00685DE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Smlouvy Objednatele: </w:t>
    </w:r>
    <w:proofErr w:type="spellStart"/>
    <w:r>
      <w:rPr>
        <w:rFonts w:ascii="Arial" w:hAnsi="Arial" w:cs="Arial"/>
        <w:sz w:val="16"/>
        <w:szCs w:val="16"/>
      </w:rPr>
      <w:t>xxx</w:t>
    </w:r>
    <w:proofErr w:type="spellEnd"/>
    <w:r w:rsidRPr="00FF7DBF">
      <w:rPr>
        <w:rFonts w:ascii="Arial" w:hAnsi="Arial" w:cs="Arial"/>
        <w:sz w:val="16"/>
        <w:szCs w:val="16"/>
      </w:rPr>
      <w:tab/>
    </w:r>
  </w:p>
  <w:p w14:paraId="2D728498" w14:textId="77777777" w:rsidR="00685DE2" w:rsidRPr="0072591E" w:rsidRDefault="00685DE2" w:rsidP="00685DE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Č.j.:</w:t>
    </w:r>
    <w:r w:rsidRPr="00FF7DBF">
      <w:rPr>
        <w:rFonts w:ascii="Arial" w:hAnsi="Arial" w:cs="Arial"/>
        <w:sz w:val="16"/>
        <w:szCs w:val="16"/>
      </w:rPr>
      <w:tab/>
    </w:r>
    <w:r w:rsidRPr="0072591E">
      <w:rPr>
        <w:rFonts w:ascii="Arial" w:hAnsi="Arial" w:cs="Arial"/>
        <w:sz w:val="16"/>
        <w:szCs w:val="16"/>
      </w:rPr>
      <w:t>Číslo Smlouvy Zhotovitele:</w:t>
    </w:r>
    <w:r w:rsidRPr="0072591E">
      <w:rPr>
        <w:rFonts w:ascii="Arial" w:hAnsi="Arial" w:cs="Arial"/>
        <w:sz w:val="16"/>
        <w:szCs w:val="16"/>
      </w:rPr>
      <w:tab/>
    </w:r>
  </w:p>
  <w:p w14:paraId="1D558D0B" w14:textId="77777777" w:rsidR="00685DE2" w:rsidRPr="00DC4D21" w:rsidRDefault="00685DE2" w:rsidP="00685DE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72591E">
      <w:rPr>
        <w:rFonts w:ascii="Arial" w:hAnsi="Arial" w:cs="Arial"/>
        <w:sz w:val="16"/>
        <w:szCs w:val="16"/>
      </w:rPr>
      <w:t>UID:</w:t>
    </w:r>
    <w:r w:rsidRPr="0072591E">
      <w:rPr>
        <w:rFonts w:ascii="Arial" w:hAnsi="Arial" w:cs="Arial"/>
        <w:sz w:val="16"/>
        <w:szCs w:val="16"/>
      </w:rPr>
      <w:tab/>
      <w:t xml:space="preserve">Vytyčení po </w:t>
    </w:r>
    <w:proofErr w:type="spellStart"/>
    <w:r w:rsidRPr="0072591E">
      <w:rPr>
        <w:rFonts w:ascii="Arial" w:hAnsi="Arial" w:cs="Arial"/>
        <w:sz w:val="16"/>
        <w:szCs w:val="16"/>
      </w:rPr>
      <w:t>KoPÚ</w:t>
    </w:r>
    <w:proofErr w:type="spellEnd"/>
    <w:r w:rsidRPr="0072591E">
      <w:rPr>
        <w:rFonts w:ascii="Arial" w:hAnsi="Arial" w:cs="Arial"/>
        <w:sz w:val="16"/>
        <w:szCs w:val="16"/>
      </w:rPr>
      <w:t xml:space="preserve"> v okrese Tábor 20</w:t>
    </w:r>
    <w:r>
      <w:rPr>
        <w:rFonts w:ascii="Arial" w:hAnsi="Arial" w:cs="Arial"/>
        <w:sz w:val="16"/>
        <w:szCs w:val="16"/>
      </w:rPr>
      <w:t>26</w:t>
    </w:r>
    <w:r w:rsidRPr="0072591E">
      <w:rPr>
        <w:rFonts w:ascii="Arial" w:hAnsi="Arial" w:cs="Arial"/>
        <w:sz w:val="16"/>
        <w:szCs w:val="16"/>
      </w:rPr>
      <w:t xml:space="preserve"> I.</w:t>
    </w:r>
  </w:p>
  <w:p w14:paraId="76109FF5" w14:textId="77777777" w:rsidR="00685DE2" w:rsidRPr="0025120D" w:rsidRDefault="00685DE2" w:rsidP="00685DE2">
    <w:pPr>
      <w:pStyle w:val="Zhlav"/>
      <w:rPr>
        <w:sz w:val="14"/>
      </w:rPr>
    </w:pPr>
  </w:p>
  <w:p w14:paraId="76D56659" w14:textId="77777777" w:rsidR="00685DE2" w:rsidRDefault="00685DE2" w:rsidP="00685D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 w:numId="88" w16cid:durableId="186917784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4E27"/>
    <w:rsid w:val="00096B96"/>
    <w:rsid w:val="000A1146"/>
    <w:rsid w:val="000A2584"/>
    <w:rsid w:val="000A4F78"/>
    <w:rsid w:val="000A6305"/>
    <w:rsid w:val="000B5880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278B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671E3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C7536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3662"/>
    <w:rsid w:val="00304C46"/>
    <w:rsid w:val="00306641"/>
    <w:rsid w:val="00311E5C"/>
    <w:rsid w:val="003147E9"/>
    <w:rsid w:val="00314F5B"/>
    <w:rsid w:val="003164BC"/>
    <w:rsid w:val="00316F18"/>
    <w:rsid w:val="00317D10"/>
    <w:rsid w:val="0032234A"/>
    <w:rsid w:val="0032302D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147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5B02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593"/>
    <w:rsid w:val="005E362D"/>
    <w:rsid w:val="005E4A68"/>
    <w:rsid w:val="005F38B8"/>
    <w:rsid w:val="005F4DB0"/>
    <w:rsid w:val="00600BC1"/>
    <w:rsid w:val="00607479"/>
    <w:rsid w:val="00610F2F"/>
    <w:rsid w:val="0061170B"/>
    <w:rsid w:val="00613A2F"/>
    <w:rsid w:val="006141EA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85DE2"/>
    <w:rsid w:val="006902C6"/>
    <w:rsid w:val="006A2316"/>
    <w:rsid w:val="006A48A9"/>
    <w:rsid w:val="006A6A69"/>
    <w:rsid w:val="006A6EC7"/>
    <w:rsid w:val="006B2EE2"/>
    <w:rsid w:val="006B7D60"/>
    <w:rsid w:val="006C325B"/>
    <w:rsid w:val="006D0149"/>
    <w:rsid w:val="006D681C"/>
    <w:rsid w:val="006E0028"/>
    <w:rsid w:val="006E1C63"/>
    <w:rsid w:val="006E4835"/>
    <w:rsid w:val="006F0948"/>
    <w:rsid w:val="00700330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97"/>
    <w:rsid w:val="007410F4"/>
    <w:rsid w:val="007460F0"/>
    <w:rsid w:val="007468C8"/>
    <w:rsid w:val="00747E60"/>
    <w:rsid w:val="00750A74"/>
    <w:rsid w:val="007522FD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100"/>
    <w:rsid w:val="007927EB"/>
    <w:rsid w:val="00794DBB"/>
    <w:rsid w:val="00797092"/>
    <w:rsid w:val="00797331"/>
    <w:rsid w:val="00797D0E"/>
    <w:rsid w:val="007A15CF"/>
    <w:rsid w:val="007A2DAA"/>
    <w:rsid w:val="007A3A2D"/>
    <w:rsid w:val="007A3DA3"/>
    <w:rsid w:val="007A64CD"/>
    <w:rsid w:val="007B0D2A"/>
    <w:rsid w:val="007B10E5"/>
    <w:rsid w:val="007B6B6F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493B"/>
    <w:rsid w:val="008759F5"/>
    <w:rsid w:val="0087725A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0916"/>
    <w:rsid w:val="008B15E9"/>
    <w:rsid w:val="008B50BB"/>
    <w:rsid w:val="008B77CF"/>
    <w:rsid w:val="008B77F6"/>
    <w:rsid w:val="008C08A2"/>
    <w:rsid w:val="008C41C1"/>
    <w:rsid w:val="008C4215"/>
    <w:rsid w:val="008C79A4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0C1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12A8"/>
    <w:rsid w:val="00A4184F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81E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1231"/>
    <w:rsid w:val="00BD4F5D"/>
    <w:rsid w:val="00BE0C70"/>
    <w:rsid w:val="00BE3533"/>
    <w:rsid w:val="00BE3B44"/>
    <w:rsid w:val="00BF0628"/>
    <w:rsid w:val="00BF164F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3BBC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2D71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591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2FC6"/>
    <w:rsid w:val="00D9408D"/>
    <w:rsid w:val="00D95ACB"/>
    <w:rsid w:val="00D96345"/>
    <w:rsid w:val="00DA09DE"/>
    <w:rsid w:val="00DA100E"/>
    <w:rsid w:val="00DA61BA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4C61"/>
    <w:rsid w:val="00E85AC9"/>
    <w:rsid w:val="00E92D95"/>
    <w:rsid w:val="00E9562C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55FE"/>
    <w:rsid w:val="00F36F51"/>
    <w:rsid w:val="00F43A10"/>
    <w:rsid w:val="00F43BB8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BD"/>
    <w:rsid w:val="00F933CD"/>
    <w:rsid w:val="00F9412A"/>
    <w:rsid w:val="00FA4973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48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F43B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5000</Words>
  <Characters>29505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Vaněčková Radka Ing.</cp:lastModifiedBy>
  <cp:revision>48</cp:revision>
  <cp:lastPrinted>2019-05-02T06:41:00Z</cp:lastPrinted>
  <dcterms:created xsi:type="dcterms:W3CDTF">2025-08-20T13:27:00Z</dcterms:created>
  <dcterms:modified xsi:type="dcterms:W3CDTF">2026-03-19T14:11:00Z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  <property fmtid="{D5CDD505-2E9C-101B-9397-08002B2CF9AE}" pid="4" name="MediaServiceImageTags">
    <vt:lpwstr/>
  </property>
</Properties>
</file>