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1D67CE86" w:rsidR="00797092" w:rsidRPr="003C0D30" w:rsidRDefault="003A2D3E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A2D3E">
        <w:rPr>
          <w:rFonts w:ascii="Arial" w:hAnsi="Arial" w:cs="Arial"/>
          <w:b/>
          <w:sz w:val="22"/>
          <w:szCs w:val="22"/>
        </w:rPr>
        <w:t>AREA G.K. spol. s.r.o.</w:t>
      </w:r>
    </w:p>
    <w:p w14:paraId="6CB3C788" w14:textId="0FFEA4CC" w:rsidR="00797092" w:rsidRPr="003A2D3E" w:rsidRDefault="00797092" w:rsidP="001F323F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6E3804" w:rsidRPr="006E3804">
        <w:rPr>
          <w:rFonts w:ascii="Arial" w:hAnsi="Arial" w:cs="Arial"/>
          <w:bCs/>
          <w:sz w:val="22"/>
          <w:szCs w:val="22"/>
        </w:rPr>
        <w:t xml:space="preserve">Světská 1418, </w:t>
      </w:r>
      <w:r w:rsidR="00F17A28">
        <w:rPr>
          <w:rFonts w:ascii="Arial" w:hAnsi="Arial" w:cs="Arial"/>
          <w:bCs/>
          <w:sz w:val="22"/>
          <w:szCs w:val="22"/>
        </w:rPr>
        <w:t xml:space="preserve">198 00 </w:t>
      </w:r>
      <w:r w:rsidR="006E3804" w:rsidRPr="006E3804">
        <w:rPr>
          <w:rFonts w:ascii="Arial" w:hAnsi="Arial" w:cs="Arial"/>
          <w:bCs/>
          <w:sz w:val="22"/>
          <w:szCs w:val="22"/>
        </w:rPr>
        <w:t xml:space="preserve">Praha 9, </w:t>
      </w:r>
      <w:r w:rsidR="006E3804" w:rsidRPr="003A2D3E">
        <w:rPr>
          <w:rFonts w:ascii="Arial" w:hAnsi="Arial" w:cs="Arial"/>
          <w:bCs/>
          <w:sz w:val="22"/>
          <w:szCs w:val="22"/>
        </w:rPr>
        <w:t>Kyje,</w:t>
      </w:r>
      <w:r w:rsidR="00F17A28" w:rsidRPr="003A2D3E">
        <w:rPr>
          <w:rFonts w:ascii="Arial" w:hAnsi="Arial" w:cs="Arial"/>
          <w:snapToGrid w:val="0"/>
          <w:sz w:val="22"/>
          <w:szCs w:val="22"/>
        </w:rPr>
        <w:t xml:space="preserve"> IČO: 25094459</w:t>
      </w:r>
      <w:r w:rsidRPr="003A2D3E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D03C80" w:rsidRPr="003A2D3E">
        <w:rPr>
          <w:rFonts w:ascii="Arial" w:hAnsi="Arial" w:cs="Arial"/>
          <w:snapToGrid w:val="0"/>
          <w:sz w:val="22"/>
          <w:szCs w:val="22"/>
        </w:rPr>
        <w:t>Městským soudem v Praze</w:t>
      </w:r>
      <w:r w:rsidRPr="003A2D3E">
        <w:rPr>
          <w:rFonts w:ascii="Arial" w:hAnsi="Arial" w:cs="Arial"/>
          <w:snapToGrid w:val="0"/>
          <w:sz w:val="22"/>
          <w:szCs w:val="22"/>
        </w:rPr>
        <w:t xml:space="preserve">., oddíl </w:t>
      </w:r>
      <w:r w:rsidR="001F323F" w:rsidRPr="003A2D3E">
        <w:rPr>
          <w:rFonts w:ascii="Arial" w:hAnsi="Arial" w:cs="Arial"/>
          <w:snapToGrid w:val="0"/>
          <w:sz w:val="22"/>
          <w:szCs w:val="22"/>
        </w:rPr>
        <w:t>C</w:t>
      </w:r>
      <w:r w:rsidRPr="003A2D3E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1F323F" w:rsidRPr="003A2D3E">
        <w:rPr>
          <w:rFonts w:ascii="Arial" w:hAnsi="Arial" w:cs="Arial"/>
          <w:snapToGrid w:val="0"/>
          <w:sz w:val="22"/>
          <w:szCs w:val="22"/>
        </w:rPr>
        <w:t>49143</w:t>
      </w:r>
      <w:r w:rsidRPr="003A2D3E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688A3AF8" w:rsidR="00797092" w:rsidRPr="003A2D3E" w:rsidRDefault="00797092" w:rsidP="003A2D3E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A2D3E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A2D3E" w:rsidRPr="003A2D3E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5834D8B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21714E" w:rsidRPr="0021714E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5FFA50A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53B0F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094968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C70EF2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7D6F9B3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C048C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191597D" w14:textId="72AB046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52760" w:rsidRPr="00452760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46DE7CD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459B7" w:rsidRPr="00F459B7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14B5DD52" w14:textId="77777777" w:rsidR="00F459B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F459B7" w:rsidRPr="00F459B7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2430834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F459B7" w:rsidRPr="00F459B7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8F3D81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BA4453">
        <w:rPr>
          <w:rFonts w:ascii="Arial" w:hAnsi="Arial" w:cs="Arial"/>
          <w:b/>
          <w:bCs/>
          <w:sz w:val="22"/>
          <w:szCs w:val="22"/>
        </w:rPr>
        <w:t>17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PS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Horní_Bělá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F028CE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847083">
        <w:rPr>
          <w:rFonts w:ascii="Arial" w:hAnsi="Arial" w:cs="Arial"/>
          <w:sz w:val="22"/>
          <w:szCs w:val="22"/>
        </w:rPr>
        <w:t>26. 2. 2026.</w:t>
      </w:r>
    </w:p>
    <w:p w14:paraId="085E7CB4" w14:textId="50A2132E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>Plzeňský kraj</w:t>
      </w:r>
      <w:r w:rsidR="007256EE" w:rsidRPr="007E6590">
        <w:rPr>
          <w:rFonts w:ascii="Arial" w:hAnsi="Arial" w:cs="Arial"/>
          <w:sz w:val="22"/>
          <w:szCs w:val="22"/>
        </w:rPr>
        <w:t>,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DBBE4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7D0D57">
        <w:rPr>
          <w:rFonts w:ascii="Arial" w:hAnsi="Arial" w:cs="Arial"/>
          <w:sz w:val="22"/>
          <w:szCs w:val="22"/>
        </w:rPr>
        <w:t>Horní Bělá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>Plzeň - sever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6121B44D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5E19BE" w:rsidRPr="005E19BE">
        <w:rPr>
          <w:rFonts w:ascii="Arial" w:hAnsi="Arial" w:cs="Arial"/>
          <w:b/>
          <w:bCs/>
          <w:sz w:val="22"/>
          <w:szCs w:val="22"/>
        </w:rPr>
        <w:t>60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547BE8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Horní Bělá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Plzeň – sever.</w:t>
      </w:r>
    </w:p>
    <w:p w14:paraId="2D78EFEF" w14:textId="56B08D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>Krajský pozemkový úřad pro Plzeňský kraj, Pobočka Plzeň, Nerudova</w:t>
      </w:r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90BE3E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E2B22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2B2B09C" w:rsidR="0000200D" w:rsidRPr="00293A47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3F6E57" w:rsidRPr="00293A47">
        <w:rPr>
          <w:rFonts w:ascii="Arial" w:hAnsi="Arial" w:cs="Arial"/>
          <w:b/>
          <w:sz w:val="22"/>
          <w:szCs w:val="22"/>
        </w:rPr>
        <w:t>1 490,00</w:t>
      </w:r>
      <w:r w:rsidR="0000200D" w:rsidRPr="00293A47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293A47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293A47">
        <w:rPr>
          <w:rFonts w:ascii="Arial" w:hAnsi="Arial" w:cs="Arial"/>
          <w:i/>
          <w:sz w:val="22"/>
          <w:szCs w:val="22"/>
        </w:rPr>
        <w:t>(pozn.: 1 MJ = 100</w:t>
      </w:r>
      <w:r w:rsidR="00ED3243" w:rsidRPr="00293A47">
        <w:rPr>
          <w:rFonts w:ascii="Arial" w:hAnsi="Arial" w:cs="Arial"/>
          <w:i/>
          <w:sz w:val="22"/>
          <w:szCs w:val="22"/>
        </w:rPr>
        <w:t xml:space="preserve"> </w:t>
      </w:r>
      <w:r w:rsidRPr="00293A47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57F1321" w:rsidR="0000200D" w:rsidRPr="00293A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293A47">
        <w:rPr>
          <w:rFonts w:ascii="Arial" w:hAnsi="Arial" w:cs="Arial"/>
          <w:b/>
          <w:sz w:val="22"/>
          <w:szCs w:val="22"/>
        </w:rPr>
        <w:t xml:space="preserve">Smluvní cena celkem </w:t>
      </w:r>
      <w:r w:rsidRPr="00293A47">
        <w:rPr>
          <w:rFonts w:ascii="Arial" w:hAnsi="Arial" w:cs="Arial"/>
          <w:b/>
          <w:sz w:val="22"/>
          <w:szCs w:val="22"/>
        </w:rPr>
        <w:tab/>
      </w:r>
      <w:r w:rsidRPr="00293A47">
        <w:rPr>
          <w:rFonts w:ascii="Arial" w:hAnsi="Arial" w:cs="Arial"/>
          <w:b/>
          <w:sz w:val="22"/>
          <w:szCs w:val="22"/>
        </w:rPr>
        <w:tab/>
        <w:t xml:space="preserve"> </w:t>
      </w:r>
      <w:r w:rsidRPr="00293A47">
        <w:rPr>
          <w:rFonts w:ascii="Arial" w:hAnsi="Arial" w:cs="Arial"/>
          <w:b/>
          <w:sz w:val="22"/>
          <w:szCs w:val="22"/>
        </w:rPr>
        <w:tab/>
      </w:r>
      <w:r w:rsidRPr="00293A47">
        <w:rPr>
          <w:rFonts w:ascii="Arial" w:hAnsi="Arial" w:cs="Arial"/>
          <w:b/>
          <w:sz w:val="22"/>
          <w:szCs w:val="22"/>
        </w:rPr>
        <w:tab/>
      </w:r>
      <w:r w:rsidR="003F6E57" w:rsidRPr="00293A47">
        <w:rPr>
          <w:rFonts w:ascii="Arial" w:hAnsi="Arial" w:cs="Arial"/>
          <w:b/>
          <w:sz w:val="22"/>
          <w:szCs w:val="22"/>
        </w:rPr>
        <w:t>16 390,00</w:t>
      </w:r>
      <w:r w:rsidRPr="00293A47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651BC43" w:rsidR="0000200D" w:rsidRPr="00293A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293A47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A60F6" w:rsidRPr="00293A47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293A47">
        <w:rPr>
          <w:rFonts w:ascii="Arial" w:hAnsi="Arial" w:cs="Arial"/>
          <w:b/>
          <w:sz w:val="22"/>
          <w:szCs w:val="22"/>
          <w:u w:val="single"/>
        </w:rPr>
        <w:t>%</w:t>
      </w:r>
      <w:r w:rsidRPr="00293A47">
        <w:rPr>
          <w:rFonts w:ascii="Arial" w:hAnsi="Arial" w:cs="Arial"/>
          <w:b/>
          <w:sz w:val="22"/>
          <w:szCs w:val="22"/>
          <w:u w:val="single"/>
        </w:rPr>
        <w:tab/>
      </w:r>
      <w:r w:rsidRPr="00293A47">
        <w:rPr>
          <w:rFonts w:ascii="Arial" w:hAnsi="Arial" w:cs="Arial"/>
          <w:b/>
          <w:sz w:val="22"/>
          <w:szCs w:val="22"/>
          <w:u w:val="single"/>
        </w:rPr>
        <w:tab/>
      </w:r>
      <w:r w:rsidRPr="00293A47">
        <w:rPr>
          <w:rFonts w:ascii="Arial" w:hAnsi="Arial" w:cs="Arial"/>
          <w:b/>
          <w:sz w:val="22"/>
          <w:szCs w:val="22"/>
          <w:u w:val="single"/>
        </w:rPr>
        <w:tab/>
      </w:r>
      <w:r w:rsidRPr="00293A47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293A47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293A47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0A60F6" w:rsidRPr="00293A47">
        <w:rPr>
          <w:rFonts w:ascii="Arial" w:hAnsi="Arial" w:cs="Arial"/>
          <w:b/>
          <w:sz w:val="22"/>
          <w:szCs w:val="22"/>
          <w:u w:val="single"/>
        </w:rPr>
        <w:t xml:space="preserve">  3 441,90</w:t>
      </w:r>
      <w:r w:rsidRPr="00293A47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870BCC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293A47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293A47">
        <w:rPr>
          <w:rFonts w:ascii="Arial" w:hAnsi="Arial" w:cs="Arial"/>
          <w:b/>
          <w:sz w:val="22"/>
          <w:szCs w:val="22"/>
          <w:u w:val="double"/>
        </w:rPr>
        <w:tab/>
      </w:r>
      <w:r w:rsidRPr="00293A47">
        <w:rPr>
          <w:rFonts w:ascii="Arial" w:hAnsi="Arial" w:cs="Arial"/>
          <w:b/>
          <w:sz w:val="22"/>
          <w:szCs w:val="22"/>
          <w:u w:val="double"/>
        </w:rPr>
        <w:tab/>
      </w:r>
      <w:r w:rsidRPr="00293A47">
        <w:rPr>
          <w:rFonts w:ascii="Arial" w:hAnsi="Arial" w:cs="Arial"/>
          <w:b/>
          <w:sz w:val="22"/>
          <w:szCs w:val="22"/>
          <w:u w:val="double"/>
        </w:rPr>
        <w:tab/>
      </w:r>
      <w:r w:rsidRPr="00293A47">
        <w:rPr>
          <w:rFonts w:ascii="Arial" w:hAnsi="Arial" w:cs="Arial"/>
          <w:b/>
          <w:sz w:val="22"/>
          <w:szCs w:val="22"/>
          <w:u w:val="double"/>
        </w:rPr>
        <w:tab/>
      </w:r>
      <w:r w:rsidRPr="00293A47">
        <w:rPr>
          <w:rFonts w:ascii="Arial" w:hAnsi="Arial" w:cs="Arial"/>
          <w:b/>
          <w:sz w:val="22"/>
          <w:szCs w:val="22"/>
          <w:u w:val="double"/>
        </w:rPr>
        <w:tab/>
      </w:r>
      <w:r w:rsidR="000A60F6" w:rsidRPr="00293A47">
        <w:rPr>
          <w:rFonts w:ascii="Arial" w:hAnsi="Arial" w:cs="Arial"/>
          <w:b/>
          <w:sz w:val="22"/>
          <w:szCs w:val="22"/>
          <w:u w:val="double"/>
        </w:rPr>
        <w:t>19 831,90</w:t>
      </w:r>
      <w:r w:rsidRPr="00293A47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37BBAE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>Plzeň - sever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BCBA35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93A47">
        <w:rPr>
          <w:rFonts w:ascii="Arial" w:hAnsi="Arial" w:cs="Arial"/>
          <w:b/>
          <w:bCs/>
          <w:sz w:val="22"/>
          <w:szCs w:val="22"/>
        </w:rPr>
        <w:t>AREA G.K. spol. s r.o.</w:t>
      </w:r>
    </w:p>
    <w:p w14:paraId="0780E320" w14:textId="669D89B5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8A7A38">
        <w:rPr>
          <w:rFonts w:ascii="Arial" w:hAnsi="Arial" w:cs="Arial"/>
          <w:sz w:val="22"/>
          <w:szCs w:val="22"/>
        </w:rPr>
        <w:t>Praha</w:t>
      </w:r>
    </w:p>
    <w:p w14:paraId="275FAE40" w14:textId="1010827D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B119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13. 3. 2026</w:t>
      </w:r>
      <w:r w:rsidR="004B119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B119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B119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12. 3. 2026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7BFD2C33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7D253D9A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293A47" w:rsidRPr="008A7A38">
        <w:rPr>
          <w:rFonts w:ascii="Arial" w:hAnsi="Arial" w:cs="Arial"/>
          <w:b/>
          <w:bCs/>
          <w:sz w:val="22"/>
          <w:szCs w:val="22"/>
        </w:rPr>
        <w:t>Milan Nový</w:t>
      </w:r>
    </w:p>
    <w:p w14:paraId="2B4EC174" w14:textId="761442A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7A38">
        <w:rPr>
          <w:rFonts w:ascii="Arial" w:hAnsi="Arial" w:cs="Arial"/>
          <w:sz w:val="22"/>
          <w:szCs w:val="22"/>
        </w:rPr>
        <w:t>jednatel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6AD0AA4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>. Horní Bělá</w:t>
      </w:r>
    </w:p>
    <w:p w14:paraId="7F393B31" w14:textId="77777777" w:rsidR="00D12E73" w:rsidRDefault="00D12E73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6A20DC" w14:textId="77777777" w:rsidR="00D12E73" w:rsidRDefault="00D12E73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9560AD" w14:textId="77777777" w:rsidR="00A93CA9" w:rsidRDefault="00A93CA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C8FD14" w14:textId="77777777" w:rsidR="00A93CA9" w:rsidRDefault="00A93CA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63A32E" w14:textId="0A7CF0A2" w:rsidR="00A93CA9" w:rsidRDefault="00A93CA9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Seznam vytyčovaných pozemků</w:t>
      </w:r>
    </w:p>
    <w:p w14:paraId="135341E1" w14:textId="77777777" w:rsidR="00D12E73" w:rsidRDefault="00D12E73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255"/>
        <w:gridCol w:w="2790"/>
        <w:gridCol w:w="697"/>
        <w:gridCol w:w="707"/>
        <w:gridCol w:w="1740"/>
      </w:tblGrid>
      <w:tr w:rsidR="00A93CA9" w:rsidRPr="00A93CA9" w14:paraId="05F8E1E3" w14:textId="77777777" w:rsidTr="00744FC8">
        <w:trPr>
          <w:trHeight w:val="875"/>
        </w:trPr>
        <w:tc>
          <w:tcPr>
            <w:tcW w:w="9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00C7AC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RANGE!A1:F5"/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Vytyčení hranic pozemků v okrese </w:t>
            </w:r>
            <w:proofErr w:type="gramStart"/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Plzeň - sever</w:t>
            </w:r>
            <w:bookmarkEnd w:id="2"/>
            <w:proofErr w:type="gramEnd"/>
          </w:p>
        </w:tc>
      </w:tr>
      <w:tr w:rsidR="00A93CA9" w:rsidRPr="00A93CA9" w14:paraId="2AC2FBE8" w14:textId="77777777" w:rsidTr="00744FC8">
        <w:trPr>
          <w:trHeight w:val="727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FE711F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4679D2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pozemek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BC32AD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F0D1F7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B3D6A3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DDFE3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A93CA9" w:rsidRPr="00A93CA9" w14:paraId="4FA4F0B5" w14:textId="77777777" w:rsidTr="00744FC8">
        <w:trPr>
          <w:trHeight w:val="586"/>
        </w:trPr>
        <w:tc>
          <w:tcPr>
            <w:tcW w:w="2222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1546B11A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Horní Bělá</w:t>
            </w:r>
          </w:p>
          <w:p w14:paraId="5404E04D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DCA1B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3238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F495F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9A00" w14:textId="77777777" w:rsidR="00A93CA9" w:rsidRPr="00A93CA9" w:rsidRDefault="00A93CA9" w:rsidP="003E743B">
            <w:pPr>
              <w:spacing w:after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36DFB3" w14:textId="77777777" w:rsidR="00A93CA9" w:rsidRPr="00A93CA9" w:rsidRDefault="00A93CA9" w:rsidP="003E743B">
            <w:pPr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308682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3CA9" w:rsidRPr="00A93CA9" w14:paraId="1678026D" w14:textId="77777777" w:rsidTr="00744FC8">
        <w:trPr>
          <w:trHeight w:val="586"/>
        </w:trPr>
        <w:tc>
          <w:tcPr>
            <w:tcW w:w="2222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B33489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F32B02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3248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D140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F9892C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3FD0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5E6CFECE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3CA9" w:rsidRPr="00A93CA9" w14:paraId="748D9AF9" w14:textId="77777777" w:rsidTr="00744FC8">
        <w:trPr>
          <w:trHeight w:val="586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01BE0E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Celkem MJ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4EA3C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FB071E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CE588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E983A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CA9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F2D2CB" w14:textId="77777777" w:rsidR="00A93CA9" w:rsidRPr="00A93CA9" w:rsidRDefault="00A93CA9" w:rsidP="00A93CA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93CA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FC7A7D1" w14:textId="77777777" w:rsidR="00D12E73" w:rsidRPr="00014665" w:rsidRDefault="00D12E73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D12E73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EC5E" w14:textId="77777777" w:rsidR="00675B2B" w:rsidRDefault="00675B2B" w:rsidP="003C2E23">
      <w:pPr>
        <w:spacing w:before="0"/>
      </w:pPr>
      <w:r>
        <w:separator/>
      </w:r>
    </w:p>
  </w:endnote>
  <w:endnote w:type="continuationSeparator" w:id="0">
    <w:p w14:paraId="359E6BA7" w14:textId="77777777" w:rsidR="00675B2B" w:rsidRDefault="00675B2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20A3" w14:textId="77777777" w:rsidR="00675B2B" w:rsidRDefault="00675B2B" w:rsidP="003C2E23">
      <w:pPr>
        <w:spacing w:before="0"/>
      </w:pPr>
      <w:r>
        <w:separator/>
      </w:r>
    </w:p>
  </w:footnote>
  <w:footnote w:type="continuationSeparator" w:id="0">
    <w:p w14:paraId="2D3E002E" w14:textId="77777777" w:rsidR="00675B2B" w:rsidRDefault="00675B2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DDD650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7E6590" w:rsidRPr="007E6590">
      <w:rPr>
        <w:rFonts w:ascii="Arial" w:hAnsi="Arial" w:cs="Arial"/>
        <w:sz w:val="16"/>
        <w:szCs w:val="16"/>
      </w:rPr>
      <w:t>Horní Bělá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07DC1714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5A0FF1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</w:t>
    </w:r>
    <w:r w:rsidR="00437E63">
      <w:rPr>
        <w:rFonts w:ascii="Arial" w:hAnsi="Arial" w:cs="Arial"/>
        <w:sz w:val="16"/>
        <w:szCs w:val="16"/>
      </w:rPr>
      <w:t>: 75-2026-504201</w:t>
    </w:r>
    <w:r w:rsidRPr="00FF7DBF">
      <w:rPr>
        <w:rFonts w:ascii="Arial" w:hAnsi="Arial" w:cs="Arial"/>
        <w:sz w:val="16"/>
        <w:szCs w:val="16"/>
      </w:rPr>
      <w:tab/>
    </w:r>
  </w:p>
  <w:p w14:paraId="4855AD84" w14:textId="0514BE7B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5A0FF1"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  <w:r w:rsidR="005A0FF1">
      <w:rPr>
        <w:rFonts w:ascii="Arial" w:hAnsi="Arial" w:cs="Arial"/>
        <w:sz w:val="16"/>
        <w:szCs w:val="16"/>
      </w:rPr>
      <w:t xml:space="preserve"> </w:t>
    </w:r>
    <w:r w:rsidR="005A0FF1" w:rsidRPr="005A0FF1">
      <w:rPr>
        <w:rFonts w:ascii="Arial" w:hAnsi="Arial" w:cs="Arial"/>
        <w:sz w:val="16"/>
        <w:szCs w:val="16"/>
      </w:rPr>
      <w:t>spuess9df545f2</w:t>
    </w:r>
  </w:p>
  <w:p w14:paraId="12A62E41" w14:textId="4E521312" w:rsidR="00FF0C21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5A0FF1"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  <w:r w:rsidR="005A0FF1">
      <w:rPr>
        <w:rFonts w:ascii="Arial" w:hAnsi="Arial" w:cs="Arial"/>
        <w:sz w:val="16"/>
        <w:szCs w:val="16"/>
      </w:rPr>
      <w:t xml:space="preserve"> </w:t>
    </w:r>
    <w:r w:rsidR="005A0FF1" w:rsidRPr="005A0FF1">
      <w:rPr>
        <w:rFonts w:ascii="Arial" w:hAnsi="Arial" w:cs="Arial"/>
        <w:sz w:val="16"/>
        <w:szCs w:val="16"/>
      </w:rPr>
      <w:t>SZ SPU 038916/2026</w:t>
    </w:r>
    <w:r w:rsidR="005A0FF1">
      <w:rPr>
        <w:rFonts w:ascii="Arial" w:hAnsi="Arial" w:cs="Arial"/>
        <w:sz w:val="16"/>
        <w:szCs w:val="16"/>
      </w:rPr>
      <w:t xml:space="preserve"> / </w:t>
    </w:r>
    <w:r w:rsidR="005A0FF1" w:rsidRPr="005A0FF1">
      <w:rPr>
        <w:rFonts w:ascii="Arial" w:hAnsi="Arial" w:cs="Arial"/>
        <w:sz w:val="16"/>
        <w:szCs w:val="16"/>
      </w:rPr>
      <w:t>SPU 095939/2026</w:t>
    </w:r>
  </w:p>
  <w:p w14:paraId="0C492D63" w14:textId="3DB287E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5A0FF1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D005A8" w:rsidRPr="00D005A8">
      <w:rPr>
        <w:rFonts w:ascii="Arial" w:hAnsi="Arial" w:cs="Arial"/>
        <w:sz w:val="16"/>
        <w:szCs w:val="16"/>
      </w:rPr>
      <w:t>Horní Bělá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0F6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D760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3F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14E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2E55"/>
    <w:rsid w:val="002862D0"/>
    <w:rsid w:val="00287530"/>
    <w:rsid w:val="00287714"/>
    <w:rsid w:val="002878CE"/>
    <w:rsid w:val="00290D47"/>
    <w:rsid w:val="00292C34"/>
    <w:rsid w:val="00293A47"/>
    <w:rsid w:val="00293ADA"/>
    <w:rsid w:val="00294988"/>
    <w:rsid w:val="00294AF8"/>
    <w:rsid w:val="00294BDF"/>
    <w:rsid w:val="00296BA9"/>
    <w:rsid w:val="00297AED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2D3E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E743B"/>
    <w:rsid w:val="003F1A8C"/>
    <w:rsid w:val="003F6E57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7E63"/>
    <w:rsid w:val="00452760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119F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0FF1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19BE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5B2B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3804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31FB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57AA"/>
    <w:rsid w:val="00797092"/>
    <w:rsid w:val="00797B4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47083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21E7"/>
    <w:rsid w:val="008A3D56"/>
    <w:rsid w:val="008A6097"/>
    <w:rsid w:val="008A7A38"/>
    <w:rsid w:val="008B50BB"/>
    <w:rsid w:val="008B77CF"/>
    <w:rsid w:val="008B77F6"/>
    <w:rsid w:val="008C048C"/>
    <w:rsid w:val="008C08A2"/>
    <w:rsid w:val="008C41C1"/>
    <w:rsid w:val="008C4215"/>
    <w:rsid w:val="008C736F"/>
    <w:rsid w:val="008D2D69"/>
    <w:rsid w:val="008D4E25"/>
    <w:rsid w:val="008D5DAE"/>
    <w:rsid w:val="008D793B"/>
    <w:rsid w:val="008E285C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16DC0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0E5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3CA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00B7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4453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70EF2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C80"/>
    <w:rsid w:val="00D03EB2"/>
    <w:rsid w:val="00D04861"/>
    <w:rsid w:val="00D04A34"/>
    <w:rsid w:val="00D05D09"/>
    <w:rsid w:val="00D07C20"/>
    <w:rsid w:val="00D12161"/>
    <w:rsid w:val="00D12C22"/>
    <w:rsid w:val="00D12E73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B8E"/>
    <w:rsid w:val="00D6451F"/>
    <w:rsid w:val="00D70814"/>
    <w:rsid w:val="00D75D18"/>
    <w:rsid w:val="00D808C3"/>
    <w:rsid w:val="00D83C46"/>
    <w:rsid w:val="00D853A6"/>
    <w:rsid w:val="00D9173E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3B0F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97803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A28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0D1E"/>
    <w:rsid w:val="00F36F51"/>
    <w:rsid w:val="00F43A10"/>
    <w:rsid w:val="00F459B7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1B9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BAB"/>
    <w:rsid w:val="00FB6FC9"/>
    <w:rsid w:val="00FC0F16"/>
    <w:rsid w:val="00FC174A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4890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8</cp:revision>
  <cp:lastPrinted>2019-05-02T06:41:00Z</cp:lastPrinted>
  <dcterms:created xsi:type="dcterms:W3CDTF">2026-03-13T07:17:00Z</dcterms:created>
  <dcterms:modified xsi:type="dcterms:W3CDTF">2026-03-13T07:21:00Z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