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21554456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90EC1">
        <w:rPr>
          <w:rFonts w:ascii="Arial" w:hAnsi="Arial" w:cs="Arial"/>
          <w:sz w:val="22"/>
          <w:szCs w:val="22"/>
        </w:rPr>
        <w:t>Jihomoravský kraj</w:t>
      </w:r>
      <w:r w:rsidRPr="003C0D30">
        <w:rPr>
          <w:rFonts w:ascii="Arial" w:hAnsi="Arial" w:cs="Arial"/>
          <w:snapToGrid w:val="0"/>
          <w:sz w:val="22"/>
          <w:szCs w:val="22"/>
        </w:rPr>
        <w:t>, na adrese</w:t>
      </w:r>
      <w:r w:rsidR="00C90EC1">
        <w:rPr>
          <w:rFonts w:ascii="Arial" w:hAnsi="Arial" w:cs="Arial"/>
          <w:snapToGrid w:val="0"/>
          <w:sz w:val="22"/>
          <w:szCs w:val="22"/>
        </w:rPr>
        <w:t xml:space="preserve"> Hroznová 17, 602 00 Brno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7BC93C5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C90EC1">
        <w:rPr>
          <w:rFonts w:ascii="Arial" w:hAnsi="Arial" w:cs="Arial"/>
          <w:sz w:val="22"/>
          <w:szCs w:val="22"/>
        </w:rPr>
        <w:t xml:space="preserve">Ing. Pavlem Zajíčkem, ředitelem KPÚ pro </w:t>
      </w:r>
      <w:proofErr w:type="spellStart"/>
      <w:r w:rsidR="00C90EC1">
        <w:rPr>
          <w:rFonts w:ascii="Arial" w:hAnsi="Arial" w:cs="Arial"/>
          <w:sz w:val="22"/>
          <w:szCs w:val="22"/>
        </w:rPr>
        <w:t>JmK</w:t>
      </w:r>
      <w:proofErr w:type="spellEnd"/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13CE22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C90EC1">
        <w:rPr>
          <w:rFonts w:ascii="Arial" w:hAnsi="Arial" w:cs="Arial"/>
          <w:sz w:val="22"/>
          <w:szCs w:val="22"/>
        </w:rPr>
        <w:t>Ing. Pavlem Zajíčkem</w:t>
      </w:r>
      <w:r w:rsidR="006279FC">
        <w:rPr>
          <w:rFonts w:ascii="Arial" w:hAnsi="Arial" w:cs="Arial"/>
          <w:sz w:val="22"/>
          <w:szCs w:val="22"/>
        </w:rPr>
        <w:t xml:space="preserve">, ředitelem KPÚ pro </w:t>
      </w:r>
      <w:proofErr w:type="spellStart"/>
      <w:r w:rsidR="006279FC">
        <w:rPr>
          <w:rFonts w:ascii="Arial" w:hAnsi="Arial" w:cs="Arial"/>
          <w:sz w:val="22"/>
          <w:szCs w:val="22"/>
        </w:rPr>
        <w:t>JmK</w:t>
      </w:r>
      <w:proofErr w:type="spellEnd"/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12FB6F6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C90EC1">
        <w:rPr>
          <w:rFonts w:ascii="Arial" w:hAnsi="Arial" w:cs="Arial"/>
          <w:snapToGrid w:val="0"/>
          <w:sz w:val="22"/>
          <w:szCs w:val="22"/>
        </w:rPr>
        <w:t xml:space="preserve">Ing. Anitou </w:t>
      </w:r>
      <w:proofErr w:type="spellStart"/>
      <w:r w:rsidR="00C90EC1">
        <w:rPr>
          <w:rFonts w:ascii="Arial" w:hAnsi="Arial" w:cs="Arial"/>
          <w:snapToGrid w:val="0"/>
          <w:sz w:val="22"/>
          <w:szCs w:val="22"/>
        </w:rPr>
        <w:t>Urbankovou</w:t>
      </w:r>
      <w:proofErr w:type="spellEnd"/>
      <w:r w:rsidRPr="003C0D30">
        <w:rPr>
          <w:rFonts w:ascii="Arial" w:hAnsi="Arial" w:cs="Arial"/>
          <w:sz w:val="22"/>
          <w:szCs w:val="22"/>
        </w:rPr>
        <w:t>, KPÚ</w:t>
      </w:r>
      <w:r w:rsidR="00C90EC1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="00C90EC1">
        <w:rPr>
          <w:rFonts w:ascii="Arial" w:hAnsi="Arial" w:cs="Arial"/>
          <w:sz w:val="22"/>
          <w:szCs w:val="22"/>
        </w:rPr>
        <w:t>JmK</w:t>
      </w:r>
      <w:proofErr w:type="spellEnd"/>
      <w:r w:rsidRPr="003C0D30">
        <w:rPr>
          <w:rFonts w:ascii="Arial" w:hAnsi="Arial" w:cs="Arial"/>
          <w:sz w:val="22"/>
          <w:szCs w:val="22"/>
        </w:rPr>
        <w:t>, Pobočka</w:t>
      </w:r>
      <w:r w:rsidR="00C90EC1">
        <w:rPr>
          <w:rFonts w:ascii="Arial" w:hAnsi="Arial" w:cs="Arial"/>
          <w:sz w:val="22"/>
          <w:szCs w:val="22"/>
        </w:rPr>
        <w:t xml:space="preserve"> Vyškov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D10C5A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C90EC1">
        <w:rPr>
          <w:rFonts w:ascii="Arial" w:hAnsi="Arial" w:cs="Arial"/>
          <w:sz w:val="22"/>
          <w:szCs w:val="22"/>
        </w:rPr>
        <w:t>724 155</w:t>
      </w:r>
      <w:r w:rsidR="00AF3885">
        <w:rPr>
          <w:rFonts w:ascii="Arial" w:hAnsi="Arial" w:cs="Arial"/>
          <w:sz w:val="22"/>
          <w:szCs w:val="22"/>
        </w:rPr>
        <w:t> </w:t>
      </w:r>
      <w:r w:rsidR="00C90EC1">
        <w:rPr>
          <w:rFonts w:ascii="Arial" w:hAnsi="Arial" w:cs="Arial"/>
          <w:sz w:val="22"/>
          <w:szCs w:val="22"/>
        </w:rPr>
        <w:t>478</w:t>
      </w:r>
      <w:r w:rsidR="00AF3885">
        <w:rPr>
          <w:rFonts w:ascii="Arial" w:hAnsi="Arial" w:cs="Arial"/>
          <w:sz w:val="22"/>
          <w:szCs w:val="22"/>
        </w:rPr>
        <w:t xml:space="preserve"> (Ing. Urbanková)</w:t>
      </w:r>
    </w:p>
    <w:p w14:paraId="6DA97DD3" w14:textId="48B398C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C90EC1">
        <w:rPr>
          <w:rFonts w:ascii="Arial" w:hAnsi="Arial" w:cs="Arial"/>
          <w:snapToGrid w:val="0"/>
          <w:sz w:val="22"/>
          <w:szCs w:val="22"/>
        </w:rPr>
        <w:t>vyskov.pk@spu.gov.cz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</w:t>
      </w:r>
      <w:r w:rsidRPr="006279FC">
        <w:rPr>
          <w:rFonts w:ascii="Arial" w:hAnsi="Arial" w:cs="Arial"/>
          <w:b/>
          <w:sz w:val="22"/>
          <w:szCs w:val="22"/>
          <w:highlight w:val="yellow"/>
        </w:rPr>
        <w:t>Obchodní firma zhotovitele</w:t>
      </w:r>
      <w:r w:rsidRPr="003C0D30">
        <w:rPr>
          <w:rFonts w:ascii="Arial" w:hAnsi="Arial" w:cs="Arial"/>
          <w:b/>
          <w:sz w:val="22"/>
          <w:szCs w:val="22"/>
        </w:rPr>
        <w:t>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IČO: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zapsaná v obchodním rejstříku vedeném u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oddíl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vložka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6279FC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104412F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923E83" w:rsidRPr="00923E83">
        <w:rPr>
          <w:rFonts w:ascii="Arial" w:hAnsi="Arial" w:cs="Arial"/>
          <w:sz w:val="22"/>
          <w:szCs w:val="22"/>
        </w:rPr>
        <w:t>JMK</w:t>
      </w:r>
      <w:proofErr w:type="gramEnd"/>
      <w:r w:rsidR="00923E83" w:rsidRPr="00923E83">
        <w:rPr>
          <w:rFonts w:ascii="Arial" w:hAnsi="Arial" w:cs="Arial"/>
          <w:sz w:val="22"/>
          <w:szCs w:val="22"/>
        </w:rPr>
        <w:t>/4_VY_OTNICE_LETONICE_MOUŘÍNOV_VÍCEMILICE_HERŠPICE_VYTÝČENÍ PO KOPÚ</w:t>
      </w:r>
      <w:r w:rsidR="00923E83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38C8FF71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923E83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72DFC66C" w:rsidR="00C05583" w:rsidRPr="00014665" w:rsidRDefault="00923E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Podkladem pro vytyčení vlastnických hranic pozemků jsou údaje vedené v katastru nemovitostí a žádosti vlastníků o vytyčení vedené u KPÚ pro </w:t>
      </w:r>
      <w:r>
        <w:rPr>
          <w:rFonts w:ascii="Arial" w:hAnsi="Arial" w:cs="Arial"/>
          <w:sz w:val="22"/>
          <w:szCs w:val="22"/>
        </w:rPr>
        <w:t>Jihomoravský kraj</w:t>
      </w:r>
      <w:r w:rsidRPr="00014665">
        <w:rPr>
          <w:rFonts w:ascii="Arial" w:hAnsi="Arial" w:cs="Arial"/>
          <w:sz w:val="22"/>
          <w:szCs w:val="22"/>
        </w:rPr>
        <w:t xml:space="preserve">, Pobočky </w:t>
      </w:r>
      <w:r>
        <w:rPr>
          <w:rFonts w:ascii="Arial" w:hAnsi="Arial" w:cs="Arial"/>
          <w:sz w:val="22"/>
          <w:szCs w:val="22"/>
        </w:rPr>
        <w:t>Vyškov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3B98A44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0464CE">
        <w:rPr>
          <w:rFonts w:ascii="Arial" w:hAnsi="Arial" w:cs="Arial"/>
          <w:sz w:val="22"/>
          <w:szCs w:val="22"/>
        </w:rPr>
        <w:t xml:space="preserve"> Otnice, Letonice, Mouřínov, </w:t>
      </w:r>
      <w:proofErr w:type="spellStart"/>
      <w:r w:rsidR="000464CE">
        <w:rPr>
          <w:rFonts w:ascii="Arial" w:hAnsi="Arial" w:cs="Arial"/>
          <w:sz w:val="22"/>
          <w:szCs w:val="22"/>
        </w:rPr>
        <w:t>Vícemilice</w:t>
      </w:r>
      <w:proofErr w:type="spellEnd"/>
      <w:r w:rsidR="000464CE">
        <w:rPr>
          <w:rFonts w:ascii="Arial" w:hAnsi="Arial" w:cs="Arial"/>
          <w:sz w:val="22"/>
          <w:szCs w:val="22"/>
        </w:rPr>
        <w:t>, Heršpice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923E83">
        <w:rPr>
          <w:rFonts w:ascii="Arial" w:hAnsi="Arial" w:cs="Arial"/>
          <w:sz w:val="22"/>
          <w:szCs w:val="22"/>
        </w:rPr>
        <w:t xml:space="preserve"> Vyškov </w:t>
      </w:r>
      <w:r w:rsidR="00AA4335" w:rsidRPr="0042773E">
        <w:rPr>
          <w:rFonts w:ascii="Arial" w:hAnsi="Arial" w:cs="Arial"/>
          <w:sz w:val="22"/>
          <w:szCs w:val="22"/>
        </w:rPr>
        <w:t xml:space="preserve">(viz Příloha č. </w:t>
      </w:r>
      <w:r w:rsidR="00923E83">
        <w:rPr>
          <w:rFonts w:ascii="Arial" w:hAnsi="Arial" w:cs="Arial"/>
          <w:sz w:val="22"/>
          <w:szCs w:val="22"/>
        </w:rPr>
        <w:t>1</w:t>
      </w:r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8A3E3BB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0464CE">
        <w:rPr>
          <w:rFonts w:ascii="Arial" w:hAnsi="Arial" w:cs="Arial"/>
          <w:sz w:val="22"/>
          <w:szCs w:val="22"/>
        </w:rPr>
        <w:t xml:space="preserve">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3001A02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>úřad pro</w:t>
      </w:r>
      <w:r w:rsidR="000464CE">
        <w:rPr>
          <w:rFonts w:ascii="Arial" w:hAnsi="Arial" w:cs="Arial"/>
          <w:sz w:val="22"/>
          <w:szCs w:val="22"/>
        </w:rPr>
        <w:t xml:space="preserve"> Jihomoravský kraj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0464CE">
        <w:rPr>
          <w:rFonts w:ascii="Arial" w:hAnsi="Arial" w:cs="Arial"/>
          <w:sz w:val="22"/>
          <w:szCs w:val="22"/>
        </w:rPr>
        <w:t xml:space="preserve"> Vyškov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0464CE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0464CE">
        <w:rPr>
          <w:rFonts w:ascii="Arial" w:hAnsi="Arial" w:cs="Arial"/>
          <w:sz w:val="22"/>
          <w:szCs w:val="22"/>
          <w:highlight w:val="yellow"/>
        </w:rPr>
        <w:t>…………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039F85E3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0464CE">
        <w:rPr>
          <w:rFonts w:ascii="Arial" w:hAnsi="Arial" w:cs="Arial"/>
          <w:sz w:val="22"/>
          <w:szCs w:val="22"/>
        </w:rPr>
        <w:t xml:space="preserve"> Otnice, Letonice, Mouřínov, </w:t>
      </w:r>
      <w:proofErr w:type="spellStart"/>
      <w:r w:rsidR="000464CE">
        <w:rPr>
          <w:rFonts w:ascii="Arial" w:hAnsi="Arial" w:cs="Arial"/>
          <w:sz w:val="22"/>
          <w:szCs w:val="22"/>
        </w:rPr>
        <w:t>Vícemilice</w:t>
      </w:r>
      <w:proofErr w:type="spellEnd"/>
      <w:r w:rsidR="000464CE">
        <w:rPr>
          <w:rFonts w:ascii="Arial" w:hAnsi="Arial" w:cs="Arial"/>
          <w:sz w:val="22"/>
          <w:szCs w:val="22"/>
        </w:rPr>
        <w:t>, Heršpice</w:t>
      </w:r>
      <w:r w:rsidR="000464CE" w:rsidRPr="0042773E">
        <w:rPr>
          <w:rFonts w:ascii="Arial" w:hAnsi="Arial" w:cs="Arial"/>
          <w:sz w:val="22"/>
          <w:szCs w:val="22"/>
        </w:rPr>
        <w:t>,</w:t>
      </w:r>
      <w:r w:rsidR="00D6451F" w:rsidRPr="0042773E">
        <w:rPr>
          <w:rFonts w:ascii="Arial" w:hAnsi="Arial" w:cs="Arial"/>
          <w:sz w:val="22"/>
          <w:szCs w:val="22"/>
        </w:rPr>
        <w:t xml:space="preserve"> okres:</w:t>
      </w:r>
      <w:r w:rsidR="000464CE">
        <w:rPr>
          <w:rFonts w:ascii="Arial" w:hAnsi="Arial" w:cs="Arial"/>
          <w:sz w:val="22"/>
          <w:szCs w:val="22"/>
        </w:rPr>
        <w:t xml:space="preserve"> Vyškov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0464CE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093841D4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64CE">
        <w:rPr>
          <w:rFonts w:ascii="Arial" w:hAnsi="Arial" w:cs="Arial"/>
          <w:sz w:val="22"/>
          <w:szCs w:val="22"/>
        </w:rPr>
        <w:t>Palánek</w:t>
      </w:r>
      <w:proofErr w:type="spellEnd"/>
      <w:r w:rsidR="000464CE">
        <w:rPr>
          <w:rFonts w:ascii="Arial" w:hAnsi="Arial" w:cs="Arial"/>
          <w:sz w:val="22"/>
          <w:szCs w:val="22"/>
        </w:rPr>
        <w:t xml:space="preserve"> 250/1, 682 01 Vyškov.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52B4E3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 xml:space="preserve">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255BC59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0464CE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A50D72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464CE">
        <w:rPr>
          <w:rFonts w:ascii="Arial" w:hAnsi="Arial" w:cs="Arial"/>
          <w:b/>
          <w:bCs/>
          <w:sz w:val="22"/>
          <w:szCs w:val="22"/>
        </w:rPr>
        <w:t>44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464CE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464CE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0464CE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855F26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646E90" w:rsidRPr="00646E90">
        <w:rPr>
          <w:rFonts w:ascii="Arial" w:hAnsi="Arial" w:cs="Arial"/>
          <w:b/>
          <w:sz w:val="22"/>
          <w:szCs w:val="22"/>
          <w:highlight w:val="yellow"/>
          <w:u w:val="double"/>
        </w:rPr>
        <w:t>93 170,00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3B87A43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464CE">
        <w:rPr>
          <w:rFonts w:ascii="Arial" w:hAnsi="Arial" w:cs="Arial"/>
          <w:sz w:val="22"/>
          <w:szCs w:val="22"/>
        </w:rPr>
        <w:t>Vyškov,</w:t>
      </w:r>
      <w:r w:rsidRPr="00085F28">
        <w:rPr>
          <w:rFonts w:ascii="Arial" w:hAnsi="Arial" w:cs="Arial"/>
          <w:sz w:val="22"/>
          <w:szCs w:val="22"/>
        </w:rPr>
        <w:t xml:space="preserve"> KPÚ pro</w:t>
      </w:r>
      <w:r w:rsidR="000464CE">
        <w:rPr>
          <w:rFonts w:ascii="Arial" w:hAnsi="Arial" w:cs="Arial"/>
          <w:sz w:val="22"/>
          <w:szCs w:val="22"/>
        </w:rPr>
        <w:t xml:space="preserve"> Jihomoravský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6A5DD7">
        <w:rPr>
          <w:rFonts w:ascii="Arial" w:hAnsi="Arial" w:cs="Arial"/>
          <w:b/>
          <w:snapToGrid w:val="0"/>
          <w:sz w:val="22"/>
          <w:szCs w:val="22"/>
        </w:rPr>
        <w:t xml:space="preserve"> Jihomoravský </w:t>
      </w:r>
      <w:r w:rsidR="006A5DD7">
        <w:rPr>
          <w:rFonts w:ascii="Arial" w:hAnsi="Arial" w:cs="Arial"/>
          <w:b/>
          <w:snapToGrid w:val="0"/>
          <w:sz w:val="22"/>
          <w:szCs w:val="22"/>
        </w:rPr>
        <w:lastRenderedPageBreak/>
        <w:t>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Pobočka</w:t>
      </w:r>
      <w:r w:rsidR="006A5DD7">
        <w:rPr>
          <w:rFonts w:ascii="Arial" w:hAnsi="Arial" w:cs="Arial"/>
          <w:b/>
          <w:snapToGrid w:val="0"/>
          <w:sz w:val="22"/>
          <w:szCs w:val="22"/>
        </w:rPr>
        <w:t xml:space="preserve"> Vyškov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6A5DD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6A5DD7">
        <w:rPr>
          <w:rFonts w:ascii="Arial" w:hAnsi="Arial" w:cs="Arial"/>
          <w:snapToGrid w:val="0"/>
          <w:sz w:val="22"/>
          <w:szCs w:val="22"/>
        </w:rPr>
        <w:t>Palánek</w:t>
      </w:r>
      <w:proofErr w:type="spellEnd"/>
      <w:r w:rsidR="006A5DD7">
        <w:rPr>
          <w:rFonts w:ascii="Arial" w:hAnsi="Arial" w:cs="Arial"/>
          <w:snapToGrid w:val="0"/>
          <w:sz w:val="22"/>
          <w:szCs w:val="22"/>
        </w:rPr>
        <w:t xml:space="preserve"> 250/1, 682 01 Vyškov.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2D32901C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6A5DD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6A5DD7">
        <w:rPr>
          <w:rFonts w:ascii="Arial" w:hAnsi="Arial" w:cs="Arial"/>
          <w:sz w:val="22"/>
          <w:szCs w:val="22"/>
        </w:rPr>
        <w:t xml:space="preserve"> Vyškov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8C2DD6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113D29A9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6A5DD7">
        <w:rPr>
          <w:rFonts w:ascii="Arial" w:hAnsi="Arial" w:cs="Arial"/>
          <w:sz w:val="22"/>
          <w:szCs w:val="22"/>
        </w:rPr>
        <w:t>Brno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6A5DD7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EB72A5A" w:rsidR="00BB303E" w:rsidRPr="00014665" w:rsidRDefault="006A5DD7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BB303E" w:rsidRPr="006A5DD7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392BE0E5" w:rsidR="00BB303E" w:rsidRPr="00014665" w:rsidRDefault="006A5DD7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BB303E" w:rsidRPr="006A5DD7">
        <w:rPr>
          <w:rFonts w:ascii="Arial" w:hAnsi="Arial" w:cs="Arial"/>
          <w:sz w:val="22"/>
          <w:szCs w:val="22"/>
          <w:highlight w:val="yellow"/>
        </w:rPr>
        <w:t>…………</w:t>
      </w:r>
    </w:p>
    <w:bookmarkEnd w:id="1"/>
    <w:p w14:paraId="6E0FC991" w14:textId="57FFBEC3" w:rsidR="00C15359" w:rsidRDefault="006A5DD7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Krajského pozemkového úřadu pro Jihomoravský kraj</w:t>
      </w:r>
    </w:p>
    <w:p w14:paraId="7F77EA26" w14:textId="77777777" w:rsidR="006A5DD7" w:rsidRPr="00014665" w:rsidRDefault="006A5DD7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044D73D" w14:textId="6E42897F" w:rsidR="00162021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  <w:r w:rsidR="006A5DD7">
        <w:rPr>
          <w:rFonts w:ascii="Arial" w:hAnsi="Arial" w:cs="Arial"/>
          <w:sz w:val="22"/>
          <w:szCs w:val="22"/>
        </w:rPr>
        <w:t xml:space="preserve"> v</w:t>
      </w:r>
      <w:r w:rsidR="00162021">
        <w:rPr>
          <w:rFonts w:ascii="Arial" w:hAnsi="Arial" w:cs="Arial"/>
          <w:sz w:val="22"/>
          <w:szCs w:val="22"/>
        </w:rPr>
        <w:t> </w:t>
      </w:r>
      <w:r w:rsidR="006A5DD7">
        <w:rPr>
          <w:rFonts w:ascii="Arial" w:hAnsi="Arial" w:cs="Arial"/>
          <w:sz w:val="22"/>
          <w:szCs w:val="22"/>
        </w:rPr>
        <w:t>okrese</w:t>
      </w:r>
      <w:r w:rsidR="00162021">
        <w:rPr>
          <w:rFonts w:ascii="Arial" w:hAnsi="Arial" w:cs="Arial"/>
          <w:sz w:val="22"/>
          <w:szCs w:val="22"/>
        </w:rPr>
        <w:t xml:space="preserve"> Vyškov</w:t>
      </w:r>
    </w:p>
    <w:p w14:paraId="11EEA510" w14:textId="77777777" w:rsidR="00162021" w:rsidRDefault="0016202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F156C8E" w14:textId="77777777" w:rsidR="00162021" w:rsidRDefault="0016202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E98EE16" w14:textId="77777777" w:rsidR="00162021" w:rsidRDefault="0016202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817DE2D" w14:textId="3C240DB1" w:rsidR="00162021" w:rsidRPr="004A0A62" w:rsidRDefault="00162021" w:rsidP="00162021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4A0A62">
        <w:rPr>
          <w:rFonts w:ascii="Arial" w:hAnsi="Arial" w:cs="Arial"/>
          <w:b/>
          <w:bCs/>
          <w:sz w:val="22"/>
          <w:szCs w:val="22"/>
        </w:rPr>
        <w:t>Příloha č. 1 Seznam vytyčovaných pozemků</w:t>
      </w:r>
      <w:r>
        <w:rPr>
          <w:rFonts w:ascii="Arial" w:hAnsi="Arial" w:cs="Arial"/>
          <w:b/>
          <w:bCs/>
          <w:sz w:val="22"/>
          <w:szCs w:val="22"/>
        </w:rPr>
        <w:t xml:space="preserve"> s uvedeným katastrálního území v okrese Vyškov</w:t>
      </w:r>
    </w:p>
    <w:p w14:paraId="1DC58626" w14:textId="77777777" w:rsidR="00162021" w:rsidRDefault="0016202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7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560"/>
        <w:gridCol w:w="1840"/>
        <w:gridCol w:w="1860"/>
      </w:tblGrid>
      <w:tr w:rsidR="00162021" w:rsidRPr="00162021" w14:paraId="2FFEA6D3" w14:textId="77777777" w:rsidTr="00162021">
        <w:trPr>
          <w:trHeight w:val="87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15B7E3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A3C465A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6397BA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Předpokládaný počet MJ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09AC8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Předpokládaný počet lomových bodů</w:t>
            </w:r>
          </w:p>
        </w:tc>
      </w:tr>
      <w:tr w:rsidR="00162021" w:rsidRPr="00162021" w14:paraId="33A7A3A1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2C105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 Otnice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C3CAE3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6077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39CA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5 MJ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F4AD42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7 bodů</w:t>
            </w:r>
          </w:p>
        </w:tc>
      </w:tr>
      <w:tr w:rsidR="00162021" w:rsidRPr="00162021" w14:paraId="31A0C17F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3D2B7C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 Letonice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9FF46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6559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3085C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7 MJ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E4626E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7 bodů</w:t>
            </w:r>
          </w:p>
        </w:tc>
      </w:tr>
      <w:tr w:rsidR="00162021" w:rsidRPr="00162021" w14:paraId="13FDFFA5" w14:textId="77777777" w:rsidTr="00162021">
        <w:trPr>
          <w:trHeight w:val="40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2BED11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 Mouřínov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32A467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3032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EDBD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26233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13950CB9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450A80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 Mouřínov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DB094C2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3083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47C285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 MJ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E65D3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25 bodů</w:t>
            </w:r>
          </w:p>
        </w:tc>
      </w:tr>
      <w:tr w:rsidR="00162021" w:rsidRPr="00162021" w14:paraId="212B8A95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15CA1B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F750CA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2D32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49D2DE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704015E5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703A64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7CD403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4E16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66510D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7E0EBEC7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94D88B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44395F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A211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AB349F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6DE52FD7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B9E4C9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Vícemilice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48ABCAC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750188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11 MJ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8795F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40 bodů</w:t>
            </w:r>
          </w:p>
        </w:tc>
      </w:tr>
      <w:tr w:rsidR="00162021" w:rsidRPr="00162021" w14:paraId="1DBF26F7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692E64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Heršpice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25595E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3546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36FA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63E7C5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17D698B1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46A6A0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Heršpice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731A3F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3575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BFB8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41F811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4C669967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AC8316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Heršpice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2DB317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3532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59DE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504B54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2021" w:rsidRPr="00162021" w14:paraId="61E4D2F2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17E4A1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 xml:space="preserve"> Heršpice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AAAB0A9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3533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47F166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18 MJ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4C420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color w:val="000000"/>
                <w:sz w:val="22"/>
                <w:szCs w:val="22"/>
              </w:rPr>
              <w:t>25 bodů</w:t>
            </w:r>
          </w:p>
        </w:tc>
      </w:tr>
      <w:tr w:rsidR="00162021" w:rsidRPr="00162021" w14:paraId="790DEF4F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D6728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B29D2" w14:textId="77777777" w:rsidR="00162021" w:rsidRPr="00162021" w:rsidRDefault="00162021" w:rsidP="00162021">
            <w:pPr>
              <w:spacing w:before="0"/>
              <w:ind w:left="0"/>
              <w:jc w:val="center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03149" w14:textId="77777777" w:rsidR="00162021" w:rsidRPr="00162021" w:rsidRDefault="00162021" w:rsidP="00162021">
            <w:pPr>
              <w:spacing w:before="0"/>
              <w:ind w:left="0"/>
              <w:jc w:val="center"/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88BF" w14:textId="77777777" w:rsidR="00162021" w:rsidRPr="00162021" w:rsidRDefault="00162021" w:rsidP="00162021">
            <w:pPr>
              <w:spacing w:before="0"/>
              <w:ind w:left="0"/>
              <w:jc w:val="center"/>
            </w:pPr>
          </w:p>
        </w:tc>
      </w:tr>
      <w:tr w:rsidR="00162021" w:rsidRPr="00162021" w14:paraId="250E59AF" w14:textId="77777777" w:rsidTr="00162021">
        <w:trPr>
          <w:trHeight w:val="40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A781" w14:textId="77777777" w:rsidR="00162021" w:rsidRPr="00162021" w:rsidRDefault="00162021" w:rsidP="00162021">
            <w:pPr>
              <w:spacing w:before="0"/>
              <w:ind w:left="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D8CE" w14:textId="77777777" w:rsidR="00162021" w:rsidRPr="00162021" w:rsidRDefault="00162021" w:rsidP="0016202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A219D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 MJ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86884" w14:textId="77777777" w:rsidR="00162021" w:rsidRPr="00162021" w:rsidRDefault="00162021" w:rsidP="0016202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6202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104 bodů</w:t>
            </w:r>
          </w:p>
        </w:tc>
      </w:tr>
    </w:tbl>
    <w:p w14:paraId="2B2679E1" w14:textId="0E14B960" w:rsidR="008B50BB" w:rsidRPr="00014665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B50BB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CC37" w14:textId="77777777" w:rsidR="00FF77DA" w:rsidRDefault="00FF77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1DC0" w14:textId="77777777" w:rsidR="00FF77DA" w:rsidRDefault="00FF77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9D9A" w14:textId="77777777" w:rsidR="00FF77DA" w:rsidRDefault="00FF7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38C2F1CB" w:rsidR="00FF0C21" w:rsidRPr="00DC4D21" w:rsidRDefault="00923E83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923E83">
      <w:rPr>
        <w:rFonts w:ascii="Arial" w:hAnsi="Arial" w:cs="Arial"/>
        <w:sz w:val="16"/>
        <w:szCs w:val="16"/>
      </w:rPr>
      <w:t>JMK/4_VY_OTNICE_LETONICE_MOUŘÍNOV_VÍCEMILICE_HERŠPICE_VYTÝČENÍ PO KOPÚ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5E198D9F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AF3885">
      <w:rPr>
        <w:rFonts w:ascii="Arial" w:hAnsi="Arial" w:cs="Arial"/>
        <w:sz w:val="16"/>
        <w:szCs w:val="16"/>
      </w:rPr>
      <w:t>100-2026-523205</w:t>
    </w:r>
    <w:r w:rsidRPr="00FF7DBF">
      <w:rPr>
        <w:rFonts w:ascii="Arial" w:hAnsi="Arial" w:cs="Arial"/>
        <w:sz w:val="16"/>
        <w:szCs w:val="16"/>
      </w:rPr>
      <w:tab/>
    </w:r>
  </w:p>
  <w:p w14:paraId="4855AD84" w14:textId="71ADBA58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FF77DA">
      <w:rPr>
        <w:rFonts w:ascii="Arial" w:hAnsi="Arial" w:cs="Arial"/>
        <w:sz w:val="16"/>
        <w:szCs w:val="16"/>
      </w:rPr>
      <w:t xml:space="preserve"> </w:t>
    </w:r>
    <w:r w:rsidR="00FF77DA" w:rsidRPr="00FF77DA">
      <w:rPr>
        <w:rFonts w:ascii="Arial" w:hAnsi="Arial" w:cs="Arial"/>
        <w:sz w:val="16"/>
        <w:szCs w:val="16"/>
      </w:rPr>
      <w:t>spudms00000016396721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3A4A09D9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923E83" w:rsidRPr="00923E83">
      <w:rPr>
        <w:rFonts w:ascii="Arial" w:hAnsi="Arial" w:cs="Arial"/>
        <w:sz w:val="16"/>
        <w:szCs w:val="16"/>
      </w:rPr>
      <w:t>JMK/4_VY_OTNICE_LETONICE_MOUŘÍNOV_VÍCEMILICE_</w:t>
    </w:r>
    <w:r w:rsidR="00923E83">
      <w:rPr>
        <w:rFonts w:ascii="Arial" w:hAnsi="Arial" w:cs="Arial"/>
        <w:sz w:val="16"/>
        <w:szCs w:val="16"/>
      </w:rPr>
      <w:br/>
      <w:t xml:space="preserve">                                                                                                      </w:t>
    </w:r>
    <w:r w:rsidR="00923E83" w:rsidRPr="00923E83">
      <w:rPr>
        <w:rFonts w:ascii="Arial" w:hAnsi="Arial" w:cs="Arial"/>
        <w:sz w:val="16"/>
        <w:szCs w:val="16"/>
      </w:rPr>
      <w:t xml:space="preserve">HERŠPICE_VYTÝČENÍ PO KOPÚ 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464CE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35DA5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2021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6A0F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279FC"/>
    <w:rsid w:val="00632F9C"/>
    <w:rsid w:val="0063482B"/>
    <w:rsid w:val="00635B3C"/>
    <w:rsid w:val="006422C8"/>
    <w:rsid w:val="00642F72"/>
    <w:rsid w:val="00643337"/>
    <w:rsid w:val="00644DF0"/>
    <w:rsid w:val="00646E9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00E7"/>
    <w:rsid w:val="00681860"/>
    <w:rsid w:val="006858DE"/>
    <w:rsid w:val="006902C6"/>
    <w:rsid w:val="006A2316"/>
    <w:rsid w:val="006A5DD7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2DD6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3E83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28CD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AF3885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B4162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0EC1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07D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6F12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7DA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4940</Words>
  <Characters>29150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Šojdr Patrik Ing.</cp:lastModifiedBy>
  <cp:revision>11</cp:revision>
  <cp:lastPrinted>2019-05-02T06:41:00Z</cp:lastPrinted>
  <dcterms:created xsi:type="dcterms:W3CDTF">2026-02-17T14:14:00Z</dcterms:created>
  <dcterms:modified xsi:type="dcterms:W3CDTF">2026-02-24T09:16:00Z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