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1024/11a, 130 00 Praha 3</w:t>
      </w:r>
      <w:bookmarkEnd w:id="0"/>
    </w:p>
    <w:p w14:paraId="78D6368F" w14:textId="25E053E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>Krajský pozemkový úřad</w:t>
      </w:r>
      <w:r w:rsidR="00A969A0">
        <w:rPr>
          <w:rFonts w:cs="Arial"/>
          <w:b/>
          <w:szCs w:val="24"/>
        </w:rPr>
        <w:t xml:space="preserve"> pro Ústecký kraj</w:t>
      </w:r>
    </w:p>
    <w:p w14:paraId="4CF8149E" w14:textId="36E47C70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A969A0">
        <w:rPr>
          <w:rFonts w:cs="Arial"/>
          <w:b/>
          <w:szCs w:val="24"/>
        </w:rPr>
        <w:t xml:space="preserve"> Husitská 1071/2, 415 01 Teplice</w:t>
      </w:r>
    </w:p>
    <w:p w14:paraId="643BD739" w14:textId="32618B24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Pobočka </w:t>
      </w:r>
      <w:r w:rsidR="00A969A0">
        <w:rPr>
          <w:rFonts w:cs="Arial"/>
          <w:b/>
          <w:szCs w:val="24"/>
        </w:rPr>
        <w:t>Teplice</w:t>
      </w:r>
    </w:p>
    <w:p w14:paraId="66BCA023" w14:textId="79F6A7EA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A969A0">
        <w:rPr>
          <w:rFonts w:cs="Arial"/>
          <w:b/>
          <w:szCs w:val="24"/>
        </w:rPr>
        <w:t xml:space="preserve"> Masarykova 2421/66, 415 01 Teplice</w:t>
      </w:r>
    </w:p>
    <w:p w14:paraId="2263D161" w14:textId="77777777" w:rsidR="00A969A0" w:rsidRDefault="00E24120" w:rsidP="00A969A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zastoupený: </w:t>
      </w:r>
      <w:r w:rsidR="00A969A0">
        <w:rPr>
          <w:rFonts w:eastAsia="Lucida Sans Unicode" w:cs="Arial"/>
          <w:szCs w:val="24"/>
        </w:rPr>
        <w:t xml:space="preserve">Mgr. Jaroslavou Kosejkovou, ředitelkou Krajského pozemkového úřadu </w:t>
      </w:r>
    </w:p>
    <w:p w14:paraId="023243C8" w14:textId="3D76D75C" w:rsidR="00A969A0" w:rsidRDefault="00A969A0" w:rsidP="00A969A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 xml:space="preserve">                                                                    pro Ústecký kraj</w:t>
      </w:r>
    </w:p>
    <w:p w14:paraId="22175DBC" w14:textId="77777777" w:rsidR="00A969A0" w:rsidRDefault="00E24120" w:rsidP="00A969A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="00A969A0">
        <w:rPr>
          <w:rFonts w:eastAsia="Lucida Sans Unicode" w:cs="Arial"/>
          <w:szCs w:val="24"/>
        </w:rPr>
        <w:t xml:space="preserve"> Mgr. Jaroslava Kosejková, ředitelka Krajského</w:t>
      </w:r>
    </w:p>
    <w:p w14:paraId="7118FC3B" w14:textId="2A553FAC" w:rsidR="00E24120" w:rsidRDefault="00A969A0" w:rsidP="00A969A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 xml:space="preserve">                                                                        pozemkového úřadu pro Ústecký kraj</w:t>
      </w:r>
    </w:p>
    <w:p w14:paraId="1910D850" w14:textId="77777777" w:rsidR="00FA7EE2" w:rsidRPr="00E24120" w:rsidRDefault="00FA7EE2" w:rsidP="00A969A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szCs w:val="24"/>
        </w:rPr>
      </w:pPr>
    </w:p>
    <w:p w14:paraId="7257B994" w14:textId="3B626362" w:rsidR="00E24120" w:rsidRDefault="00E24120" w:rsidP="00A969A0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napToGrid w:val="0"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Pr="00E24120">
        <w:rPr>
          <w:rFonts w:eastAsia="Lucida Sans Unicode" w:cs="Arial"/>
          <w:snapToGrid w:val="0"/>
          <w:szCs w:val="24"/>
        </w:rPr>
        <w:tab/>
      </w:r>
      <w:r w:rsidR="00A969A0">
        <w:rPr>
          <w:rFonts w:eastAsia="Lucida Sans Unicode" w:cs="Arial"/>
          <w:snapToGrid w:val="0"/>
          <w:szCs w:val="24"/>
        </w:rPr>
        <w:t>Hana Němcová, Pobočka Teplice</w:t>
      </w:r>
    </w:p>
    <w:p w14:paraId="2A7769CA" w14:textId="32027F0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Tel.:</w:t>
      </w:r>
      <w:r w:rsidRPr="00E24120">
        <w:rPr>
          <w:rFonts w:eastAsia="Lucida Sans Unicode" w:cs="Arial"/>
          <w:szCs w:val="24"/>
        </w:rPr>
        <w:tab/>
        <w:t>+420</w:t>
      </w:r>
      <w:r w:rsidR="00A969A0">
        <w:rPr>
          <w:rFonts w:eastAsia="Lucida Sans Unicode" w:cs="Arial"/>
          <w:szCs w:val="24"/>
        </w:rPr>
        <w:t> 725 032 215</w:t>
      </w:r>
    </w:p>
    <w:p w14:paraId="42222A26" w14:textId="711BF369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E-mail:</w:t>
      </w:r>
      <w:r w:rsidRPr="00E24120">
        <w:rPr>
          <w:rFonts w:eastAsia="Lucida Sans Unicode" w:cs="Arial"/>
          <w:szCs w:val="24"/>
        </w:rPr>
        <w:tab/>
      </w:r>
      <w:r w:rsidR="00A969A0">
        <w:rPr>
          <w:rFonts w:eastAsia="Lucida Sans Unicode" w:cs="Arial"/>
          <w:szCs w:val="24"/>
        </w:rPr>
        <w:t>hana.nemcova</w:t>
      </w:r>
      <w:r w:rsidRPr="00E24120">
        <w:rPr>
          <w:rFonts w:eastAsia="Lucida Sans Unicode" w:cs="Arial"/>
          <w:szCs w:val="24"/>
        </w:rPr>
        <w:t>@spu</w:t>
      </w:r>
      <w:r w:rsidR="00BE1A2A">
        <w:rPr>
          <w:rFonts w:eastAsia="Lucida Sans Unicode" w:cs="Arial"/>
          <w:szCs w:val="24"/>
        </w:rPr>
        <w:t>.gov</w:t>
      </w:r>
      <w:r w:rsidRPr="00E24120">
        <w:rPr>
          <w:rFonts w:eastAsia="Lucida Sans Unicode" w:cs="Arial"/>
          <w:szCs w:val="24"/>
        </w:rPr>
        <w:t>.cz</w:t>
      </w:r>
    </w:p>
    <w:p w14:paraId="3C89C213" w14:textId="77777777" w:rsidR="00FA7EE2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</w:r>
    </w:p>
    <w:p w14:paraId="33B7BD63" w14:textId="56B30DBF" w:rsidR="00E24120" w:rsidRPr="00E24120" w:rsidRDefault="00FA7EE2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 xml:space="preserve">     </w:t>
      </w:r>
      <w:r w:rsidR="00E24120" w:rsidRPr="00E24120">
        <w:rPr>
          <w:rFonts w:eastAsia="Lucida Sans Unicode" w:cs="Arial"/>
          <w:szCs w:val="24"/>
        </w:rPr>
        <w:t>ID DS:</w:t>
      </w:r>
      <w:r w:rsidR="00E24120" w:rsidRPr="00E24120">
        <w:rPr>
          <w:rFonts w:eastAsia="Lucida Sans Unicode" w:cs="Arial"/>
          <w:szCs w:val="24"/>
        </w:rPr>
        <w:tab/>
        <w:t>z49per3</w:t>
      </w:r>
    </w:p>
    <w:p w14:paraId="2AE940AE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2A1C94BB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bookmarkStart w:id="1" w:name="_Hlk221618739"/>
      <w:r w:rsidR="00A77E2D">
        <w:rPr>
          <w:rFonts w:cs="Arial"/>
          <w:b/>
          <w:bCs/>
          <w:snapToGrid w:val="0"/>
          <w:szCs w:val="24"/>
        </w:rPr>
        <w:t>Ing. Josef Bureš</w:t>
      </w:r>
    </w:p>
    <w:p w14:paraId="5DB18FEB" w14:textId="43FFA7B4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20741B">
        <w:rPr>
          <w:rFonts w:cs="Arial"/>
          <w:b/>
          <w:bCs/>
          <w:snapToGrid w:val="0"/>
          <w:szCs w:val="24"/>
        </w:rPr>
        <w:t xml:space="preserve">Pecínovská 79, </w:t>
      </w:r>
      <w:r w:rsidR="0020741B" w:rsidRPr="0020741B">
        <w:rPr>
          <w:rFonts w:cs="Arial"/>
          <w:b/>
          <w:bCs/>
          <w:snapToGrid w:val="0"/>
          <w:szCs w:val="24"/>
        </w:rPr>
        <w:t>271 01 Nové Strašecí</w:t>
      </w:r>
    </w:p>
    <w:bookmarkEnd w:id="1"/>
    <w:p w14:paraId="7FEB2147" w14:textId="31905235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="0020741B">
        <w:rPr>
          <w:rFonts w:cs="Arial"/>
          <w:szCs w:val="24"/>
        </w:rPr>
        <w:tab/>
      </w:r>
      <w:r w:rsidR="0020741B">
        <w:rPr>
          <w:rFonts w:cs="Arial"/>
          <w:szCs w:val="24"/>
        </w:rPr>
        <w:tab/>
      </w:r>
      <w:bookmarkStart w:id="2" w:name="_Hlk221618763"/>
      <w:r w:rsidR="0020741B">
        <w:rPr>
          <w:rFonts w:cs="Arial"/>
          <w:b/>
          <w:bCs/>
          <w:snapToGrid w:val="0"/>
          <w:szCs w:val="24"/>
        </w:rPr>
        <w:t>Ing. Josefem Burešem</w:t>
      </w:r>
    </w:p>
    <w:p w14:paraId="1CADCE41" w14:textId="31FDA08B" w:rsidR="0020741B" w:rsidRPr="0020741B" w:rsidRDefault="00E24120" w:rsidP="002074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="0020741B">
        <w:rPr>
          <w:rFonts w:cs="Arial"/>
          <w:szCs w:val="24"/>
        </w:rPr>
        <w:tab/>
      </w:r>
      <w:r w:rsidR="00300F22">
        <w:rPr>
          <w:rFonts w:cs="Arial"/>
          <w:b/>
          <w:bCs/>
          <w:snapToGrid w:val="0"/>
          <w:szCs w:val="24"/>
        </w:rPr>
        <w:t>XXXXXXXXX</w:t>
      </w:r>
    </w:p>
    <w:p w14:paraId="1C793700" w14:textId="12AE1E5D" w:rsidR="00E24120" w:rsidRPr="0020741B" w:rsidRDefault="00E24120" w:rsidP="002074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bCs/>
          <w:snapToGrid w:val="0"/>
          <w:szCs w:val="24"/>
        </w:rPr>
      </w:pPr>
      <w:r w:rsidRPr="0020741B">
        <w:rPr>
          <w:rFonts w:cs="Arial"/>
          <w:szCs w:val="24"/>
        </w:rPr>
        <w:tab/>
        <w:t>E-mail:</w:t>
      </w:r>
      <w:r w:rsidRPr="0020741B">
        <w:rPr>
          <w:rFonts w:cs="Arial"/>
          <w:szCs w:val="24"/>
        </w:rPr>
        <w:tab/>
      </w:r>
      <w:r w:rsidR="0020741B">
        <w:rPr>
          <w:rFonts w:cs="Arial"/>
          <w:szCs w:val="24"/>
        </w:rPr>
        <w:tab/>
      </w:r>
      <w:r w:rsidR="00300F22">
        <w:rPr>
          <w:rFonts w:cs="Arial"/>
          <w:b/>
          <w:bCs/>
          <w:snapToGrid w:val="0"/>
          <w:szCs w:val="24"/>
        </w:rPr>
        <w:t>XXXXXXXXX</w:t>
      </w:r>
    </w:p>
    <w:p w14:paraId="713FCF24" w14:textId="734AB7F4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20741B">
        <w:rPr>
          <w:rFonts w:cs="Arial"/>
          <w:snapToGrid w:val="0"/>
          <w:szCs w:val="24"/>
        </w:rPr>
        <w:tab/>
        <w:t>ID DS:</w:t>
      </w:r>
      <w:r w:rsidRPr="0020741B">
        <w:rPr>
          <w:rFonts w:cs="Arial"/>
          <w:bCs/>
          <w:snapToGrid w:val="0"/>
          <w:szCs w:val="24"/>
        </w:rPr>
        <w:tab/>
      </w:r>
      <w:r w:rsidR="0020741B">
        <w:rPr>
          <w:rFonts w:cs="Arial"/>
          <w:bCs/>
          <w:snapToGrid w:val="0"/>
          <w:szCs w:val="24"/>
        </w:rPr>
        <w:tab/>
      </w:r>
      <w:r w:rsidR="00300F22">
        <w:rPr>
          <w:rFonts w:cs="Arial"/>
          <w:b/>
          <w:bCs/>
          <w:snapToGrid w:val="0"/>
          <w:szCs w:val="24"/>
        </w:rPr>
        <w:t>XXXXXXXXX</w:t>
      </w:r>
    </w:p>
    <w:p w14:paraId="37FA979B" w14:textId="290DB019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="0020741B">
        <w:rPr>
          <w:rFonts w:cs="Arial"/>
          <w:szCs w:val="24"/>
        </w:rPr>
        <w:tab/>
      </w:r>
      <w:r w:rsidRPr="00E24120">
        <w:rPr>
          <w:rFonts w:cs="Arial"/>
          <w:szCs w:val="24"/>
        </w:rPr>
        <w:tab/>
      </w:r>
      <w:r w:rsidR="00300F22">
        <w:rPr>
          <w:rFonts w:cs="Arial"/>
          <w:b/>
          <w:bCs/>
          <w:snapToGrid w:val="0"/>
          <w:szCs w:val="24"/>
        </w:rPr>
        <w:t>XXXXXXXXX</w:t>
      </w:r>
    </w:p>
    <w:p w14:paraId="5B30D7E8" w14:textId="063EFB35" w:rsidR="0020741B" w:rsidRDefault="00E24120" w:rsidP="002074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="0020741B">
        <w:rPr>
          <w:rFonts w:cs="Arial"/>
          <w:szCs w:val="24"/>
        </w:rPr>
        <w:tab/>
      </w:r>
      <w:r w:rsidR="00300F22">
        <w:rPr>
          <w:rFonts w:cs="Arial"/>
          <w:b/>
          <w:bCs/>
          <w:snapToGrid w:val="0"/>
          <w:szCs w:val="24"/>
        </w:rPr>
        <w:t>XXXXXXXXX</w:t>
      </w:r>
      <w:r w:rsidR="00300F22" w:rsidRPr="0020741B">
        <w:rPr>
          <w:rFonts w:cs="Arial"/>
          <w:b/>
          <w:bCs/>
          <w:snapToGrid w:val="0"/>
          <w:szCs w:val="24"/>
        </w:rPr>
        <w:t xml:space="preserve"> </w:t>
      </w:r>
    </w:p>
    <w:p w14:paraId="71474C21" w14:textId="2078FA51" w:rsidR="00E24120" w:rsidRPr="00E24120" w:rsidRDefault="00E24120" w:rsidP="002074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="0020741B">
        <w:rPr>
          <w:rFonts w:cs="Arial"/>
          <w:szCs w:val="24"/>
        </w:rPr>
        <w:tab/>
      </w:r>
      <w:r w:rsidR="00300F22">
        <w:rPr>
          <w:rFonts w:cs="Arial"/>
          <w:b/>
          <w:bCs/>
          <w:snapToGrid w:val="0"/>
          <w:szCs w:val="24"/>
        </w:rPr>
        <w:t>XXXXXXXXX</w:t>
      </w:r>
    </w:p>
    <w:p w14:paraId="33FDEAC0" w14:textId="40EBDE8B" w:rsidR="0020741B" w:rsidRPr="0020741B" w:rsidRDefault="00E24120" w:rsidP="002074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Bankovní spojení:</w:t>
      </w:r>
      <w:r w:rsidRPr="00E24120">
        <w:rPr>
          <w:rFonts w:cs="Arial"/>
          <w:szCs w:val="24"/>
        </w:rPr>
        <w:tab/>
      </w:r>
      <w:r w:rsidR="0020741B">
        <w:rPr>
          <w:rFonts w:cs="Arial"/>
          <w:szCs w:val="24"/>
        </w:rPr>
        <w:tab/>
      </w:r>
      <w:r w:rsidR="00300F22">
        <w:rPr>
          <w:rFonts w:cs="Arial"/>
          <w:b/>
          <w:bCs/>
          <w:snapToGrid w:val="0"/>
          <w:szCs w:val="24"/>
        </w:rPr>
        <w:t>XXXXXXXXX</w:t>
      </w:r>
    </w:p>
    <w:p w14:paraId="5F20A7A3" w14:textId="08C74287" w:rsidR="00E24120" w:rsidRPr="00E24120" w:rsidRDefault="00E24120" w:rsidP="002074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20741B">
        <w:rPr>
          <w:rFonts w:cs="Arial"/>
          <w:szCs w:val="24"/>
        </w:rPr>
        <w:tab/>
        <w:t>Číslo účtu:</w:t>
      </w:r>
      <w:r w:rsidRPr="0020741B">
        <w:rPr>
          <w:rFonts w:cs="Arial"/>
          <w:szCs w:val="24"/>
        </w:rPr>
        <w:tab/>
      </w:r>
      <w:r w:rsidR="0020741B" w:rsidRPr="0020741B">
        <w:rPr>
          <w:rFonts w:cs="Arial"/>
          <w:szCs w:val="24"/>
        </w:rPr>
        <w:tab/>
      </w:r>
      <w:r w:rsidR="00300F22">
        <w:rPr>
          <w:rFonts w:cs="Arial"/>
          <w:b/>
          <w:bCs/>
          <w:snapToGrid w:val="0"/>
          <w:szCs w:val="24"/>
        </w:rPr>
        <w:t>XXXXXXXXX</w:t>
      </w:r>
    </w:p>
    <w:p w14:paraId="02CC041E" w14:textId="5DF58B41" w:rsidR="00E24120" w:rsidRPr="0020741B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lastRenderedPageBreak/>
        <w:tab/>
        <w:t>IČO:</w:t>
      </w:r>
      <w:r w:rsidRPr="00E24120">
        <w:rPr>
          <w:rFonts w:cs="Arial"/>
          <w:szCs w:val="24"/>
        </w:rPr>
        <w:tab/>
      </w:r>
      <w:r w:rsidR="0020741B" w:rsidRPr="0020741B">
        <w:rPr>
          <w:rFonts w:cs="Arial"/>
          <w:b/>
          <w:bCs/>
          <w:snapToGrid w:val="0"/>
          <w:szCs w:val="24"/>
        </w:rPr>
        <w:t>48685267</w:t>
      </w:r>
    </w:p>
    <w:p w14:paraId="67C69597" w14:textId="082C124F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20741B">
        <w:rPr>
          <w:rFonts w:cs="Arial"/>
          <w:szCs w:val="24"/>
        </w:rPr>
        <w:tab/>
        <w:t>DIČ:</w:t>
      </w:r>
      <w:r w:rsidRPr="0020741B">
        <w:rPr>
          <w:rFonts w:cs="Arial"/>
          <w:szCs w:val="24"/>
        </w:rPr>
        <w:tab/>
      </w:r>
      <w:r w:rsidR="0020741B" w:rsidRPr="0020741B">
        <w:rPr>
          <w:rFonts w:cs="Arial"/>
          <w:b/>
          <w:bCs/>
          <w:snapToGrid w:val="0"/>
          <w:szCs w:val="24"/>
        </w:rPr>
        <w:t xml:space="preserve">CZ6804161925 </w:t>
      </w:r>
      <w:r w:rsidRPr="0020741B">
        <w:rPr>
          <w:rFonts w:cs="Arial"/>
          <w:b/>
          <w:bCs/>
          <w:snapToGrid w:val="0"/>
          <w:szCs w:val="24"/>
        </w:rPr>
        <w:t>je</w:t>
      </w:r>
      <w:r w:rsidR="0020741B" w:rsidRPr="0020741B">
        <w:rPr>
          <w:rFonts w:cs="Arial"/>
          <w:b/>
          <w:bCs/>
          <w:snapToGrid w:val="0"/>
          <w:szCs w:val="24"/>
        </w:rPr>
        <w:t xml:space="preserve"> </w:t>
      </w:r>
      <w:r w:rsidRPr="0020741B">
        <w:rPr>
          <w:rFonts w:cs="Arial"/>
          <w:b/>
          <w:bCs/>
          <w:snapToGrid w:val="0"/>
          <w:szCs w:val="24"/>
        </w:rPr>
        <w:t>plátcem DPH</w:t>
      </w:r>
    </w:p>
    <w:p w14:paraId="48659F85" w14:textId="777FEDA2" w:rsidR="00E24120" w:rsidRPr="00E24120" w:rsidRDefault="00E24120" w:rsidP="0020741B">
      <w:pPr>
        <w:spacing w:line="280" w:lineRule="exact"/>
        <w:jc w:val="both"/>
        <w:rPr>
          <w:rFonts w:cs="Arial"/>
          <w:szCs w:val="24"/>
        </w:rPr>
      </w:pPr>
      <w:bookmarkStart w:id="3" w:name="_Hlk221618780"/>
      <w:bookmarkEnd w:id="2"/>
      <w:r w:rsidRPr="00E24120">
        <w:rPr>
          <w:rFonts w:cs="Arial"/>
          <w:szCs w:val="24"/>
        </w:rPr>
        <w:t xml:space="preserve">Společnost je zapsaná v obchodním rejstříku vedeném u </w:t>
      </w:r>
      <w:r w:rsidR="0020741B" w:rsidRPr="0020741B">
        <w:rPr>
          <w:rFonts w:cs="Arial"/>
          <w:b/>
          <w:bCs/>
          <w:snapToGrid w:val="0"/>
          <w:szCs w:val="24"/>
        </w:rPr>
        <w:t>Obecního živnostenského úřadu Městského úřadu Rakovník</w:t>
      </w:r>
      <w:r w:rsidRPr="00E24120">
        <w:rPr>
          <w:rFonts w:cs="Arial"/>
          <w:szCs w:val="24"/>
        </w:rPr>
        <w:t xml:space="preserve">, </w:t>
      </w:r>
      <w:r w:rsidR="0020741B" w:rsidRPr="0020741B">
        <w:rPr>
          <w:rFonts w:cs="Arial"/>
          <w:szCs w:val="24"/>
        </w:rPr>
        <w:t>č.j.</w:t>
      </w:r>
      <w:r w:rsidR="0020741B">
        <w:rPr>
          <w:rFonts w:cs="Arial"/>
          <w:szCs w:val="24"/>
        </w:rPr>
        <w:t xml:space="preserve"> </w:t>
      </w:r>
      <w:r w:rsidR="0020741B" w:rsidRPr="0020741B">
        <w:rPr>
          <w:rFonts w:cs="Arial"/>
          <w:szCs w:val="24"/>
        </w:rPr>
        <w:t>ŽÚ3547/2009/2</w:t>
      </w:r>
    </w:p>
    <w:bookmarkEnd w:id="3"/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5D29765D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A969A0">
        <w:rPr>
          <w:rStyle w:val="l-L2Char"/>
          <w:rFonts w:cs="Arial"/>
          <w:szCs w:val="22"/>
        </w:rPr>
        <w:t>PSZ Kostomlaty pod Milešovkou</w:t>
      </w:r>
    </w:p>
    <w:p w14:paraId="3A68B3F3" w14:textId="77777777" w:rsidR="00A969A0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  <w:rFonts w:cs="Arial"/>
          <w:szCs w:val="22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A969A0">
        <w:rPr>
          <w:rStyle w:val="l-L2Char"/>
          <w:rFonts w:cs="Arial"/>
          <w:szCs w:val="22"/>
        </w:rPr>
        <w:t>k.ú. Kostomlaty pod Milešovkou</w:t>
      </w:r>
    </w:p>
    <w:p w14:paraId="5B55750A" w14:textId="77777777" w:rsidR="00A969A0" w:rsidRDefault="009B22A4" w:rsidP="00A969A0">
      <w:pPr>
        <w:pStyle w:val="l-L2"/>
        <w:tabs>
          <w:tab w:val="left" w:pos="851"/>
          <w:tab w:val="left" w:pos="2268"/>
        </w:tabs>
        <w:ind w:left="357"/>
        <w:rPr>
          <w:rStyle w:val="l-L2Char"/>
          <w:rFonts w:cs="Arial"/>
          <w:szCs w:val="22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Popis stavby:</w:t>
      </w:r>
    </w:p>
    <w:p w14:paraId="7877D7B2" w14:textId="17A0C834" w:rsidR="00A969A0" w:rsidRPr="005F0F87" w:rsidRDefault="00A969A0" w:rsidP="00A969A0">
      <w:pPr>
        <w:pStyle w:val="l-L2"/>
        <w:ind w:left="357"/>
      </w:pPr>
      <w:r>
        <w:t xml:space="preserve">Jedná se o vybudování protierozních průlehů PR 1, PR 2 a PR 3 doplněných o výsadbu zeleně (IP6, IP 7 a IP 8). Součástí jsou i přístupové komunikace – doplňkové polní cesty DC 39 R a DC 34. </w:t>
      </w:r>
      <w:r w:rsidRPr="005F0F87">
        <w:t>(dále jen „stavba“).</w:t>
      </w:r>
    </w:p>
    <w:p w14:paraId="681BA859" w14:textId="08165206" w:rsidR="00A969A0" w:rsidRDefault="00911160" w:rsidP="00A969A0">
      <w:pPr>
        <w:pStyle w:val="l-L2"/>
        <w:tabs>
          <w:tab w:val="left" w:pos="851"/>
          <w:tab w:val="left" w:pos="2268"/>
        </w:tabs>
        <w:ind w:left="357"/>
        <w:rPr>
          <w:rStyle w:val="l-L2Char"/>
          <w:rFonts w:cs="Arial"/>
          <w:szCs w:val="22"/>
        </w:rPr>
      </w:pPr>
      <w:r w:rsidRPr="005C59DC">
        <w:rPr>
          <w:rStyle w:val="l-L2Char"/>
          <w:rFonts w:cs="Arial"/>
          <w:szCs w:val="22"/>
        </w:rPr>
        <w:tab/>
      </w:r>
    </w:p>
    <w:p w14:paraId="28F9E596" w14:textId="0A15243B" w:rsidR="00911160" w:rsidRPr="009B22A4" w:rsidRDefault="00911160" w:rsidP="00A969A0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4" w:name="_Hlk16163141"/>
    </w:p>
    <w:p w14:paraId="5F732522" w14:textId="0EC8562D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661385">
        <w:t xml:space="preserve">výběrového </w:t>
      </w:r>
      <w:r w:rsidRPr="00397219">
        <w:t>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661385">
        <w:t>PSZ Kostomlaty pod Milešovkou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4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</w:t>
      </w:r>
      <w:r w:rsidR="00716FB1">
        <w:lastRenderedPageBreak/>
        <w:t xml:space="preserve">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5105E3C3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5765A8C5" w:rsidRPr="00661385">
        <w:rPr>
          <w:rFonts w:cs="Arial"/>
          <w:i/>
          <w:iCs/>
        </w:rPr>
        <w:t>výběrovém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lastRenderedPageBreak/>
        <w:t>Pojištění zhotovitele</w:t>
      </w:r>
    </w:p>
    <w:p w14:paraId="4B611416" w14:textId="60B8E5D5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661385">
        <w:t>500 000 Kč. Zh</w:t>
      </w:r>
      <w:r w:rsidRPr="00F16EEB">
        <w:t>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0D3C70" w:rsidRDefault="00B83F26" w:rsidP="00C76848">
      <w:pPr>
        <w:pStyle w:val="l-L1"/>
      </w:pPr>
      <w:r w:rsidRPr="000D3C70">
        <w:t xml:space="preserve">Cena předmětu </w:t>
      </w:r>
      <w:r w:rsidR="0085556B" w:rsidRPr="000D3C70">
        <w:t>díla</w:t>
      </w:r>
    </w:p>
    <w:p w14:paraId="3FF8B533" w14:textId="41408CC1" w:rsidR="007C5C7F" w:rsidRPr="000D3C70" w:rsidRDefault="00254993" w:rsidP="00A30016">
      <w:pPr>
        <w:pStyle w:val="l-L2"/>
        <w:numPr>
          <w:ilvl w:val="0"/>
          <w:numId w:val="6"/>
        </w:numPr>
        <w:rPr>
          <w:i/>
          <w:iCs/>
        </w:rPr>
      </w:pPr>
      <w:r w:rsidRPr="000D3C70">
        <w:rPr>
          <w:i/>
          <w:iCs/>
        </w:rPr>
        <w:t>Objednatel se zavazuje zaplatit zhotoviteli za</w:t>
      </w:r>
      <w:r w:rsidR="002F28FF" w:rsidRPr="000D3C70">
        <w:rPr>
          <w:i/>
          <w:iCs/>
        </w:rPr>
        <w:t xml:space="preserve"> řádné</w:t>
      </w:r>
      <w:r w:rsidRPr="000D3C70">
        <w:rPr>
          <w:i/>
          <w:iCs/>
        </w:rPr>
        <w:t xml:space="preserve"> provedení díla cenu ve </w:t>
      </w:r>
      <w:r w:rsidR="007C5C7F" w:rsidRPr="000D3C70">
        <w:rPr>
          <w:i/>
          <w:iCs/>
        </w:rPr>
        <w:t>výši</w:t>
      </w:r>
      <w:r w:rsidR="00924023" w:rsidRPr="000D3C70">
        <w:rPr>
          <w:i/>
          <w:iCs/>
        </w:rPr>
        <w:t xml:space="preserve"> </w:t>
      </w:r>
      <w:r w:rsidR="00676E91">
        <w:rPr>
          <w:i/>
          <w:iCs/>
        </w:rPr>
        <w:t xml:space="preserve">40 000,00 </w:t>
      </w:r>
      <w:r w:rsidR="007C5C7F" w:rsidRPr="000D3C70">
        <w:rPr>
          <w:i/>
          <w:iCs/>
        </w:rPr>
        <w:t>Kč bez</w:t>
      </w:r>
      <w:r w:rsidR="002973F2" w:rsidRPr="000D3C70">
        <w:rPr>
          <w:i/>
          <w:iCs/>
        </w:rPr>
        <w:t> </w:t>
      </w:r>
      <w:r w:rsidR="007C5C7F" w:rsidRPr="000D3C70">
        <w:rPr>
          <w:i/>
          <w:iCs/>
        </w:rPr>
        <w:t>DP</w:t>
      </w:r>
      <w:r w:rsidR="00761ABA" w:rsidRPr="000D3C70">
        <w:rPr>
          <w:i/>
          <w:iCs/>
        </w:rPr>
        <w:t>H</w:t>
      </w:r>
      <w:r w:rsidR="007C5C7F" w:rsidRPr="000D3C70">
        <w:rPr>
          <w:i/>
          <w:iCs/>
        </w:rPr>
        <w:t xml:space="preserve"> (slovy:</w:t>
      </w:r>
      <w:r w:rsidR="00676E91">
        <w:rPr>
          <w:i/>
          <w:iCs/>
        </w:rPr>
        <w:t xml:space="preserve"> </w:t>
      </w:r>
      <w:r w:rsidR="00676E91" w:rsidRPr="00676E91">
        <w:rPr>
          <w:i/>
          <w:iCs/>
        </w:rPr>
        <w:t>čtyřicettisíc</w:t>
      </w:r>
      <w:r w:rsidR="008E5BF1" w:rsidRPr="000D3C70">
        <w:rPr>
          <w:i/>
          <w:iCs/>
        </w:rPr>
        <w:t xml:space="preserve"> </w:t>
      </w:r>
      <w:r w:rsidR="005C23CD" w:rsidRPr="000D3C70">
        <w:rPr>
          <w:i/>
          <w:iCs/>
        </w:rPr>
        <w:t>korun</w:t>
      </w:r>
      <w:r w:rsidR="00CE7F49" w:rsidRPr="000D3C70">
        <w:rPr>
          <w:i/>
          <w:iCs/>
        </w:rPr>
        <w:t xml:space="preserve"> </w:t>
      </w:r>
      <w:r w:rsidR="005C23CD" w:rsidRPr="000D3C70">
        <w:rPr>
          <w:i/>
          <w:iCs/>
        </w:rPr>
        <w:t>českých</w:t>
      </w:r>
      <w:r w:rsidR="007C5C7F" w:rsidRPr="000D3C70">
        <w:rPr>
          <w:i/>
          <w:iCs/>
        </w:rPr>
        <w:t>).</w:t>
      </w:r>
      <w:r w:rsidR="008E5BF1" w:rsidRPr="000D3C70">
        <w:rPr>
          <w:i/>
          <w:iCs/>
        </w:rPr>
        <w:t xml:space="preserve"> </w:t>
      </w:r>
      <w:r w:rsidR="007C5C7F" w:rsidRPr="000D3C70">
        <w:rPr>
          <w:i/>
          <w:iCs/>
        </w:rPr>
        <w:t xml:space="preserve">Výše </w:t>
      </w:r>
      <w:r w:rsidRPr="000D3C70">
        <w:rPr>
          <w:i/>
          <w:iCs/>
        </w:rPr>
        <w:t>ceny</w:t>
      </w:r>
      <w:r w:rsidR="007C5C7F" w:rsidRPr="000D3C70">
        <w:rPr>
          <w:i/>
          <w:iCs/>
        </w:rPr>
        <w:t xml:space="preserve"> byla stanovena dohodou smluvních stran na základě nabídky </w:t>
      </w:r>
      <w:r w:rsidR="002C491C" w:rsidRPr="000D3C70">
        <w:rPr>
          <w:i/>
          <w:iCs/>
        </w:rPr>
        <w:t xml:space="preserve">zhotovitele </w:t>
      </w:r>
      <w:r w:rsidR="007C5C7F" w:rsidRPr="000D3C70">
        <w:rPr>
          <w:i/>
          <w:iCs/>
        </w:rPr>
        <w:t>ze dne</w:t>
      </w:r>
      <w:r w:rsidR="008E5BF1" w:rsidRPr="000D3C70">
        <w:rPr>
          <w:i/>
          <w:iCs/>
        </w:rPr>
        <w:t xml:space="preserve"> </w:t>
      </w:r>
      <w:r w:rsidR="000D3C70" w:rsidRPr="000D3C70">
        <w:rPr>
          <w:b/>
          <w:bCs/>
          <w:i/>
          <w:iCs/>
        </w:rPr>
        <w:t>4.1.2026.</w:t>
      </w:r>
      <w:r w:rsidR="007C5C7F" w:rsidRPr="000D3C70">
        <w:rPr>
          <w:i/>
          <w:iCs/>
        </w:rPr>
        <w:t xml:space="preserve"> Tato </w:t>
      </w:r>
      <w:r w:rsidRPr="000D3C70">
        <w:rPr>
          <w:i/>
          <w:iCs/>
        </w:rPr>
        <w:t>cena</w:t>
      </w:r>
      <w:r w:rsidR="007C5C7F" w:rsidRPr="000D3C70">
        <w:rPr>
          <w:i/>
          <w:iCs/>
        </w:rPr>
        <w:t xml:space="preserve"> je</w:t>
      </w:r>
      <w:r w:rsidR="00A22E65" w:rsidRPr="000D3C70">
        <w:rPr>
          <w:i/>
          <w:iCs/>
        </w:rPr>
        <w:t xml:space="preserve"> konečná</w:t>
      </w:r>
      <w:r w:rsidR="007C5C7F" w:rsidRPr="000D3C70">
        <w:rPr>
          <w:i/>
          <w:iCs/>
        </w:rPr>
        <w:t xml:space="preserve">. </w:t>
      </w:r>
      <w:r w:rsidR="00063376" w:rsidRPr="000D3C70">
        <w:rPr>
          <w:i/>
          <w:iCs/>
        </w:rPr>
        <w:t>V ceně jsou zahrnuty veškeré náklady poskytovatele související s</w:t>
      </w:r>
      <w:r w:rsidR="005F186C" w:rsidRPr="000D3C70">
        <w:rPr>
          <w:i/>
          <w:iCs/>
        </w:rPr>
        <w:t> </w:t>
      </w:r>
      <w:r w:rsidR="00063376" w:rsidRPr="000D3C70">
        <w:rPr>
          <w:i/>
          <w:iCs/>
        </w:rPr>
        <w:t>komplexním zajištěním celého předmětu smlouvy</w:t>
      </w:r>
      <w:r w:rsidR="002233D7" w:rsidRPr="000D3C70">
        <w:rPr>
          <w:i/>
          <w:iCs/>
        </w:rPr>
        <w:t>.</w:t>
      </w:r>
      <w:r w:rsidR="005F186C" w:rsidRPr="000D3C70">
        <w:rPr>
          <w:i/>
          <w:iCs/>
        </w:rPr>
        <w:t xml:space="preserve"> </w:t>
      </w:r>
      <w:r w:rsidR="005C23CD" w:rsidRPr="000D3C70">
        <w:rPr>
          <w:i/>
          <w:iCs/>
        </w:rPr>
        <w:t>Zhotovitel je plátcem DPH, která bude účtována podle předpisů platných v době účtování.</w:t>
      </w:r>
      <w:r w:rsidR="005F186C" w:rsidRPr="000D3C70">
        <w:rPr>
          <w:i/>
          <w:iCs/>
        </w:rPr>
        <w:t xml:space="preserve"> </w:t>
      </w:r>
      <w:r w:rsidR="007C5C7F" w:rsidRPr="000D3C70">
        <w:rPr>
          <w:i/>
          <w:iCs/>
        </w:rPr>
        <w:t xml:space="preserve">Výši celkové ceny </w:t>
      </w:r>
      <w:r w:rsidRPr="000D3C70">
        <w:rPr>
          <w:i/>
          <w:iCs/>
        </w:rPr>
        <w:t>díla</w:t>
      </w:r>
      <w:r w:rsidR="007C5C7F" w:rsidRPr="000D3C70">
        <w:rPr>
          <w:i/>
          <w:iCs/>
        </w:rPr>
        <w:t xml:space="preserve"> je možné změnit, dojde-li ke změně sazby DPH.</w:t>
      </w:r>
      <w:r w:rsidR="007214D7" w:rsidRPr="000D3C70">
        <w:rPr>
          <w:i/>
          <w:iCs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1068B7" w:rsidRPr="00D02ED1" w14:paraId="6FCB1760" w14:textId="77777777" w:rsidTr="001068B7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0D3C70">
              <w:rPr>
                <w:i/>
                <w:iCs/>
              </w:rPr>
              <w:t>Cena bez DPH (Kč)</w:t>
            </w:r>
          </w:p>
        </w:tc>
      </w:tr>
      <w:tr w:rsidR="001068B7" w:rsidRPr="00D02ED1" w14:paraId="692E5047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A427" w14:textId="475EF719" w:rsidR="001068B7" w:rsidRPr="00676E91" w:rsidRDefault="00676E91" w:rsidP="00676E91">
            <w:pPr>
              <w:spacing w:before="0" w:after="0"/>
            </w:pPr>
            <w:r w:rsidRPr="00676E91">
              <w:t>průlehy PR1, PR2 a PR 3</w:t>
            </w:r>
            <w:r>
              <w:t xml:space="preserve"> </w:t>
            </w:r>
            <w:r w:rsidRPr="00676E91">
              <w:t>výsadba zeleně IP6,</w:t>
            </w:r>
            <w:r>
              <w:t xml:space="preserve"> </w:t>
            </w:r>
            <w:r w:rsidRPr="00676E91">
              <w:t>IP7, IP8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43C2" w14:textId="6BA2E4F2" w:rsidR="001068B7" w:rsidRPr="00676E91" w:rsidRDefault="00676E91" w:rsidP="00676E91">
            <w:pPr>
              <w:spacing w:before="0" w:after="0"/>
              <w:jc w:val="center"/>
            </w:pPr>
            <w:r w:rsidRPr="00676E91">
              <w:t>20 000,00</w:t>
            </w:r>
          </w:p>
        </w:tc>
      </w:tr>
      <w:tr w:rsidR="001068B7" w:rsidRPr="00D02ED1" w14:paraId="0B010744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95BA" w14:textId="1ED69148" w:rsidR="001068B7" w:rsidRPr="00676E91" w:rsidRDefault="00676E91" w:rsidP="007440D5">
            <w:pPr>
              <w:spacing w:before="0" w:after="0"/>
            </w:pPr>
            <w:r w:rsidRPr="00676E91">
              <w:t xml:space="preserve">polní cesty DC 39 R a DC 34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EC38E" w14:textId="4DA80D03" w:rsidR="001068B7" w:rsidRPr="00676E91" w:rsidRDefault="00676E91" w:rsidP="00676E91">
            <w:pPr>
              <w:spacing w:before="0" w:after="0"/>
              <w:jc w:val="center"/>
            </w:pPr>
            <w:r w:rsidRPr="00676E91">
              <w:t>20 000,00</w:t>
            </w:r>
          </w:p>
        </w:tc>
      </w:tr>
      <w:tr w:rsidR="001068B7" w:rsidRPr="0004420A" w14:paraId="3A2445E1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18065AA" w14:textId="77777777" w:rsidR="001068B7" w:rsidRPr="00676E91" w:rsidRDefault="001068B7" w:rsidP="007440D5">
            <w:pPr>
              <w:spacing w:before="0" w:after="0"/>
              <w:rPr>
                <w:highlight w:val="yellow"/>
              </w:rPr>
            </w:pPr>
            <w:r w:rsidRPr="00676E91"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C8F9CE" w14:textId="07BE3F9E" w:rsidR="001068B7" w:rsidRPr="00676E91" w:rsidRDefault="00676E91" w:rsidP="00676E91">
            <w:pPr>
              <w:spacing w:before="0" w:after="0"/>
              <w:jc w:val="center"/>
              <w:rPr>
                <w:highlight w:val="yellow"/>
              </w:rPr>
            </w:pPr>
            <w:r w:rsidRPr="00676E91">
              <w:t>40 000,00</w:t>
            </w:r>
          </w:p>
        </w:tc>
      </w:tr>
    </w:tbl>
    <w:p w14:paraId="414E2B39" w14:textId="77777777" w:rsidR="00A1122C" w:rsidRDefault="00A1122C" w:rsidP="00A1122C">
      <w:pPr>
        <w:pStyle w:val="Default"/>
        <w:rPr>
          <w:i/>
          <w:iCs/>
          <w:sz w:val="22"/>
          <w:szCs w:val="22"/>
        </w:rPr>
      </w:pPr>
      <w:bookmarkStart w:id="5" w:name="_Hlk36122845"/>
      <w:bookmarkStart w:id="6" w:name="_Hlk36122353"/>
      <w:r>
        <w:rPr>
          <w:i/>
          <w:iCs/>
          <w:sz w:val="22"/>
          <w:szCs w:val="22"/>
        </w:rPr>
        <w:t xml:space="preserve">     </w:t>
      </w:r>
    </w:p>
    <w:p w14:paraId="1494888C" w14:textId="028747AE" w:rsidR="00755332" w:rsidRPr="001068B7" w:rsidRDefault="00A1122C" w:rsidP="00A1122C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 w:rsidRPr="009F127A">
        <w:rPr>
          <w:i/>
          <w:iCs/>
          <w:sz w:val="22"/>
          <w:szCs w:val="22"/>
        </w:rPr>
        <w:t xml:space="preserve"> </w:t>
      </w:r>
      <w:r w:rsidR="00755332" w:rsidRPr="009F127A">
        <w:rPr>
          <w:i/>
          <w:iCs/>
          <w:sz w:val="22"/>
          <w:szCs w:val="22"/>
        </w:rPr>
        <w:t>(Cena bude uváděna na haléře, tj. na 2 desetinná místa)</w:t>
      </w:r>
      <w:bookmarkEnd w:id="5"/>
      <w:bookmarkEnd w:id="6"/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4058E53E" w14:textId="2C423821" w:rsidR="000A6E48" w:rsidRPr="00DA4B06" w:rsidRDefault="00FF0932" w:rsidP="5170DEB6">
      <w:pPr>
        <w:pStyle w:val="l-L2"/>
        <w:ind w:left="357"/>
      </w:pPr>
      <w:r>
        <w:lastRenderedPageBreak/>
        <w:t>Konečný příjemce: Státní pozemkový úřad</w:t>
      </w:r>
      <w:r w:rsidR="00661385">
        <w:t xml:space="preserve"> Krajský pozemkový úřad pro Ústecký kraj, Pobočka Teplice, Masarykova2421/66, 415 01 Teplice</w:t>
      </w:r>
      <w:r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lastRenderedPageBreak/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06761D57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661385">
        <w:t>31. 12. 2036</w:t>
      </w:r>
      <w:r w:rsidRPr="00D12D68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3704FE" w:rsidRDefault="00E64472" w:rsidP="00A30016">
      <w:pPr>
        <w:pStyle w:val="l-L2"/>
        <w:numPr>
          <w:ilvl w:val="0"/>
          <w:numId w:val="3"/>
        </w:numPr>
      </w:pPr>
      <w:r w:rsidRPr="003704FE">
        <w:t>Smluvní strany jsou si plně vědomy zákonné povinnosti u</w:t>
      </w:r>
      <w:r w:rsidR="003C703B" w:rsidRPr="003704FE">
        <w:t>veřejnit dle zákona č.</w:t>
      </w:r>
      <w:r w:rsidR="00A2459C" w:rsidRPr="003704FE">
        <w:t> </w:t>
      </w:r>
      <w:r w:rsidR="003C703B" w:rsidRPr="003704FE">
        <w:t>340/2015 Sb., o zvláštních podmínkách účinnosti některých smluv, uveřejňování těchto smluv a o registru smluv (zákon o registru smluv)</w:t>
      </w:r>
      <w:r w:rsidRPr="003704FE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3704FE" w:rsidRDefault="000571AA" w:rsidP="00A30016">
      <w:pPr>
        <w:pStyle w:val="l-L2"/>
        <w:numPr>
          <w:ilvl w:val="0"/>
          <w:numId w:val="3"/>
        </w:numPr>
      </w:pPr>
      <w:r w:rsidRPr="00BC3C0B">
        <w:t>Zhotovitel dále výslovně prohlašuje a bere na vědomí, že tato smlouva nepředstavuje jeho obchodní tajemství ani neobsahuje jeho důvěrné informace</w:t>
      </w:r>
      <w:r w:rsidR="001C5582">
        <w:t xml:space="preserve"> </w:t>
      </w:r>
      <w:r w:rsidR="001C5582" w:rsidRPr="003704FE">
        <w:t>a souhlasí s tím, aby tato smlouva, včetně veškerých změn a dodatků, byla v plném rozsahu</w:t>
      </w:r>
      <w:r w:rsidRPr="003704FE">
        <w:t xml:space="preserve"> </w:t>
      </w:r>
      <w:r w:rsidR="001C5582" w:rsidRPr="003704FE">
        <w:t>uv</w:t>
      </w:r>
      <w:r w:rsidR="00E7616C" w:rsidRPr="003704FE">
        <w:t xml:space="preserve">eřejněna </w:t>
      </w:r>
      <w:r w:rsidRPr="003704FE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 xml:space="preserve">to písemně, zhotoviteli nejpozději do 5 pracovních dní před původní lhůtou pro splatnost faktury, </w:t>
      </w:r>
      <w:r w:rsidRPr="00BC3C0B">
        <w:lastRenderedPageBreak/>
        <w:t>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F050D6" w:rsidRDefault="0076345A" w:rsidP="00A30016">
      <w:pPr>
        <w:pStyle w:val="l-L2"/>
        <w:numPr>
          <w:ilvl w:val="0"/>
          <w:numId w:val="3"/>
        </w:numPr>
      </w:pPr>
      <w:r w:rsidRPr="00F050D6">
        <w:t>Smlouva nabývá platnosti dnem podpisu smluvních stran</w:t>
      </w:r>
      <w:r w:rsidR="00035616" w:rsidRPr="00F050D6">
        <w:t xml:space="preserve"> </w:t>
      </w:r>
      <w:r w:rsidR="00035616" w:rsidRPr="00E00C4E">
        <w:t>a účinnosti dnem jejího uveřejnění v</w:t>
      </w:r>
      <w:r w:rsidRPr="00E00C4E">
        <w:t xml:space="preserve"> registru smluv dle ust. §</w:t>
      </w:r>
      <w:r w:rsidR="00281042" w:rsidRPr="00E00C4E">
        <w:t> </w:t>
      </w:r>
      <w:r w:rsidRPr="00E00C4E">
        <w:t>6 odst.</w:t>
      </w:r>
      <w:r w:rsidR="00281042" w:rsidRPr="00E00C4E">
        <w:t> </w:t>
      </w:r>
      <w:r w:rsidRPr="00E00C4E">
        <w:t>1 zákona o registru smluv</w:t>
      </w:r>
      <w:r w:rsidRPr="00F050D6">
        <w:t>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lastRenderedPageBreak/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5F013990" w14:textId="77777777" w:rsidR="000C68C2" w:rsidRDefault="000C68C2" w:rsidP="000C68C2">
      <w:pPr>
        <w:pStyle w:val="l-L2"/>
        <w:ind w:left="360"/>
      </w:pPr>
    </w:p>
    <w:p w14:paraId="1D9F2B0B" w14:textId="77777777" w:rsidR="000C68C2" w:rsidRDefault="000C68C2" w:rsidP="000C68C2">
      <w:pPr>
        <w:pStyle w:val="l-L2"/>
        <w:ind w:left="360"/>
      </w:pPr>
    </w:p>
    <w:p w14:paraId="6BFDB7B6" w14:textId="77777777" w:rsidR="000C68C2" w:rsidRDefault="000C68C2" w:rsidP="000C68C2">
      <w:pPr>
        <w:pStyle w:val="l-L2"/>
        <w:ind w:left="360"/>
      </w:pPr>
    </w:p>
    <w:p w14:paraId="2D52E8DF" w14:textId="77777777" w:rsidR="007C577B" w:rsidRDefault="007C577B" w:rsidP="007C577B">
      <w:pPr>
        <w:pStyle w:val="l-L2"/>
      </w:pPr>
    </w:p>
    <w:p w14:paraId="4A17A44D" w14:textId="3D0DBB22" w:rsidR="00654BF5" w:rsidRP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F050D6">
        <w:rPr>
          <w:rFonts w:cs="Arial"/>
          <w:szCs w:val="24"/>
        </w:rPr>
        <w:t xml:space="preserve"> Teplicích dne </w:t>
      </w:r>
      <w:r w:rsidR="00865F99">
        <w:rPr>
          <w:rFonts w:cs="Arial"/>
          <w:szCs w:val="24"/>
        </w:rPr>
        <w:t>24.2.2026</w:t>
      </w:r>
      <w:r w:rsidR="00F050D6">
        <w:rPr>
          <w:rFonts w:cs="Arial"/>
          <w:szCs w:val="24"/>
        </w:rPr>
        <w:t xml:space="preserve">        </w:t>
      </w:r>
      <w:r w:rsidR="00654BF5" w:rsidRPr="00654BF5">
        <w:rPr>
          <w:rFonts w:cs="Arial"/>
          <w:szCs w:val="24"/>
        </w:rPr>
        <w:tab/>
      </w:r>
      <w:r w:rsidR="000C68C2"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0C68C2">
        <w:rPr>
          <w:rFonts w:cs="Arial"/>
          <w:szCs w:val="24"/>
        </w:rPr>
        <w:t> Novém Strašecí</w:t>
      </w:r>
      <w:r w:rsidR="00654BF5" w:rsidRPr="00654BF5">
        <w:rPr>
          <w:rFonts w:cs="Arial"/>
          <w:szCs w:val="24"/>
        </w:rPr>
        <w:t xml:space="preserve"> dne</w:t>
      </w:r>
      <w:r w:rsidR="000C68C2">
        <w:rPr>
          <w:rFonts w:cs="Arial"/>
          <w:szCs w:val="24"/>
        </w:rPr>
        <w:t xml:space="preserve"> </w:t>
      </w:r>
      <w:r w:rsidR="00865F99">
        <w:rPr>
          <w:rFonts w:cs="Arial"/>
          <w:szCs w:val="24"/>
        </w:rPr>
        <w:t>17.2.2026</w:t>
      </w:r>
    </w:p>
    <w:p w14:paraId="1CB4CEC5" w14:textId="77777777" w:rsidR="00F050D6" w:rsidRDefault="00F050D6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623030E0" w14:textId="77777777" w:rsidR="00F050D6" w:rsidRDefault="00F050D6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40BAFA56" w14:textId="0C03E23B" w:rsidR="00F050D6" w:rsidRPr="00CB1B9F" w:rsidRDefault="00F050D6" w:rsidP="00F050D6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 w:rsidRPr="000C68C2">
        <w:rPr>
          <w:rFonts w:cs="Arial"/>
          <w:i/>
          <w:iCs/>
          <w:szCs w:val="24"/>
        </w:rPr>
        <w:t xml:space="preserve">     „elektronicky podepsáno“</w:t>
      </w:r>
      <w:r>
        <w:rPr>
          <w:rFonts w:cs="Arial"/>
          <w:i/>
          <w:iCs/>
          <w:szCs w:val="24"/>
        </w:rPr>
        <w:t xml:space="preserve">                               </w:t>
      </w:r>
      <w:r w:rsidR="000C68C2">
        <w:rPr>
          <w:rFonts w:cs="Arial"/>
          <w:i/>
          <w:iCs/>
          <w:szCs w:val="24"/>
        </w:rPr>
        <w:tab/>
      </w:r>
      <w:r w:rsidR="000C68C2">
        <w:rPr>
          <w:rFonts w:cs="Arial"/>
          <w:i/>
          <w:iCs/>
          <w:szCs w:val="24"/>
        </w:rPr>
        <w:tab/>
      </w:r>
      <w:r w:rsidR="000C68C2">
        <w:rPr>
          <w:rFonts w:cs="Arial"/>
          <w:i/>
          <w:iCs/>
          <w:szCs w:val="24"/>
        </w:rPr>
        <w:tab/>
      </w:r>
      <w:r w:rsidR="000C68C2">
        <w:rPr>
          <w:rFonts w:cs="Arial"/>
          <w:i/>
          <w:iCs/>
          <w:szCs w:val="24"/>
        </w:rPr>
        <w:tab/>
      </w:r>
      <w:r>
        <w:rPr>
          <w:rFonts w:cs="Arial"/>
          <w:i/>
          <w:iCs/>
          <w:szCs w:val="24"/>
        </w:rPr>
        <w:t xml:space="preserve"> </w:t>
      </w:r>
      <w:r w:rsidR="00E00C4E">
        <w:rPr>
          <w:rFonts w:cs="Arial"/>
          <w:i/>
          <w:iCs/>
          <w:szCs w:val="24"/>
        </w:rPr>
        <w:t>„</w:t>
      </w:r>
      <w:r w:rsidRPr="00CB1B9F">
        <w:rPr>
          <w:rFonts w:cs="Arial"/>
          <w:i/>
          <w:iCs/>
          <w:szCs w:val="24"/>
        </w:rPr>
        <w:t>elektronicky podepsáno“</w:t>
      </w:r>
    </w:p>
    <w:p w14:paraId="5EC01E0A" w14:textId="77777777" w:rsidR="00F050D6" w:rsidRPr="00654BF5" w:rsidRDefault="00F050D6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F99EA03" w14:textId="18AF42F5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</w:r>
      <w:r w:rsidR="000C68C2">
        <w:rPr>
          <w:rFonts w:cs="Arial"/>
          <w:szCs w:val="24"/>
        </w:rPr>
        <w:tab/>
      </w:r>
      <w:r w:rsidR="000C68C2">
        <w:rPr>
          <w:rFonts w:cs="Arial"/>
          <w:szCs w:val="24"/>
        </w:rPr>
        <w:tab/>
      </w:r>
      <w:r w:rsidR="000C68C2">
        <w:rPr>
          <w:rFonts w:cs="Arial"/>
          <w:szCs w:val="24"/>
        </w:rPr>
        <w:tab/>
      </w:r>
      <w:r w:rsidRPr="00654BF5">
        <w:rPr>
          <w:rFonts w:cs="Arial"/>
          <w:szCs w:val="24"/>
        </w:rPr>
        <w:t>.................................</w:t>
      </w:r>
      <w:r w:rsidR="000C68C2">
        <w:rPr>
          <w:rFonts w:cs="Arial"/>
          <w:szCs w:val="24"/>
        </w:rPr>
        <w:t>.......</w:t>
      </w:r>
    </w:p>
    <w:p w14:paraId="3F1DEAD7" w14:textId="7AB8E092" w:rsidR="00F050D6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Objednatel</w:t>
      </w:r>
      <w:r w:rsidRPr="00654BF5">
        <w:rPr>
          <w:rFonts w:cs="Arial"/>
          <w:szCs w:val="24"/>
        </w:rPr>
        <w:tab/>
      </w:r>
      <w:r w:rsidR="000C68C2">
        <w:rPr>
          <w:rFonts w:cs="Arial"/>
          <w:szCs w:val="24"/>
        </w:rPr>
        <w:tab/>
      </w:r>
      <w:r w:rsidR="000C68C2">
        <w:rPr>
          <w:rFonts w:cs="Arial"/>
          <w:szCs w:val="24"/>
        </w:rPr>
        <w:tab/>
      </w:r>
      <w:r w:rsidR="000C68C2">
        <w:rPr>
          <w:rFonts w:cs="Arial"/>
          <w:szCs w:val="24"/>
        </w:rPr>
        <w:tab/>
      </w:r>
      <w:r w:rsidR="000C68C2">
        <w:rPr>
          <w:rFonts w:cs="Arial"/>
          <w:szCs w:val="24"/>
        </w:rPr>
        <w:tab/>
      </w:r>
      <w:r w:rsidRPr="00654BF5">
        <w:rPr>
          <w:rFonts w:cs="Arial"/>
          <w:szCs w:val="24"/>
        </w:rPr>
        <w:t>Zhotovitel</w:t>
      </w:r>
    </w:p>
    <w:p w14:paraId="3FD17F01" w14:textId="289EEEEA" w:rsidR="00E00C4E" w:rsidRPr="00654BF5" w:rsidRDefault="00654BF5" w:rsidP="00E00C4E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="00E00C4E">
        <w:rPr>
          <w:rFonts w:cs="Arial"/>
          <w:b/>
          <w:bCs/>
          <w:szCs w:val="24"/>
        </w:rPr>
        <w:t xml:space="preserve">Mgr. Jaroslava Kosejková                          </w:t>
      </w:r>
      <w:r w:rsidR="000C68C2">
        <w:rPr>
          <w:rFonts w:cs="Arial"/>
          <w:b/>
          <w:bCs/>
          <w:szCs w:val="24"/>
        </w:rPr>
        <w:tab/>
      </w:r>
      <w:r w:rsidR="000C68C2">
        <w:rPr>
          <w:rFonts w:cs="Arial"/>
          <w:b/>
          <w:bCs/>
          <w:szCs w:val="24"/>
        </w:rPr>
        <w:tab/>
      </w:r>
      <w:r w:rsidR="000C68C2">
        <w:rPr>
          <w:rFonts w:cs="Arial"/>
          <w:b/>
          <w:bCs/>
          <w:szCs w:val="24"/>
        </w:rPr>
        <w:tab/>
      </w:r>
      <w:r w:rsidR="000C68C2">
        <w:rPr>
          <w:rFonts w:cs="Arial"/>
          <w:b/>
          <w:bCs/>
          <w:szCs w:val="24"/>
        </w:rPr>
        <w:tab/>
      </w:r>
      <w:r w:rsidR="000C68C2">
        <w:rPr>
          <w:rFonts w:cs="Arial"/>
          <w:b/>
          <w:bCs/>
          <w:szCs w:val="24"/>
        </w:rPr>
        <w:tab/>
        <w:t>Ing. Josef Bureš</w:t>
      </w:r>
    </w:p>
    <w:p w14:paraId="43F64373" w14:textId="77777777" w:rsidR="000C68C2" w:rsidRDefault="00E00C4E" w:rsidP="00E00C4E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  <w:r w:rsidRPr="00E00C4E">
        <w:rPr>
          <w:rFonts w:cs="Arial"/>
          <w:szCs w:val="24"/>
        </w:rPr>
        <w:t xml:space="preserve">ředitelka </w:t>
      </w:r>
    </w:p>
    <w:p w14:paraId="1DAB0AB4" w14:textId="59867B3A" w:rsidR="00E00C4E" w:rsidRPr="00E00C4E" w:rsidRDefault="000C68C2" w:rsidP="00E00C4E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E00C4E" w:rsidRPr="00E00C4E">
        <w:rPr>
          <w:rFonts w:cs="Arial"/>
          <w:szCs w:val="24"/>
        </w:rPr>
        <w:t>Krajského pozemkového úřadu</w:t>
      </w:r>
      <w:r w:rsidR="00E00C4E">
        <w:rPr>
          <w:rFonts w:cs="Arial"/>
          <w:szCs w:val="24"/>
        </w:rPr>
        <w:t xml:space="preserve"> </w:t>
      </w:r>
      <w:r w:rsidR="00E00C4E" w:rsidRPr="00E00C4E">
        <w:rPr>
          <w:rFonts w:cs="Arial"/>
          <w:szCs w:val="24"/>
        </w:rPr>
        <w:t>pro Ústecký kraj</w:t>
      </w:r>
    </w:p>
    <w:p w14:paraId="36D5DA1A" w14:textId="4B65D208" w:rsidR="00654BF5" w:rsidRPr="00654BF5" w:rsidRDefault="00654BF5" w:rsidP="00F050D6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</w:p>
    <w:p w14:paraId="054DD68E" w14:textId="77777777" w:rsidR="003B7D9D" w:rsidRPr="00D53952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sectPr w:rsidR="003B7D9D" w:rsidRPr="00D53952" w:rsidSect="0089153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9673" w14:textId="68A1E856" w:rsidR="00B94C77" w:rsidRPr="00D53952" w:rsidRDefault="00B94C77" w:rsidP="00DB5561">
    <w:pPr>
      <w:jc w:val="right"/>
    </w:pPr>
    <w:r w:rsidRPr="00D53952">
      <w:t>Č.</w:t>
    </w:r>
    <w:r w:rsidR="006A6297">
      <w:t xml:space="preserve"> smlouvy</w:t>
    </w:r>
    <w:r w:rsidRPr="00D53952">
      <w:t xml:space="preserve"> objednatele:</w:t>
    </w:r>
    <w:r w:rsidR="00422AF8">
      <w:t xml:space="preserve"> </w:t>
    </w:r>
    <w:r w:rsidR="00676E91" w:rsidRPr="00676E91">
      <w:t>43-2026-508101</w:t>
    </w:r>
  </w:p>
  <w:p w14:paraId="4BE65E1E" w14:textId="526AFB20" w:rsidR="00B94C77" w:rsidRDefault="00B94C77" w:rsidP="00DB5561">
    <w:pPr>
      <w:jc w:val="right"/>
    </w:pPr>
    <w:r w:rsidRPr="63FBCC68">
      <w:t>Č.</w:t>
    </w:r>
    <w:r w:rsidR="00721A7F">
      <w:t xml:space="preserve"> smlouvy ISPU</w:t>
    </w:r>
    <w:r w:rsidRPr="63FBCC68">
      <w:t>:</w:t>
    </w:r>
    <w:r w:rsidR="006A6297">
      <w:t xml:space="preserve"> </w:t>
    </w:r>
    <w:r w:rsidR="00721A7F" w:rsidRPr="00721A7F">
      <w:t>878-2025-508207</w:t>
    </w:r>
  </w:p>
  <w:p w14:paraId="5B6037BF" w14:textId="346504DB" w:rsidR="00422AF8" w:rsidRDefault="00422AF8" w:rsidP="00DB5561">
    <w:pPr>
      <w:jc w:val="right"/>
    </w:pPr>
    <w:r>
      <w:t xml:space="preserve">UID: </w:t>
    </w:r>
    <w:r w:rsidR="00676E91" w:rsidRPr="00676E91">
      <w:t>spudms00000016352777</w:t>
    </w:r>
  </w:p>
  <w:p w14:paraId="32817B79" w14:textId="6B948F63" w:rsidR="006A6297" w:rsidRDefault="006A6297" w:rsidP="006A6297">
    <w:pPr>
      <w:jc w:val="right"/>
    </w:pPr>
    <w:r w:rsidRPr="63FBCC68"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68C2"/>
    <w:rsid w:val="000C746F"/>
    <w:rsid w:val="000D1818"/>
    <w:rsid w:val="000D3C70"/>
    <w:rsid w:val="000E6467"/>
    <w:rsid w:val="000F1247"/>
    <w:rsid w:val="00104E9E"/>
    <w:rsid w:val="001068B7"/>
    <w:rsid w:val="00112268"/>
    <w:rsid w:val="00126A2D"/>
    <w:rsid w:val="0012753E"/>
    <w:rsid w:val="001348A2"/>
    <w:rsid w:val="00137F5A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0741B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0F22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704FE"/>
    <w:rsid w:val="0037583E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22AF8"/>
    <w:rsid w:val="00424C01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71812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3F35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C2D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01BC"/>
    <w:rsid w:val="00661385"/>
    <w:rsid w:val="006642C9"/>
    <w:rsid w:val="006662DA"/>
    <w:rsid w:val="00672C69"/>
    <w:rsid w:val="00676E91"/>
    <w:rsid w:val="00683F62"/>
    <w:rsid w:val="0069213B"/>
    <w:rsid w:val="0069264C"/>
    <w:rsid w:val="00693F06"/>
    <w:rsid w:val="00693F15"/>
    <w:rsid w:val="006A0635"/>
    <w:rsid w:val="006A4457"/>
    <w:rsid w:val="006A629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A7F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65F99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9F4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0E44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22C"/>
    <w:rsid w:val="00A11C49"/>
    <w:rsid w:val="00A12D5B"/>
    <w:rsid w:val="00A1694B"/>
    <w:rsid w:val="00A22E65"/>
    <w:rsid w:val="00A23D3B"/>
    <w:rsid w:val="00A2459C"/>
    <w:rsid w:val="00A30016"/>
    <w:rsid w:val="00A3092B"/>
    <w:rsid w:val="00A35BCB"/>
    <w:rsid w:val="00A375D5"/>
    <w:rsid w:val="00A45D1B"/>
    <w:rsid w:val="00A61E0B"/>
    <w:rsid w:val="00A73191"/>
    <w:rsid w:val="00A77E2D"/>
    <w:rsid w:val="00A800E5"/>
    <w:rsid w:val="00A86B4C"/>
    <w:rsid w:val="00A87806"/>
    <w:rsid w:val="00A969A0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337B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19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0B14"/>
    <w:rsid w:val="00DC2BAF"/>
    <w:rsid w:val="00DD34EC"/>
    <w:rsid w:val="00DE26A1"/>
    <w:rsid w:val="00DE43B6"/>
    <w:rsid w:val="00DE5176"/>
    <w:rsid w:val="00DF4A58"/>
    <w:rsid w:val="00E00C4E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050D6"/>
    <w:rsid w:val="00F133C5"/>
    <w:rsid w:val="00F16EEB"/>
    <w:rsid w:val="00F25344"/>
    <w:rsid w:val="00F31B94"/>
    <w:rsid w:val="00F31FC7"/>
    <w:rsid w:val="00F32916"/>
    <w:rsid w:val="00F33FE9"/>
    <w:rsid w:val="00F45CC4"/>
    <w:rsid w:val="00F57E12"/>
    <w:rsid w:val="00F60711"/>
    <w:rsid w:val="00F627CD"/>
    <w:rsid w:val="00F64E37"/>
    <w:rsid w:val="00F66E65"/>
    <w:rsid w:val="00F723B6"/>
    <w:rsid w:val="00F815D0"/>
    <w:rsid w:val="00F96649"/>
    <w:rsid w:val="00FA7EE2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297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5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3366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Pavlíčková Veronika Ing.</cp:lastModifiedBy>
  <cp:revision>3</cp:revision>
  <cp:lastPrinted>2022-06-15T12:51:00Z</cp:lastPrinted>
  <dcterms:created xsi:type="dcterms:W3CDTF">2026-02-24T13:58:00Z</dcterms:created>
  <dcterms:modified xsi:type="dcterms:W3CDTF">2026-02-24T14:24:00Z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