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1DB21D8" w:rsidR="00643372" w:rsidRDefault="00952969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952969">
        <w:rPr>
          <w:rFonts w:ascii="Arial" w:hAnsi="Arial"/>
          <w:b/>
          <w:bCs/>
        </w:rPr>
        <w:t>DODATEK č.</w:t>
      </w:r>
      <w:r w:rsidR="00E54E61">
        <w:rPr>
          <w:rFonts w:ascii="Arial" w:hAnsi="Arial"/>
        </w:rPr>
        <w:t xml:space="preserve"> </w:t>
      </w:r>
      <w:r w:rsidR="00643372">
        <w:rPr>
          <w:rFonts w:ascii="Arial" w:hAnsi="Arial"/>
        </w:rPr>
        <w:t xml:space="preserve"> </w:t>
      </w:r>
      <w:r w:rsidR="00930EAA" w:rsidRPr="00B32E66">
        <w:rPr>
          <w:rFonts w:ascii="Arial" w:eastAsia="Times New Roman" w:hAnsi="Arial" w:cs="Arial"/>
          <w:b/>
          <w:lang w:eastAsia="cs-CZ"/>
        </w:rPr>
        <w:t>4</w:t>
      </w:r>
      <w:r w:rsidR="00581925">
        <w:rPr>
          <w:rFonts w:ascii="Arial" w:eastAsia="Times New Roman" w:hAnsi="Arial" w:cs="Arial"/>
          <w:b/>
          <w:lang w:eastAsia="cs-CZ"/>
        </w:rPr>
        <w:t>,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F8255EF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B32E66">
        <w:rPr>
          <w:rFonts w:cs="Arial"/>
          <w:b/>
          <w:bCs/>
          <w:sz w:val="24"/>
          <w:szCs w:val="24"/>
        </w:rPr>
        <w:t xml:space="preserve"> Kuňovice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B32E66">
        <w:rPr>
          <w:rFonts w:cs="Arial"/>
          <w:sz w:val="22"/>
        </w:rPr>
        <w:t>32/2021-537100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B32E66">
        <w:rPr>
          <w:rFonts w:cs="Arial"/>
          <w:sz w:val="22"/>
        </w:rPr>
        <w:t>6. 9. 2021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5602069E" w:rsidR="0083666F" w:rsidRDefault="004B021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71EF925B" w14:textId="77777777" w:rsidR="004B0218" w:rsidRDefault="004B021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48C111B2" w14:textId="016FFBC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B4D87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B82C69F" w:rsidR="00403809" w:rsidRDefault="00E0086F" w:rsidP="005568E8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5568E8" w:rsidRPr="005568E8">
        <w:rPr>
          <w:rFonts w:ascii="Arial" w:hAnsi="Arial" w:cs="Arial"/>
          <w:b/>
          <w:bCs/>
        </w:rPr>
        <w:t xml:space="preserve">pro </w:t>
      </w:r>
      <w:r w:rsidR="005568E8" w:rsidRPr="005568E8">
        <w:rPr>
          <w:rFonts w:ascii="Arial" w:hAnsi="Arial" w:cs="Arial"/>
          <w:b/>
          <w:bCs/>
          <w:snapToGrid w:val="0"/>
        </w:rPr>
        <w:t>Středočeský kraj a hl.m.Praha</w:t>
      </w:r>
      <w:bookmarkEnd w:id="0"/>
      <w:r w:rsidR="00403809" w:rsidRPr="005568E8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5568E8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1"/>
      <w:r w:rsidR="005568E8">
        <w:rPr>
          <w:rFonts w:ascii="Arial" w:hAnsi="Arial" w:cs="Arial"/>
          <w:snapToGrid w:val="0"/>
        </w:rPr>
        <w:t xml:space="preserve">Nám. Winstona Churchilla 1800/2, 130 00 Praha 3    </w:t>
      </w:r>
      <w:r w:rsidR="005568E8" w:rsidRPr="00BF554C">
        <w:rPr>
          <w:rFonts w:ascii="Arial" w:hAnsi="Arial" w:cs="Arial"/>
        </w:rPr>
        <w:t xml:space="preserve"> </w:t>
      </w:r>
    </w:p>
    <w:p w14:paraId="7A81486D" w14:textId="620351B8" w:rsidR="00403809" w:rsidRPr="005568E8" w:rsidRDefault="00403809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5568E8">
        <w:rPr>
          <w:rFonts w:ascii="Arial" w:hAnsi="Arial" w:cs="Arial"/>
          <w:b/>
          <w:bCs/>
          <w:snapToGrid w:val="0"/>
        </w:rPr>
        <w:t>Pobočka Benešov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5568E8" w:rsidRPr="005568E8">
        <w:rPr>
          <w:rFonts w:ascii="Arial" w:eastAsia="Times New Roman" w:hAnsi="Arial" w:cs="Arial"/>
          <w:snapToGrid w:val="0"/>
          <w:lang w:eastAsia="cs-CZ"/>
        </w:rPr>
        <w:t>Žižkova 360, 256 01 Benešov</w:t>
      </w:r>
    </w:p>
    <w:p w14:paraId="2BB55C1B" w14:textId="7E08D98B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 w:rsidRPr="00B25D1E">
        <w:rPr>
          <w:rFonts w:ascii="Arial" w:hAnsi="Arial" w:cs="Arial"/>
        </w:rPr>
        <w:t>ý</w:t>
      </w:r>
      <w:r w:rsidRPr="00B25D1E">
        <w:rPr>
          <w:rFonts w:ascii="Arial" w:hAnsi="Arial" w:cs="Arial"/>
        </w:rPr>
        <w:t>:</w:t>
      </w:r>
      <w:r w:rsidRPr="00ED6435">
        <w:rPr>
          <w:rFonts w:ascii="Arial" w:hAnsi="Arial" w:cs="Arial"/>
        </w:rPr>
        <w:t xml:space="preserve"> 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  <w:r w:rsidR="00921B28">
        <w:rPr>
          <w:rFonts w:ascii="Arial" w:hAnsi="Arial" w:cs="Arial"/>
        </w:rPr>
        <w:t>Ing. Jiří</w:t>
      </w:r>
      <w:r w:rsidR="00096F84">
        <w:rPr>
          <w:rFonts w:ascii="Arial" w:hAnsi="Arial" w:cs="Arial"/>
        </w:rPr>
        <w:t>m</w:t>
      </w:r>
      <w:r w:rsidR="00921B28">
        <w:rPr>
          <w:rFonts w:ascii="Arial" w:hAnsi="Arial" w:cs="Arial"/>
        </w:rPr>
        <w:t xml:space="preserve"> Veselý</w:t>
      </w:r>
      <w:r w:rsidR="00096F84">
        <w:rPr>
          <w:rFonts w:ascii="Arial" w:hAnsi="Arial" w:cs="Arial"/>
        </w:rPr>
        <w:t>m</w:t>
      </w:r>
      <w:r w:rsidR="0083666F">
        <w:rPr>
          <w:rFonts w:ascii="Arial" w:hAnsi="Arial" w:cs="Arial"/>
        </w:rPr>
        <w:t xml:space="preserve">, </w:t>
      </w:r>
      <w:r w:rsidR="00921B28">
        <w:rPr>
          <w:rFonts w:ascii="Arial" w:hAnsi="Arial" w:cs="Arial"/>
        </w:rPr>
        <w:t>ředitel</w:t>
      </w:r>
      <w:r w:rsidR="00096F84">
        <w:rPr>
          <w:rFonts w:ascii="Arial" w:hAnsi="Arial" w:cs="Arial"/>
        </w:rPr>
        <w:t>em</w:t>
      </w:r>
      <w:r w:rsidR="00921B28">
        <w:rPr>
          <w:rFonts w:ascii="Arial" w:hAnsi="Arial" w:cs="Arial"/>
        </w:rPr>
        <w:t xml:space="preserve"> KPÚ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3FABE28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96F84" w:rsidRPr="00096F84">
        <w:rPr>
          <w:rFonts w:ascii="Arial" w:hAnsi="Arial" w:cs="Arial"/>
          <w:snapToGrid w:val="0"/>
        </w:rPr>
        <w:t>Ing. Jiřím Veselým</w:t>
      </w:r>
      <w:bookmarkEnd w:id="3"/>
      <w:r w:rsidR="00096F84">
        <w:rPr>
          <w:rFonts w:ascii="Arial" w:hAnsi="Arial" w:cs="Arial"/>
        </w:rPr>
        <w:t>, ředitelem KPÚ</w:t>
      </w:r>
    </w:p>
    <w:p w14:paraId="4939C5C6" w14:textId="6850496F" w:rsidR="00E0086F" w:rsidRPr="00096F84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096F84" w:rsidRPr="00ED6435">
        <w:rPr>
          <w:rFonts w:ascii="Arial" w:hAnsi="Arial" w:cs="Arial"/>
        </w:rPr>
        <w:t>zastoupen</w:t>
      </w:r>
      <w:r w:rsidR="00096F84">
        <w:rPr>
          <w:rFonts w:ascii="Arial" w:hAnsi="Arial" w:cs="Arial"/>
        </w:rPr>
        <w:t>ý</w:t>
      </w:r>
      <w:r w:rsidR="00096F84" w:rsidRPr="00ED6435">
        <w:rPr>
          <w:rFonts w:ascii="Arial" w:hAnsi="Arial" w:cs="Arial"/>
        </w:rPr>
        <w:t>:</w:t>
      </w:r>
      <w:r w:rsidR="00096F84" w:rsidRPr="00ED6435">
        <w:rPr>
          <w:rFonts w:ascii="Arial" w:hAnsi="Arial" w:cs="Arial"/>
          <w:snapToGrid w:val="0"/>
        </w:rPr>
        <w:t xml:space="preserve"> </w:t>
      </w:r>
      <w:r w:rsidR="00C16094">
        <w:rPr>
          <w:rFonts w:ascii="Arial" w:hAnsi="Arial" w:cs="Arial"/>
          <w:snapToGrid w:val="0"/>
        </w:rPr>
        <w:t xml:space="preserve"> </w:t>
      </w:r>
      <w:r w:rsidR="00096F84">
        <w:rPr>
          <w:rFonts w:ascii="Arial" w:hAnsi="Arial" w:cs="Arial"/>
          <w:snapToGrid w:val="0"/>
        </w:rPr>
        <w:t>Ing.</w:t>
      </w:r>
      <w:r w:rsidR="00096F84" w:rsidRPr="00096F84">
        <w:rPr>
          <w:rFonts w:ascii="Arial" w:hAnsi="Arial" w:cs="Arial"/>
          <w:snapToGrid w:val="0"/>
        </w:rPr>
        <w:t xml:space="preserve"> Rostislavem Trochtou, vedoucím Pobočky Benešov</w:t>
      </w:r>
      <w:r w:rsidR="0083666F" w:rsidRPr="00096F84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0EDC6B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211666">
        <w:rPr>
          <w:rFonts w:ascii="Arial" w:hAnsi="Arial" w:cs="Arial"/>
        </w:rPr>
        <w:t> 725 385 662</w:t>
      </w:r>
    </w:p>
    <w:p w14:paraId="073F5E87" w14:textId="363C6CA8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211666">
        <w:rPr>
          <w:rFonts w:ascii="Arial" w:hAnsi="Arial" w:cs="Arial"/>
          <w:snapToGrid w:val="0"/>
        </w:rPr>
        <w:t>r</w:t>
      </w:r>
      <w:r w:rsidR="00A2197C">
        <w:rPr>
          <w:rFonts w:ascii="Arial" w:hAnsi="Arial" w:cs="Arial"/>
          <w:snapToGrid w:val="0"/>
        </w:rPr>
        <w:t>ostislav</w:t>
      </w:r>
      <w:r w:rsidR="00211666">
        <w:rPr>
          <w:rFonts w:ascii="Arial" w:hAnsi="Arial" w:cs="Arial"/>
          <w:snapToGrid w:val="0"/>
        </w:rPr>
        <w:t>.trochta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A2197C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9CCBB1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211666">
        <w:rPr>
          <w:rFonts w:ascii="Arial" w:hAnsi="Arial" w:cs="Arial"/>
        </w:rPr>
        <w:t>3723001/0710</w:t>
      </w:r>
    </w:p>
    <w:p w14:paraId="1375E27A" w14:textId="0E31DFB6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3EDA81E" w14:textId="4721366F" w:rsidR="003015E0" w:rsidRPr="00150F88" w:rsidRDefault="006D3D23" w:rsidP="00B321E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i/>
          <w:iCs/>
        </w:rPr>
      </w:pPr>
      <w:r w:rsidRPr="00150F88">
        <w:rPr>
          <w:rFonts w:ascii="Arial" w:hAnsi="Arial" w:cs="Arial"/>
          <w:b/>
        </w:rPr>
        <w:t xml:space="preserve">Sdružení </w:t>
      </w:r>
      <w:r w:rsidR="003015E0" w:rsidRPr="00150F88">
        <w:rPr>
          <w:rFonts w:ascii="Arial" w:hAnsi="Arial" w:cs="Arial"/>
          <w:b/>
        </w:rPr>
        <w:t xml:space="preserve">PROJEKCE </w:t>
      </w:r>
      <w:r w:rsidR="00150F88" w:rsidRPr="00150F88">
        <w:rPr>
          <w:rFonts w:ascii="Arial" w:hAnsi="Arial" w:cs="Arial"/>
          <w:b/>
          <w:bCs/>
        </w:rPr>
        <w:t>&amp; AREA G.K.</w:t>
      </w:r>
    </w:p>
    <w:p w14:paraId="5D6F1464" w14:textId="3AEF968A" w:rsidR="00797C50" w:rsidRPr="00150F88" w:rsidRDefault="00ED2F8F" w:rsidP="003015E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150F88">
        <w:rPr>
          <w:rFonts w:ascii="Arial" w:hAnsi="Arial" w:cs="Arial"/>
          <w:bCs/>
        </w:rPr>
        <w:t>První společník (</w:t>
      </w:r>
      <w:r w:rsidR="000C74AF" w:rsidRPr="00150F88">
        <w:rPr>
          <w:rFonts w:ascii="Arial" w:hAnsi="Arial" w:cs="Arial"/>
          <w:bCs/>
        </w:rPr>
        <w:t xml:space="preserve">vedoucí </w:t>
      </w:r>
      <w:r w:rsidR="006674DF" w:rsidRPr="00150F88">
        <w:rPr>
          <w:rFonts w:ascii="Arial" w:hAnsi="Arial" w:cs="Arial"/>
          <w:bCs/>
        </w:rPr>
        <w:t>společník</w:t>
      </w:r>
      <w:r w:rsidRPr="00150F88">
        <w:rPr>
          <w:rFonts w:ascii="Arial" w:hAnsi="Arial" w:cs="Arial"/>
          <w:bCs/>
        </w:rPr>
        <w:t xml:space="preserve">): </w:t>
      </w:r>
      <w:r w:rsidR="00150F88" w:rsidRPr="00150F88">
        <w:rPr>
          <w:rFonts w:ascii="Arial" w:hAnsi="Arial" w:cs="Arial"/>
          <w:bCs/>
          <w:i/>
          <w:iCs/>
        </w:rPr>
        <w:t>AREA G. K. spol. s r. o.</w:t>
      </w:r>
    </w:p>
    <w:p w14:paraId="32BEDF50" w14:textId="7338014F" w:rsidR="00E0086F" w:rsidRPr="00150F88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50F88">
        <w:rPr>
          <w:rFonts w:ascii="Arial" w:hAnsi="Arial" w:cs="Arial"/>
          <w:bCs/>
        </w:rPr>
        <w:t>se sídlem</w:t>
      </w:r>
      <w:r w:rsidR="00C83A8C" w:rsidRPr="00150F88">
        <w:rPr>
          <w:rFonts w:ascii="Arial" w:hAnsi="Arial" w:cs="Arial"/>
          <w:bCs/>
        </w:rPr>
        <w:t xml:space="preserve"> </w:t>
      </w:r>
      <w:bookmarkStart w:id="4" w:name="_Hlk214960152"/>
      <w:r w:rsidR="00150F88" w:rsidRPr="00150F88">
        <w:rPr>
          <w:rFonts w:ascii="Arial" w:hAnsi="Arial" w:cs="Arial"/>
          <w:bCs/>
        </w:rPr>
        <w:t>Světská 418, 198 00 Praha - 9 Kyje</w:t>
      </w:r>
      <w:bookmarkEnd w:id="4"/>
      <w:r w:rsidRPr="00150F88">
        <w:rPr>
          <w:rFonts w:ascii="Arial" w:hAnsi="Arial" w:cs="Arial"/>
          <w:snapToGrid w:val="0"/>
        </w:rPr>
        <w:t>, IČO</w:t>
      </w:r>
      <w:r w:rsidR="00150F88" w:rsidRPr="00150F88">
        <w:rPr>
          <w:rFonts w:ascii="Arial" w:hAnsi="Arial" w:cs="Arial"/>
          <w:snapToGrid w:val="0"/>
        </w:rPr>
        <w:t>25094459</w:t>
      </w:r>
    </w:p>
    <w:p w14:paraId="792A7839" w14:textId="1D62C246" w:rsidR="008A4C99" w:rsidRPr="00150F88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150F88">
        <w:rPr>
          <w:rFonts w:ascii="Arial" w:hAnsi="Arial" w:cs="Arial"/>
          <w:bCs/>
        </w:rPr>
        <w:t xml:space="preserve">Zastoupený:                                                 </w:t>
      </w:r>
      <w:r w:rsidR="00150F88" w:rsidRPr="00150F88">
        <w:rPr>
          <w:rFonts w:ascii="Arial" w:hAnsi="Arial" w:cs="Arial"/>
          <w:bCs/>
        </w:rPr>
        <w:t>Milanem Novým</w:t>
      </w:r>
      <w:r w:rsidRPr="00150F88">
        <w:rPr>
          <w:rFonts w:ascii="Arial" w:hAnsi="Arial" w:cs="Arial"/>
          <w:bCs/>
        </w:rPr>
        <w:t xml:space="preserve">, </w:t>
      </w:r>
      <w:r w:rsidR="00150F88" w:rsidRPr="00150F88">
        <w:rPr>
          <w:rFonts w:ascii="Arial" w:hAnsi="Arial" w:cs="Arial"/>
          <w:bCs/>
        </w:rPr>
        <w:t>jednatelem</w:t>
      </w:r>
    </w:p>
    <w:p w14:paraId="2D10C016" w14:textId="77777777" w:rsidR="00150F88" w:rsidRDefault="00150F88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</w:p>
    <w:p w14:paraId="659CAF05" w14:textId="390918FF" w:rsidR="00A80731" w:rsidRPr="00150F88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150F88">
        <w:rPr>
          <w:rFonts w:ascii="Arial" w:hAnsi="Arial" w:cs="Arial"/>
          <w:bCs/>
        </w:rPr>
        <w:lastRenderedPageBreak/>
        <w:t>Druhý společník (účastník</w:t>
      </w:r>
      <w:r w:rsidR="00E33447" w:rsidRPr="00150F88">
        <w:rPr>
          <w:rFonts w:ascii="Arial" w:hAnsi="Arial" w:cs="Arial"/>
          <w:bCs/>
        </w:rPr>
        <w:t xml:space="preserve">): </w:t>
      </w:r>
      <w:r w:rsidR="00150F88" w:rsidRPr="00150F88">
        <w:rPr>
          <w:rFonts w:ascii="Arial" w:hAnsi="Arial" w:cs="Arial"/>
          <w:bCs/>
          <w:i/>
          <w:iCs/>
        </w:rPr>
        <w:t>Ing. Jindřich Jíra - PROJEKCE</w:t>
      </w:r>
    </w:p>
    <w:p w14:paraId="25E14983" w14:textId="0B5B0618" w:rsidR="00C83A8C" w:rsidRPr="00150F88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150F88">
        <w:rPr>
          <w:rFonts w:ascii="Arial" w:hAnsi="Arial" w:cs="Arial"/>
          <w:bCs/>
        </w:rPr>
        <w:t xml:space="preserve">se sídlem </w:t>
      </w:r>
      <w:r w:rsidR="007B313C">
        <w:rPr>
          <w:rFonts w:ascii="Arial" w:hAnsi="Arial" w:cs="Arial"/>
          <w:bCs/>
        </w:rPr>
        <w:t>XXXXXXXXXX</w:t>
      </w:r>
      <w:r w:rsidR="00463DFF">
        <w:rPr>
          <w:rFonts w:ascii="Arial" w:hAnsi="Arial" w:cs="Arial"/>
          <w:bCs/>
        </w:rPr>
        <w:t>, 395 01 Pacov</w:t>
      </w:r>
      <w:r w:rsidRPr="00150F88">
        <w:rPr>
          <w:rFonts w:ascii="Arial" w:hAnsi="Arial" w:cs="Arial"/>
          <w:snapToGrid w:val="0"/>
        </w:rPr>
        <w:t xml:space="preserve">, IČO: </w:t>
      </w:r>
      <w:r w:rsidR="00150F88" w:rsidRPr="00150F88">
        <w:rPr>
          <w:rFonts w:ascii="Arial" w:hAnsi="Arial" w:cs="Arial"/>
          <w:snapToGrid w:val="0"/>
        </w:rPr>
        <w:t>43820654</w:t>
      </w:r>
    </w:p>
    <w:p w14:paraId="5F172459" w14:textId="5D12FF1C" w:rsidR="00E629DB" w:rsidRPr="00150F88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150F88">
        <w:rPr>
          <w:rFonts w:ascii="Arial" w:hAnsi="Arial" w:cs="Arial"/>
          <w:bCs/>
        </w:rPr>
        <w:t xml:space="preserve">Zastoupený:                                                  </w:t>
      </w:r>
      <w:r w:rsidR="00150F88" w:rsidRPr="00150F88">
        <w:rPr>
          <w:rFonts w:ascii="Arial" w:hAnsi="Arial" w:cs="Arial"/>
          <w:bCs/>
        </w:rPr>
        <w:t>Ing. Jindřichem Jírou, jednatelem</w:t>
      </w:r>
    </w:p>
    <w:p w14:paraId="74475015" w14:textId="77777777" w:rsidR="00C96040" w:rsidRPr="00150F88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3012DD6D" w14:textId="1682FB85" w:rsidR="00E37025" w:rsidRPr="00150F88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150F88">
        <w:rPr>
          <w:rFonts w:ascii="Arial" w:hAnsi="Arial" w:cs="Arial"/>
          <w:bCs/>
        </w:rPr>
        <w:t xml:space="preserve">Na základě Smlouvy o společnosti ze dne </w:t>
      </w:r>
      <w:r w:rsidR="00150F88" w:rsidRPr="00150F88">
        <w:rPr>
          <w:rFonts w:ascii="Arial" w:hAnsi="Arial" w:cs="Arial"/>
          <w:bCs/>
        </w:rPr>
        <w:t>9. 8. 2021</w:t>
      </w:r>
      <w:r w:rsidR="00403809" w:rsidRPr="00150F88">
        <w:rPr>
          <w:rFonts w:eastAsia="Times New Roman" w:cs="Arial"/>
          <w:b/>
          <w:bCs/>
          <w:snapToGrid w:val="0"/>
        </w:rPr>
        <w:t xml:space="preserve"> </w:t>
      </w:r>
      <w:r w:rsidR="004866CB" w:rsidRPr="00150F88">
        <w:rPr>
          <w:rFonts w:ascii="Arial" w:hAnsi="Arial" w:cs="Arial"/>
          <w:bCs/>
        </w:rPr>
        <w:t xml:space="preserve">za společnost jedná: </w:t>
      </w:r>
    </w:p>
    <w:p w14:paraId="6B211E4F" w14:textId="3DE72159" w:rsidR="00C83A8C" w:rsidRPr="00150F88" w:rsidRDefault="00150F88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150F88">
        <w:rPr>
          <w:rFonts w:ascii="Arial" w:hAnsi="Arial" w:cs="Arial"/>
          <w:b/>
          <w:bCs/>
          <w:snapToGrid w:val="0"/>
        </w:rPr>
        <w:t>Milan Nový</w:t>
      </w:r>
      <w:r w:rsidR="0083666F" w:rsidRPr="00150F88">
        <w:rPr>
          <w:rFonts w:ascii="Arial" w:hAnsi="Arial" w:cs="Arial"/>
        </w:rPr>
        <w:t xml:space="preserve">, </w:t>
      </w:r>
      <w:r w:rsidRPr="00150F88">
        <w:rPr>
          <w:rFonts w:ascii="Arial" w:hAnsi="Arial" w:cs="Arial"/>
        </w:rPr>
        <w:t>jednatel firmy</w:t>
      </w:r>
    </w:p>
    <w:p w14:paraId="5440852F" w14:textId="1D7F2135" w:rsidR="00E37025" w:rsidRPr="008A4C99" w:rsidRDefault="00E37025" w:rsidP="00EC1291">
      <w:pPr>
        <w:spacing w:after="120"/>
        <w:ind w:left="567"/>
        <w:jc w:val="both"/>
        <w:rPr>
          <w:rFonts w:ascii="Arial" w:hAnsi="Arial" w:cs="Arial"/>
          <w:bCs/>
          <w:highlight w:val="lightGray"/>
        </w:rPr>
      </w:pPr>
      <w:r w:rsidRPr="00150F88">
        <w:rPr>
          <w:rFonts w:ascii="Arial" w:hAnsi="Arial" w:cs="Arial"/>
          <w:bCs/>
        </w:rPr>
        <w:t xml:space="preserve">Korespondenční </w:t>
      </w:r>
      <w:r w:rsidRPr="009E3856">
        <w:rPr>
          <w:rFonts w:ascii="Arial" w:hAnsi="Arial" w:cs="Arial"/>
          <w:bCs/>
        </w:rPr>
        <w:t xml:space="preserve">adresa: </w:t>
      </w:r>
      <w:r w:rsidR="009E3856" w:rsidRPr="009E3856">
        <w:rPr>
          <w:rFonts w:ascii="Arial" w:hAnsi="Arial" w:cs="Arial"/>
          <w:bCs/>
        </w:rPr>
        <w:t>Světská 1418, 198 00 Praha 9 - Kyje</w:t>
      </w:r>
    </w:p>
    <w:p w14:paraId="5F89DDB9" w14:textId="3C2706A7" w:rsidR="00E0086F" w:rsidRPr="008A4C9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70BDDFE" w14:textId="6C29DF27" w:rsidR="00E0086F" w:rsidRPr="003A48E8" w:rsidRDefault="00F077BD" w:rsidP="00EC1291">
      <w:pPr>
        <w:spacing w:after="120"/>
        <w:ind w:left="567"/>
        <w:jc w:val="both"/>
        <w:rPr>
          <w:rFonts w:ascii="Arial" w:hAnsi="Arial" w:cs="Arial"/>
          <w:highlight w:val="lightGray"/>
        </w:rPr>
      </w:pPr>
      <w:bookmarkStart w:id="5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9E3856" w:rsidRPr="003A48E8">
        <w:rPr>
          <w:rFonts w:ascii="Arial" w:hAnsi="Arial" w:cs="Arial"/>
          <w:snapToGrid w:val="0"/>
        </w:rPr>
        <w:t>Milanem Novým, jednatelem</w:t>
      </w:r>
    </w:p>
    <w:p w14:paraId="2D5046AC" w14:textId="668F9B26" w:rsidR="00E0086F" w:rsidRPr="008A4C9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  <w:r w:rsidRPr="00B25D1E">
        <w:rPr>
          <w:rFonts w:ascii="Arial" w:hAnsi="Arial" w:cs="Arial"/>
        </w:rPr>
        <w:t xml:space="preserve">V technických záležitostech </w:t>
      </w:r>
      <w:r w:rsidR="00A2197C" w:rsidRPr="00B25D1E">
        <w:rPr>
          <w:rFonts w:ascii="Arial" w:hAnsi="Arial" w:cs="Arial"/>
        </w:rPr>
        <w:t>zastoupený</w:t>
      </w:r>
      <w:r w:rsidRPr="00B25D1E">
        <w:rPr>
          <w:rFonts w:ascii="Arial" w:hAnsi="Arial" w:cs="Arial"/>
        </w:rPr>
        <w:t xml:space="preserve">: </w:t>
      </w:r>
      <w:r w:rsidR="0083666F" w:rsidRPr="00B25D1E">
        <w:rPr>
          <w:rFonts w:ascii="Arial" w:hAnsi="Arial" w:cs="Arial"/>
        </w:rPr>
        <w:t xml:space="preserve">   </w:t>
      </w:r>
      <w:r w:rsidR="00B25D1E">
        <w:rPr>
          <w:rFonts w:ascii="Arial" w:hAnsi="Arial" w:cs="Arial"/>
        </w:rPr>
        <w:t xml:space="preserve">    </w:t>
      </w:r>
      <w:r w:rsidR="007B313C">
        <w:rPr>
          <w:rFonts w:ascii="Arial" w:hAnsi="Arial" w:cs="Arial"/>
          <w:snapToGrid w:val="0"/>
        </w:rPr>
        <w:t>XXXXXXXXXX</w:t>
      </w:r>
      <w:r w:rsidR="00294677" w:rsidRPr="003A48E8">
        <w:rPr>
          <w:rFonts w:ascii="Arial" w:hAnsi="Arial" w:cs="Arial"/>
          <w:snapToGrid w:val="0"/>
        </w:rPr>
        <w:t xml:space="preserve">, </w:t>
      </w:r>
      <w:r w:rsidR="007B313C">
        <w:rPr>
          <w:rFonts w:ascii="Arial" w:hAnsi="Arial" w:cs="Arial"/>
          <w:snapToGrid w:val="0"/>
        </w:rPr>
        <w:t>XXXXXXXXXX</w:t>
      </w:r>
      <w:r w:rsidR="0083666F" w:rsidRPr="00294677">
        <w:rPr>
          <w:rFonts w:ascii="Arial" w:hAnsi="Arial" w:cs="Arial"/>
        </w:rPr>
        <w:t xml:space="preserve"> </w:t>
      </w:r>
    </w:p>
    <w:p w14:paraId="7BB3EF73" w14:textId="77777777" w:rsidR="00E0086F" w:rsidRPr="00F3723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6" w:name="_Hlk214960830"/>
      <w:bookmarkEnd w:id="5"/>
      <w:r w:rsidRPr="00F37233">
        <w:rPr>
          <w:rFonts w:ascii="Arial" w:hAnsi="Arial" w:cs="Arial"/>
          <w:b/>
          <w:bCs/>
        </w:rPr>
        <w:t>Kontaktní údaje:</w:t>
      </w:r>
    </w:p>
    <w:p w14:paraId="40F60D1B" w14:textId="1581B599" w:rsidR="00E0086F" w:rsidRPr="00F3723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7233">
        <w:rPr>
          <w:rFonts w:ascii="Arial" w:hAnsi="Arial" w:cs="Arial"/>
        </w:rPr>
        <w:t xml:space="preserve">Tel.: </w:t>
      </w:r>
      <w:r w:rsidR="00F449C4" w:rsidRPr="00F37233">
        <w:rPr>
          <w:rFonts w:ascii="Arial" w:hAnsi="Arial" w:cs="Arial"/>
        </w:rPr>
        <w:t xml:space="preserve">                                                                  </w:t>
      </w:r>
      <w:r w:rsidR="007B313C">
        <w:rPr>
          <w:rFonts w:ascii="Arial" w:hAnsi="Arial" w:cs="Arial"/>
        </w:rPr>
        <w:t>XXXXXXXXXX</w:t>
      </w:r>
    </w:p>
    <w:p w14:paraId="3A61A83D" w14:textId="743A1C5B" w:rsidR="00E0086F" w:rsidRPr="00463DF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63DFF">
        <w:rPr>
          <w:rFonts w:ascii="Arial" w:hAnsi="Arial" w:cs="Arial"/>
        </w:rPr>
        <w:t>E-mail:</w:t>
      </w:r>
      <w:r w:rsidRPr="00463DFF">
        <w:rPr>
          <w:rFonts w:ascii="Arial" w:hAnsi="Arial" w:cs="Arial"/>
          <w:snapToGrid w:val="0"/>
        </w:rPr>
        <w:t xml:space="preserve"> </w:t>
      </w:r>
      <w:r w:rsidR="00F449C4" w:rsidRPr="00463DFF">
        <w:rPr>
          <w:rFonts w:ascii="Arial" w:hAnsi="Arial" w:cs="Arial"/>
          <w:snapToGrid w:val="0"/>
        </w:rPr>
        <w:t xml:space="preserve">                                                              </w:t>
      </w:r>
      <w:r w:rsidR="007B313C">
        <w:rPr>
          <w:rFonts w:ascii="Arial" w:hAnsi="Arial" w:cs="Arial"/>
          <w:snapToGrid w:val="0"/>
        </w:rPr>
        <w:t>XXXXXXXXXX</w:t>
      </w:r>
    </w:p>
    <w:p w14:paraId="4F80076C" w14:textId="6AC0F269" w:rsidR="00E0086F" w:rsidRPr="008A4C99" w:rsidRDefault="00E0086F" w:rsidP="00EC1291">
      <w:pPr>
        <w:spacing w:after="120"/>
        <w:ind w:left="567"/>
        <w:jc w:val="both"/>
        <w:rPr>
          <w:rFonts w:ascii="Arial" w:hAnsi="Arial" w:cs="Arial"/>
          <w:highlight w:val="lightGray"/>
        </w:rPr>
      </w:pPr>
      <w:r w:rsidRPr="00463DFF">
        <w:rPr>
          <w:rFonts w:ascii="Arial" w:hAnsi="Arial" w:cs="Arial"/>
        </w:rPr>
        <w:t>ID datové schránky:</w:t>
      </w:r>
      <w:r w:rsidRPr="00463DFF">
        <w:rPr>
          <w:rFonts w:ascii="Arial" w:hAnsi="Arial" w:cs="Arial"/>
          <w:snapToGrid w:val="0"/>
        </w:rPr>
        <w:t xml:space="preserve"> </w:t>
      </w:r>
      <w:r w:rsidR="00F449C4" w:rsidRPr="00463DFF">
        <w:rPr>
          <w:rFonts w:ascii="Arial" w:hAnsi="Arial" w:cs="Arial"/>
          <w:snapToGrid w:val="0"/>
        </w:rPr>
        <w:t xml:space="preserve">                                          </w:t>
      </w:r>
      <w:r w:rsidR="00F37233" w:rsidRPr="00463DFF">
        <w:rPr>
          <w:rFonts w:ascii="Arial" w:hAnsi="Arial" w:cs="Arial"/>
          <w:snapToGrid w:val="0"/>
        </w:rPr>
        <w:t>jyem6ry</w:t>
      </w:r>
    </w:p>
    <w:p w14:paraId="7DA99D36" w14:textId="0E0B5C69" w:rsidR="00E0086F" w:rsidRPr="00463DF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63DFF">
        <w:rPr>
          <w:rFonts w:ascii="Arial" w:hAnsi="Arial" w:cs="Arial"/>
          <w:b/>
        </w:rPr>
        <w:t>Bankovní spojení:</w:t>
      </w:r>
    </w:p>
    <w:p w14:paraId="6F011ECB" w14:textId="33329B53" w:rsidR="00E0086F" w:rsidRPr="00463DF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63DFF">
        <w:rPr>
          <w:rFonts w:ascii="Arial" w:hAnsi="Arial" w:cs="Arial"/>
        </w:rPr>
        <w:t xml:space="preserve">Číslo účtu: </w:t>
      </w:r>
      <w:r w:rsidR="00F449C4" w:rsidRPr="00463DFF">
        <w:rPr>
          <w:rFonts w:ascii="Arial" w:hAnsi="Arial" w:cs="Arial"/>
        </w:rPr>
        <w:t xml:space="preserve">                                                         </w:t>
      </w:r>
      <w:r w:rsidR="00463DFF" w:rsidRPr="00463DFF">
        <w:rPr>
          <w:rFonts w:ascii="Arial" w:hAnsi="Arial" w:cs="Arial"/>
          <w:snapToGrid w:val="0"/>
        </w:rPr>
        <w:t>19-4040960207/100</w:t>
      </w:r>
    </w:p>
    <w:p w14:paraId="19074D75" w14:textId="087EC6F2" w:rsidR="00E0086F" w:rsidRPr="00463DF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63DFF">
        <w:rPr>
          <w:rFonts w:ascii="Arial" w:hAnsi="Arial" w:cs="Arial"/>
        </w:rPr>
        <w:t xml:space="preserve">DIČ: </w:t>
      </w:r>
      <w:r w:rsidR="00F449C4" w:rsidRPr="00463DFF">
        <w:rPr>
          <w:rFonts w:ascii="Arial" w:hAnsi="Arial" w:cs="Arial"/>
        </w:rPr>
        <w:t xml:space="preserve">                                                                   </w:t>
      </w:r>
      <w:r w:rsidR="00463DFF" w:rsidRPr="00463DFF">
        <w:rPr>
          <w:rFonts w:ascii="Arial" w:hAnsi="Arial" w:cs="Arial"/>
          <w:snapToGrid w:val="0"/>
        </w:rPr>
        <w:t>CZ25094459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63DFF">
        <w:rPr>
          <w:rFonts w:ascii="Arial" w:hAnsi="Arial" w:cs="Arial"/>
        </w:rPr>
        <w:t>(</w:t>
      </w:r>
      <w:r w:rsidR="00F449C4" w:rsidRPr="00463DFF">
        <w:rPr>
          <w:rFonts w:ascii="Arial" w:hAnsi="Arial" w:cs="Arial"/>
        </w:rPr>
        <w:t xml:space="preserve">dále jen </w:t>
      </w:r>
      <w:r w:rsidRPr="00463DFF">
        <w:rPr>
          <w:rFonts w:ascii="Arial" w:hAnsi="Arial" w:cs="Arial"/>
          <w:b/>
        </w:rPr>
        <w:t>„Zhotovitel“</w:t>
      </w:r>
      <w:r w:rsidRPr="00463DFF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D10E8A5" w14:textId="77777777" w:rsidR="00B25D1E" w:rsidRDefault="00B25D1E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2380E5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D1EF6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ECD97D1" w14:textId="77777777" w:rsidR="00B25D1E" w:rsidRDefault="00B25D1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AB17BB2" w14:textId="77777777" w:rsidR="00B25D1E" w:rsidRDefault="00B25D1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7D62F8E" w14:textId="77777777" w:rsidR="00B25D1E" w:rsidRDefault="00B25D1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7D84571D" w14:textId="77777777" w:rsidR="006307BB" w:rsidRPr="005B389C" w:rsidRDefault="001F7475" w:rsidP="00E60937">
      <w:pPr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Předmětem </w:t>
      </w:r>
      <w:r w:rsidR="002159EA">
        <w:rPr>
          <w:rFonts w:ascii="Arial" w:hAnsi="Arial" w:cs="Arial"/>
        </w:rPr>
        <w:t>dodatku</w:t>
      </w:r>
      <w:r w:rsidR="002159EA" w:rsidRPr="00BF554C">
        <w:rPr>
          <w:rFonts w:ascii="Arial" w:hAnsi="Arial" w:cs="Arial"/>
        </w:rPr>
        <w:t xml:space="preserve"> </w:t>
      </w:r>
      <w:r w:rsidR="001F3D7E" w:rsidRPr="00D63BE5">
        <w:rPr>
          <w:rFonts w:ascii="Arial" w:hAnsi="Arial" w:cs="Arial"/>
        </w:rPr>
        <w:t xml:space="preserve">je </w:t>
      </w:r>
      <w:r w:rsidR="002159EA" w:rsidRPr="00D63BE5">
        <w:rPr>
          <w:rFonts w:ascii="Arial" w:hAnsi="Arial" w:cs="Arial"/>
        </w:rPr>
        <w:t>nepodstatn</w:t>
      </w:r>
      <w:r w:rsidR="001F3D7E" w:rsidRPr="00D63BE5">
        <w:rPr>
          <w:rFonts w:ascii="Arial" w:hAnsi="Arial" w:cs="Arial"/>
        </w:rPr>
        <w:t>á</w:t>
      </w:r>
      <w:r w:rsidR="00C875A6" w:rsidRPr="00D63BE5">
        <w:rPr>
          <w:rFonts w:ascii="Arial" w:hAnsi="Arial" w:cs="Arial"/>
        </w:rPr>
        <w:t xml:space="preserve"> </w:t>
      </w:r>
      <w:r w:rsidR="002159EA" w:rsidRPr="00D63BE5">
        <w:rPr>
          <w:rFonts w:ascii="Arial" w:hAnsi="Arial" w:cs="Arial"/>
        </w:rPr>
        <w:t>změn</w:t>
      </w:r>
      <w:r w:rsidR="001F3D7E" w:rsidRPr="00D63BE5">
        <w:rPr>
          <w:rFonts w:ascii="Arial" w:hAnsi="Arial" w:cs="Arial"/>
        </w:rPr>
        <w:t>a</w:t>
      </w:r>
      <w:r w:rsidR="002159EA" w:rsidRPr="00D63BE5">
        <w:rPr>
          <w:rFonts w:ascii="Arial" w:hAnsi="Arial" w:cs="Arial"/>
        </w:rPr>
        <w:t xml:space="preserve"> závazku ze </w:t>
      </w:r>
      <w:r w:rsidR="009E27FC">
        <w:rPr>
          <w:rFonts w:ascii="Arial" w:hAnsi="Arial" w:cs="Arial"/>
        </w:rPr>
        <w:t>S</w:t>
      </w:r>
      <w:r w:rsidR="002159EA" w:rsidRPr="00D63BE5">
        <w:rPr>
          <w:rFonts w:ascii="Arial" w:hAnsi="Arial" w:cs="Arial"/>
        </w:rPr>
        <w:t>mlouvy</w:t>
      </w:r>
      <w:r w:rsidR="00FA0AD9" w:rsidRPr="00D63BE5">
        <w:rPr>
          <w:rFonts w:ascii="Arial" w:hAnsi="Arial" w:cs="Arial"/>
        </w:rPr>
        <w:t xml:space="preserve">, </w:t>
      </w:r>
      <w:r w:rsidR="008D65E7" w:rsidRPr="00D63BE5">
        <w:rPr>
          <w:rFonts w:ascii="Arial" w:hAnsi="Arial" w:cs="Arial"/>
        </w:rPr>
        <w:t>jej</w:t>
      </w:r>
      <w:r w:rsidR="001F3D7E" w:rsidRPr="00D63BE5">
        <w:rPr>
          <w:rFonts w:ascii="Arial" w:hAnsi="Arial" w:cs="Arial"/>
        </w:rPr>
        <w:t>í</w:t>
      </w:r>
      <w:r w:rsidR="008D65E7" w:rsidRPr="00D63BE5">
        <w:rPr>
          <w:rFonts w:ascii="Arial" w:hAnsi="Arial" w:cs="Arial"/>
        </w:rPr>
        <w:t>ž</w:t>
      </w:r>
      <w:r w:rsidR="008D65E7">
        <w:rPr>
          <w:rFonts w:ascii="Arial" w:hAnsi="Arial" w:cs="Arial"/>
        </w:rPr>
        <w:t xml:space="preserve"> potřeba vyvstala v průběhu plnění díla</w:t>
      </w:r>
      <w:r w:rsidR="00D63BE5">
        <w:rPr>
          <w:rFonts w:ascii="Arial" w:hAnsi="Arial" w:cs="Arial"/>
        </w:rPr>
        <w:t>. Změna</w:t>
      </w:r>
      <w:r w:rsidR="001F3D7E">
        <w:rPr>
          <w:rFonts w:ascii="Arial" w:hAnsi="Arial" w:cs="Arial"/>
          <w:b/>
          <w:bCs/>
        </w:rPr>
        <w:t xml:space="preserve"> </w:t>
      </w:r>
      <w:r w:rsidR="001F3D7E" w:rsidRPr="001F3D7E">
        <w:rPr>
          <w:rFonts w:ascii="Arial" w:hAnsi="Arial" w:cs="Arial"/>
        </w:rPr>
        <w:t>spočív</w:t>
      </w:r>
      <w:r w:rsidR="00D63BE5">
        <w:rPr>
          <w:rFonts w:ascii="Arial" w:hAnsi="Arial" w:cs="Arial"/>
        </w:rPr>
        <w:t>á</w:t>
      </w:r>
      <w:r w:rsidR="001F3D7E" w:rsidRPr="001F3D7E">
        <w:rPr>
          <w:rFonts w:ascii="Arial" w:hAnsi="Arial" w:cs="Arial"/>
        </w:rPr>
        <w:t xml:space="preserve"> </w:t>
      </w:r>
      <w:r w:rsidR="008846E6">
        <w:rPr>
          <w:rFonts w:ascii="Arial" w:hAnsi="Arial" w:cs="Arial"/>
        </w:rPr>
        <w:t xml:space="preserve">ve </w:t>
      </w:r>
      <w:r w:rsidR="001F3D7E" w:rsidRPr="001F3D7E">
        <w:rPr>
          <w:rFonts w:ascii="Arial" w:hAnsi="Arial" w:cs="Arial"/>
        </w:rPr>
        <w:t>změně termínů předání dílčích částí</w:t>
      </w:r>
      <w:r w:rsidR="001F3D7E">
        <w:rPr>
          <w:rFonts w:ascii="Arial" w:hAnsi="Arial" w:cs="Arial"/>
          <w:b/>
          <w:bCs/>
        </w:rPr>
        <w:t>.</w:t>
      </w:r>
      <w:r w:rsidR="006307BB">
        <w:rPr>
          <w:rFonts w:ascii="Arial" w:hAnsi="Arial" w:cs="Arial"/>
          <w:b/>
          <w:bCs/>
        </w:rPr>
        <w:t xml:space="preserve"> </w:t>
      </w:r>
      <w:r w:rsidR="006307BB" w:rsidRPr="005B389C">
        <w:rPr>
          <w:rFonts w:ascii="Arial" w:hAnsi="Arial" w:cs="Arial"/>
        </w:rPr>
        <w:t xml:space="preserve">Dále došlo ke změně sídla </w:t>
      </w:r>
      <w:r w:rsidR="006307BB">
        <w:rPr>
          <w:rFonts w:ascii="Arial" w:hAnsi="Arial" w:cs="Arial"/>
        </w:rPr>
        <w:t>reprezentanta sdružení AREA G.K. spol s r.o., který nově sídlí na adrese: Světská 1418, 198 00 Praha Kyje.</w:t>
      </w:r>
    </w:p>
    <w:p w14:paraId="7D813008" w14:textId="601CA5E1" w:rsidR="00B25D1E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</w:t>
      </w:r>
      <w:r w:rsidR="00867264">
        <w:rPr>
          <w:rFonts w:ascii="Arial" w:hAnsi="Arial" w:cs="Arial"/>
          <w:szCs w:val="22"/>
        </w:rPr>
        <w:t xml:space="preserve"> se mění</w:t>
      </w:r>
      <w:r>
        <w:rPr>
          <w:rFonts w:ascii="Arial" w:hAnsi="Arial" w:cs="Arial"/>
          <w:szCs w:val="22"/>
        </w:rPr>
        <w:t xml:space="preserve">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7E41A28B" w14:textId="77777777" w:rsidR="00B25D1E" w:rsidRDefault="00B25D1E" w:rsidP="008846E6">
      <w:pPr>
        <w:ind w:left="705" w:hanging="705"/>
        <w:jc w:val="both"/>
        <w:rPr>
          <w:rFonts w:ascii="Arial" w:hAnsi="Arial" w:cs="Arial"/>
        </w:rPr>
      </w:pPr>
    </w:p>
    <w:p w14:paraId="71E9054E" w14:textId="77777777" w:rsidR="00B25D1E" w:rsidRDefault="00B25D1E" w:rsidP="008846E6">
      <w:pPr>
        <w:ind w:left="705" w:hanging="705"/>
        <w:jc w:val="both"/>
        <w:rPr>
          <w:rFonts w:ascii="Arial" w:hAnsi="Arial" w:cs="Arial"/>
        </w:rPr>
      </w:pPr>
    </w:p>
    <w:p w14:paraId="2A788D63" w14:textId="3705BB23" w:rsidR="004F2AA6" w:rsidRPr="008846E6" w:rsidRDefault="00F76A5A" w:rsidP="008846E6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7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8846E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846E6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8846E6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8846E6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380B8048" w:rsidR="00B64EF4" w:rsidRPr="00DC2191" w:rsidRDefault="008846E6" w:rsidP="00612E51">
            <w:pPr>
              <w:jc w:val="center"/>
              <w:rPr>
                <w:rFonts w:ascii="Arial" w:hAnsi="Arial" w:cs="Arial"/>
              </w:rPr>
            </w:pPr>
            <w:r w:rsidRPr="00DC2191">
              <w:rPr>
                <w:rFonts w:ascii="Arial" w:hAnsi="Arial" w:cs="Arial"/>
              </w:rPr>
              <w:t xml:space="preserve">do 11 měsíců od doby předání výsledků IGP a dat ČHMÚ 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8FD98DE" w:rsidR="00B64EF4" w:rsidRPr="00566DD8" w:rsidRDefault="00DC2191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00E52336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E52336">
              <w:rPr>
                <w:rFonts w:ascii="Arial" w:hAnsi="Arial" w:cs="Arial"/>
                <w:b/>
                <w:bCs/>
                <w:color w:val="FF0000"/>
              </w:rPr>
              <w:t>8</w:t>
            </w:r>
            <w:r>
              <w:rPr>
                <w:rFonts w:ascii="Arial" w:hAnsi="Arial" w:cs="Arial"/>
                <w:b/>
                <w:bCs/>
                <w:color w:val="FF0000"/>
              </w:rPr>
              <w:t>. 2026</w:t>
            </w: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481A02AC" w:rsidR="00B64EF4" w:rsidRPr="008846E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846E6">
              <w:rPr>
                <w:rFonts w:ascii="Arial" w:eastAsia="Arial" w:hAnsi="Arial" w:cs="Arial"/>
              </w:rPr>
              <w:t xml:space="preserve">6.3.1 i) </w:t>
            </w:r>
            <w:r w:rsidR="00210065">
              <w:rPr>
                <w:rFonts w:ascii="Arial" w:eastAsia="Arial" w:hAnsi="Arial" w:cs="Arial"/>
              </w:rPr>
              <w:t>b</w:t>
            </w:r>
            <w:r w:rsidRPr="008846E6">
              <w:rPr>
                <w:rFonts w:ascii="Arial" w:eastAsia="Arial" w:hAnsi="Arial" w:cs="Arial"/>
              </w:rPr>
              <w:t>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8846E6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8846E6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8846E6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8846E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846E6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09B51BE1" w:rsidR="00B64EF4" w:rsidRPr="008846E6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8846E6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64EF4" w:rsidRPr="008846E6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Pr="008846E6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8846E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8846E6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8846E6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8846E6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E52336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E52336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03FB417C" w:rsidR="00B64EF4" w:rsidRPr="00E52336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E52336">
              <w:rPr>
                <w:rFonts w:ascii="Arial" w:eastAsia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32D8520B" w:rsidR="00B64EF4" w:rsidRDefault="00E52336" w:rsidP="00612E51">
            <w:pPr>
              <w:jc w:val="center"/>
              <w:rPr>
                <w:rFonts w:ascii="Arial" w:hAnsi="Arial" w:cs="Arial"/>
              </w:rPr>
            </w:pPr>
            <w:r w:rsidRPr="00E52336">
              <w:rPr>
                <w:rFonts w:ascii="Arial" w:hAnsi="Arial" w:cs="Arial"/>
              </w:rPr>
              <w:t>do 10 měsíců po ukončeném akceptačním řízení etapy 6.3.1. PSZ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239DA753" w:rsidR="00B64EF4" w:rsidRPr="00E52336" w:rsidRDefault="00A2197C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52336">
              <w:rPr>
                <w:rFonts w:ascii="Arial" w:hAnsi="Arial" w:cs="Arial"/>
                <w:b/>
                <w:bCs/>
                <w:color w:val="FF0000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00E52336" w:rsidRPr="00E52336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E52336" w:rsidRPr="00E52336">
              <w:rPr>
                <w:rFonts w:ascii="Arial" w:hAnsi="Arial" w:cs="Arial"/>
                <w:b/>
                <w:bCs/>
                <w:color w:val="FF0000"/>
              </w:rPr>
              <w:t>. 2027</w:t>
            </w:r>
          </w:p>
        </w:tc>
      </w:tr>
      <w:bookmarkEnd w:id="7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EAAA8FA" w14:textId="0D5FE987" w:rsidR="00163AD6" w:rsidRPr="00227CC7" w:rsidRDefault="00F668B1" w:rsidP="00227CC7">
      <w:pPr>
        <w:jc w:val="both"/>
        <w:rPr>
          <w:rFonts w:ascii="Arial" w:hAnsi="Arial" w:cs="Arial"/>
          <w:i/>
          <w:iCs/>
        </w:rPr>
      </w:pPr>
      <w:bookmarkStart w:id="8" w:name="_Hlk221710798"/>
      <w:r>
        <w:rPr>
          <w:rFonts w:ascii="Arial" w:hAnsi="Arial" w:cs="Arial"/>
          <w:i/>
          <w:iCs/>
        </w:rPr>
        <w:t xml:space="preserve">Dodatek č. 4 je nutné uzavřít z důvodu, že v rámci etapy 6. 3. 1 </w:t>
      </w:r>
      <w:r w:rsidRPr="008846E6">
        <w:rPr>
          <w:rFonts w:ascii="Arial" w:hAnsi="Arial" w:cs="Arial"/>
          <w:i/>
          <w:iCs/>
        </w:rPr>
        <w:t>Vypracování plánu společných zařízení</w:t>
      </w:r>
      <w:r>
        <w:rPr>
          <w:rFonts w:ascii="Arial" w:hAnsi="Arial" w:cs="Arial"/>
          <w:i/>
          <w:iCs/>
        </w:rPr>
        <w:t xml:space="preserve"> („PSZ“) nechala pobočka Benešov vyhotovit </w:t>
      </w:r>
      <w:r w:rsidR="00A2197C" w:rsidRPr="00A2197C">
        <w:rPr>
          <w:rFonts w:ascii="Arial" w:hAnsi="Arial" w:cs="Arial"/>
          <w:i/>
          <w:iCs/>
        </w:rPr>
        <w:t xml:space="preserve">geologického průzkumu (IGP) </w:t>
      </w:r>
      <w:r>
        <w:rPr>
          <w:rFonts w:ascii="Arial" w:hAnsi="Arial" w:cs="Arial"/>
          <w:i/>
          <w:iCs/>
        </w:rPr>
        <w:t xml:space="preserve">na plánovanou vodní nádrž </w:t>
      </w:r>
      <w:r w:rsidRPr="00A2197C">
        <w:rPr>
          <w:rFonts w:ascii="Arial" w:hAnsi="Arial" w:cs="Arial"/>
          <w:i/>
          <w:iCs/>
        </w:rPr>
        <w:t>VN1</w:t>
      </w:r>
      <w:r w:rsidR="00A2197C" w:rsidRPr="00A2197C">
        <w:rPr>
          <w:rFonts w:ascii="Arial" w:hAnsi="Arial" w:cs="Arial"/>
          <w:i/>
          <w:iCs/>
        </w:rPr>
        <w:t>. Výsledkem provedeného inženýrskogeologického průzkumu (IGP) je zjištění, že materiál ze zátopy není vhodný pro stavbu hráze. Důvodem je skutečnost, že nepropustná vrstva podloží se nachází bezprostředně pod ornicí, již v hloubce přibližně 0,5–1,9 m. Z tohoto důvodu není možné zemní těleso hráze založit s využitím místních zemin. Pro zajištění vhodného materiálu bude nutné vytipovat vhodný zemník v jiné lokalitě. Zpracovatel průzkumu ve spolupráci s pobočkou Benešov proto hledal možnosti, jak vhodný zdroj materiálu pro zemník identifikovat a ověřit.</w:t>
      </w:r>
      <w:r w:rsidRPr="00F668B1">
        <w:rPr>
          <w:rFonts w:ascii="Arial" w:hAnsi="Arial" w:cs="Arial"/>
          <w:i/>
          <w:iCs/>
        </w:rPr>
        <w:t xml:space="preserve"> Jednou z variant bylo</w:t>
      </w:r>
      <w:r>
        <w:rPr>
          <w:rFonts w:ascii="Arial" w:hAnsi="Arial" w:cs="Arial"/>
          <w:i/>
          <w:iCs/>
        </w:rPr>
        <w:t xml:space="preserve"> </w:t>
      </w:r>
      <w:r w:rsidRPr="00F668B1">
        <w:rPr>
          <w:rFonts w:ascii="Arial" w:hAnsi="Arial" w:cs="Arial"/>
          <w:i/>
          <w:iCs/>
        </w:rPr>
        <w:t xml:space="preserve">zadání IGP na </w:t>
      </w:r>
      <w:r w:rsidR="00A2197C">
        <w:rPr>
          <w:rFonts w:ascii="Arial" w:hAnsi="Arial" w:cs="Arial"/>
          <w:i/>
          <w:iCs/>
        </w:rPr>
        <w:t xml:space="preserve">polních </w:t>
      </w:r>
      <w:r w:rsidRPr="00F668B1">
        <w:rPr>
          <w:rFonts w:ascii="Arial" w:hAnsi="Arial" w:cs="Arial"/>
          <w:i/>
          <w:iCs/>
        </w:rPr>
        <w:t>cestách dle návrhu PSZ a společně s jejich realizací vytipovat vhodnou lokalitu na</w:t>
      </w:r>
      <w:r>
        <w:rPr>
          <w:rFonts w:ascii="Arial" w:hAnsi="Arial" w:cs="Arial"/>
          <w:i/>
          <w:iCs/>
        </w:rPr>
        <w:t xml:space="preserve"> </w:t>
      </w:r>
      <w:r w:rsidRPr="00F668B1">
        <w:rPr>
          <w:rFonts w:ascii="Arial" w:hAnsi="Arial" w:cs="Arial"/>
          <w:i/>
          <w:iCs/>
        </w:rPr>
        <w:t>zemník.</w:t>
      </w:r>
      <w:r>
        <w:rPr>
          <w:rFonts w:ascii="Arial" w:hAnsi="Arial" w:cs="Arial"/>
          <w:i/>
          <w:iCs/>
        </w:rPr>
        <w:t xml:space="preserve"> P</w:t>
      </w:r>
      <w:r w:rsidRPr="00F668B1">
        <w:rPr>
          <w:rFonts w:ascii="Arial" w:hAnsi="Arial" w:cs="Arial"/>
          <w:i/>
          <w:iCs/>
        </w:rPr>
        <w:t xml:space="preserve">o zvážení </w:t>
      </w:r>
      <w:r>
        <w:rPr>
          <w:rFonts w:ascii="Arial" w:hAnsi="Arial" w:cs="Arial"/>
          <w:i/>
          <w:iCs/>
        </w:rPr>
        <w:t xml:space="preserve">všech </w:t>
      </w:r>
      <w:r w:rsidRPr="00F668B1">
        <w:rPr>
          <w:rFonts w:ascii="Arial" w:hAnsi="Arial" w:cs="Arial"/>
          <w:i/>
          <w:iCs/>
        </w:rPr>
        <w:t>rizik a</w:t>
      </w:r>
      <w:r>
        <w:rPr>
          <w:rFonts w:ascii="Arial" w:hAnsi="Arial" w:cs="Arial"/>
          <w:i/>
          <w:iCs/>
        </w:rPr>
        <w:t xml:space="preserve"> </w:t>
      </w:r>
      <w:r w:rsidRPr="00F668B1">
        <w:rPr>
          <w:rFonts w:ascii="Arial" w:hAnsi="Arial" w:cs="Arial"/>
          <w:i/>
          <w:iCs/>
        </w:rPr>
        <w:t>ekonomické efektivity spojené s dalšími náklady souvisejících jak s nalezením vhodného</w:t>
      </w:r>
      <w:r>
        <w:rPr>
          <w:rFonts w:ascii="Arial" w:hAnsi="Arial" w:cs="Arial"/>
          <w:i/>
          <w:iCs/>
        </w:rPr>
        <w:t xml:space="preserve"> </w:t>
      </w:r>
      <w:r w:rsidRPr="00F668B1">
        <w:rPr>
          <w:rFonts w:ascii="Arial" w:hAnsi="Arial" w:cs="Arial"/>
          <w:i/>
          <w:iCs/>
        </w:rPr>
        <w:t xml:space="preserve">zemníku, tak výstavbou nádrže, se </w:t>
      </w:r>
      <w:r>
        <w:rPr>
          <w:rFonts w:ascii="Arial" w:hAnsi="Arial" w:cs="Arial"/>
          <w:i/>
          <w:iCs/>
        </w:rPr>
        <w:t>p</w:t>
      </w:r>
      <w:r w:rsidRPr="00F668B1">
        <w:rPr>
          <w:rFonts w:ascii="Arial" w:hAnsi="Arial" w:cs="Arial"/>
          <w:i/>
          <w:iCs/>
        </w:rPr>
        <w:t>obočka rozhodla, že plánovaná VN1 zůstane</w:t>
      </w:r>
      <w:r>
        <w:rPr>
          <w:rFonts w:ascii="Arial" w:hAnsi="Arial" w:cs="Arial"/>
          <w:i/>
          <w:iCs/>
        </w:rPr>
        <w:t xml:space="preserve"> </w:t>
      </w:r>
      <w:r w:rsidRPr="00F668B1">
        <w:rPr>
          <w:rFonts w:ascii="Arial" w:hAnsi="Arial" w:cs="Arial"/>
          <w:i/>
          <w:iCs/>
        </w:rPr>
        <w:t xml:space="preserve">součástí </w:t>
      </w:r>
      <w:r w:rsidR="00A2197C">
        <w:rPr>
          <w:rFonts w:ascii="Arial" w:hAnsi="Arial" w:cs="Arial"/>
          <w:i/>
          <w:iCs/>
        </w:rPr>
        <w:t>PSZ</w:t>
      </w:r>
      <w:r w:rsidRPr="00F668B1">
        <w:rPr>
          <w:rFonts w:ascii="Arial" w:hAnsi="Arial" w:cs="Arial"/>
          <w:i/>
          <w:iCs/>
        </w:rPr>
        <w:t>, avšak Státní pozemkový úřad nebude investorem.</w:t>
      </w:r>
      <w:r>
        <w:rPr>
          <w:rFonts w:ascii="Arial" w:hAnsi="Arial" w:cs="Arial"/>
          <w:i/>
          <w:iCs/>
        </w:rPr>
        <w:t xml:space="preserve"> Toto své vyjádření pobočka zaslala zpracovateli dne 21. 1. 2026. Vzhledem k tomu, že práce na této etapě byly</w:t>
      </w:r>
      <w:r w:rsidR="007F7277">
        <w:rPr>
          <w:rFonts w:ascii="Arial" w:hAnsi="Arial" w:cs="Arial"/>
          <w:i/>
          <w:iCs/>
        </w:rPr>
        <w:t xml:space="preserve"> ve vazbě na výsledky IGP a hledání vhodného způsobu řešení k projektování prvku PSZ VN1</w:t>
      </w:r>
      <w:r>
        <w:rPr>
          <w:rFonts w:ascii="Arial" w:hAnsi="Arial" w:cs="Arial"/>
          <w:i/>
          <w:iCs/>
        </w:rPr>
        <w:t xml:space="preserve"> pozastaveny</w:t>
      </w:r>
      <w:r w:rsidR="00227CC7">
        <w:rPr>
          <w:rFonts w:ascii="Arial" w:hAnsi="Arial" w:cs="Arial"/>
          <w:i/>
          <w:iCs/>
        </w:rPr>
        <w:t>, rozhodla se pobočka lhůtu pro zpracování výše zmíněných etap</w:t>
      </w:r>
      <w:r w:rsidR="00CE33AD">
        <w:rPr>
          <w:rFonts w:ascii="Arial" w:hAnsi="Arial" w:cs="Arial"/>
          <w:i/>
          <w:iCs/>
        </w:rPr>
        <w:t xml:space="preserve"> </w:t>
      </w:r>
      <w:r w:rsidR="00CE33AD" w:rsidRPr="00CE33AD">
        <w:rPr>
          <w:rFonts w:ascii="Arial" w:hAnsi="Arial" w:cs="Arial"/>
          <w:i/>
          <w:iCs/>
        </w:rPr>
        <w:t>na žádost zpracovatele</w:t>
      </w:r>
      <w:r w:rsidR="00227CC7">
        <w:rPr>
          <w:rFonts w:ascii="Arial" w:hAnsi="Arial" w:cs="Arial"/>
          <w:i/>
          <w:iCs/>
        </w:rPr>
        <w:t xml:space="preserve"> prodloužit. </w:t>
      </w:r>
      <w:r w:rsidR="00227CC7" w:rsidRPr="00227CC7">
        <w:rPr>
          <w:rFonts w:ascii="Arial" w:hAnsi="Arial" w:cs="Arial"/>
          <w:i/>
          <w:iCs/>
        </w:rPr>
        <w:t xml:space="preserve">Zpracovatel </w:t>
      </w:r>
      <w:r w:rsidR="007F7277">
        <w:rPr>
          <w:rFonts w:ascii="Arial" w:hAnsi="Arial" w:cs="Arial"/>
          <w:i/>
          <w:iCs/>
        </w:rPr>
        <w:t xml:space="preserve">tak může </w:t>
      </w:r>
      <w:r w:rsidR="00227CC7" w:rsidRPr="00227CC7">
        <w:rPr>
          <w:rFonts w:ascii="Arial" w:hAnsi="Arial" w:cs="Arial"/>
          <w:i/>
          <w:iCs/>
        </w:rPr>
        <w:t>až nyní pokračovat na zpracování PSZ, tj. dopracování potřebných DTR, dále</w:t>
      </w:r>
      <w:r w:rsidR="00227CC7">
        <w:rPr>
          <w:rFonts w:ascii="Arial" w:hAnsi="Arial" w:cs="Arial"/>
          <w:i/>
          <w:iCs/>
        </w:rPr>
        <w:t xml:space="preserve"> </w:t>
      </w:r>
      <w:r w:rsidR="00227CC7" w:rsidRPr="00227CC7">
        <w:rPr>
          <w:rFonts w:ascii="Arial" w:hAnsi="Arial" w:cs="Arial"/>
          <w:i/>
          <w:iCs/>
        </w:rPr>
        <w:t>vyhotovení podkladů pro zaslání a projednání s dotčenými orgány a organizacemi (dále DOSS),</w:t>
      </w:r>
      <w:r w:rsidR="00227CC7">
        <w:rPr>
          <w:rFonts w:ascii="Arial" w:hAnsi="Arial" w:cs="Arial"/>
          <w:i/>
          <w:iCs/>
        </w:rPr>
        <w:t xml:space="preserve"> </w:t>
      </w:r>
      <w:r w:rsidR="00227CC7" w:rsidRPr="00227CC7">
        <w:rPr>
          <w:rFonts w:ascii="Arial" w:hAnsi="Arial" w:cs="Arial"/>
          <w:i/>
          <w:iCs/>
        </w:rPr>
        <w:t>poté seznámení sboru s konečnou variantou PSZ a případnými připomínky DOSS, zaslání žádosti</w:t>
      </w:r>
      <w:r w:rsidR="00227CC7">
        <w:rPr>
          <w:rFonts w:ascii="Arial" w:hAnsi="Arial" w:cs="Arial"/>
          <w:i/>
          <w:iCs/>
        </w:rPr>
        <w:t xml:space="preserve"> </w:t>
      </w:r>
      <w:r w:rsidR="00227CC7" w:rsidRPr="00227CC7">
        <w:rPr>
          <w:rFonts w:ascii="Arial" w:hAnsi="Arial" w:cs="Arial"/>
          <w:i/>
          <w:iCs/>
        </w:rPr>
        <w:t>ze strany pobočky na TBD a následně předložení dokumentace PSZ na RDK a schválení na</w:t>
      </w:r>
      <w:r w:rsidR="00227CC7">
        <w:rPr>
          <w:rFonts w:ascii="Arial" w:hAnsi="Arial" w:cs="Arial"/>
          <w:i/>
          <w:iCs/>
        </w:rPr>
        <w:t xml:space="preserve"> </w:t>
      </w:r>
      <w:r w:rsidR="00227CC7" w:rsidRPr="00227CC7">
        <w:rPr>
          <w:rFonts w:ascii="Arial" w:hAnsi="Arial" w:cs="Arial"/>
          <w:i/>
          <w:iCs/>
        </w:rPr>
        <w:t>zastupitelstvu obce.</w:t>
      </w:r>
      <w:r w:rsidR="00227CC7">
        <w:rPr>
          <w:rFonts w:ascii="Arial" w:hAnsi="Arial" w:cs="Arial"/>
          <w:i/>
          <w:iCs/>
        </w:rPr>
        <w:t xml:space="preserve"> Všechny tyto úkony si vyžadují určitou časovou náročnost a posloupnost. Prodloužení výše zmíněných etap má vliv i na zpracování etapy 6. 3. 2 </w:t>
      </w:r>
      <w:r w:rsidR="00227CC7" w:rsidRPr="00E52336">
        <w:rPr>
          <w:rFonts w:ascii="Arial" w:eastAsia="Arial" w:hAnsi="Arial" w:cs="Arial"/>
          <w:i/>
          <w:iCs/>
        </w:rPr>
        <w:t>Vypracování návrhu nového uspořádání pozemků k jeho vystavení dle § 11 odst. 1 Zákona</w:t>
      </w:r>
      <w:r w:rsidR="00227CC7">
        <w:rPr>
          <w:rFonts w:ascii="Arial" w:eastAsia="Arial" w:hAnsi="Arial" w:cs="Arial"/>
          <w:i/>
          <w:iCs/>
        </w:rPr>
        <w:t xml:space="preserve">, která měla být původně odevzdána </w:t>
      </w:r>
      <w:r w:rsidR="00227CC7" w:rsidRPr="00227CC7">
        <w:rPr>
          <w:rFonts w:ascii="Arial" w:hAnsi="Arial" w:cs="Arial"/>
          <w:i/>
          <w:iCs/>
        </w:rPr>
        <w:t>do 10 měsíců po ukončeném akceptačním řízení etapy 6.3.1. PSZ, nově tato etapa bude prodloužena o nově stanovený pevný termín do 3</w:t>
      </w:r>
      <w:r w:rsidR="00A2197C">
        <w:rPr>
          <w:rFonts w:ascii="Arial" w:hAnsi="Arial" w:cs="Arial"/>
          <w:i/>
          <w:iCs/>
        </w:rPr>
        <w:t>0</w:t>
      </w:r>
      <w:r w:rsidR="00227CC7" w:rsidRPr="00227CC7">
        <w:rPr>
          <w:rFonts w:ascii="Arial" w:hAnsi="Arial" w:cs="Arial"/>
          <w:i/>
          <w:iCs/>
        </w:rPr>
        <w:t>.</w:t>
      </w:r>
      <w:r w:rsidR="00A2197C">
        <w:rPr>
          <w:rFonts w:ascii="Arial" w:hAnsi="Arial" w:cs="Arial"/>
          <w:i/>
          <w:iCs/>
        </w:rPr>
        <w:t>6</w:t>
      </w:r>
      <w:r w:rsidR="00227CC7" w:rsidRPr="00227CC7">
        <w:rPr>
          <w:rFonts w:ascii="Arial" w:hAnsi="Arial" w:cs="Arial"/>
          <w:i/>
          <w:iCs/>
        </w:rPr>
        <w:t xml:space="preserve">. 2027 (10 měsíců od odevzdání etapy 6. 3. 1. PSZ </w:t>
      </w:r>
      <w:r w:rsidR="00A2197C">
        <w:rPr>
          <w:rFonts w:ascii="Arial" w:hAnsi="Arial" w:cs="Arial"/>
          <w:i/>
          <w:iCs/>
        </w:rPr>
        <w:t xml:space="preserve">– dle rozmezí termínů mezi etapami </w:t>
      </w:r>
      <w:r w:rsidR="007F7277">
        <w:rPr>
          <w:rFonts w:ascii="Arial" w:hAnsi="Arial" w:cs="Arial"/>
          <w:i/>
          <w:iCs/>
        </w:rPr>
        <w:t xml:space="preserve">6.3.1. a 6.3.2 </w:t>
      </w:r>
      <w:r w:rsidR="00A2197C">
        <w:rPr>
          <w:rFonts w:ascii="Arial" w:hAnsi="Arial" w:cs="Arial"/>
          <w:i/>
          <w:iCs/>
        </w:rPr>
        <w:t>původního PVČ SoD</w:t>
      </w:r>
      <w:r w:rsidR="00227CC7" w:rsidRPr="00227CC7">
        <w:rPr>
          <w:rFonts w:ascii="Arial" w:hAnsi="Arial" w:cs="Arial"/>
          <w:i/>
          <w:iCs/>
        </w:rPr>
        <w:t>).</w:t>
      </w:r>
    </w:p>
    <w:p w14:paraId="3E9469AE" w14:textId="16091173" w:rsidR="00B77C33" w:rsidRPr="00E52336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eastAsia="Arial" w:hAnsi="Arial" w:cs="Arial"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210065">
        <w:rPr>
          <w:rFonts w:ascii="Arial" w:hAnsi="Arial" w:cs="Arial"/>
          <w:bCs/>
        </w:rPr>
        <w:t xml:space="preserve">6.3.1. </w:t>
      </w:r>
      <w:r w:rsidR="00210065" w:rsidRPr="008846E6">
        <w:rPr>
          <w:rFonts w:ascii="Arial" w:hAnsi="Arial" w:cs="Arial"/>
          <w:i/>
          <w:iCs/>
        </w:rPr>
        <w:t>Vypracování plánu společných zařízení („PSZ“)</w:t>
      </w:r>
      <w:r w:rsidR="007F7277">
        <w:rPr>
          <w:rFonts w:ascii="Arial" w:hAnsi="Arial" w:cs="Arial"/>
          <w:i/>
          <w:iCs/>
        </w:rPr>
        <w:t>;</w:t>
      </w:r>
      <w:r w:rsidR="00210065">
        <w:rPr>
          <w:rFonts w:ascii="Arial" w:hAnsi="Arial" w:cs="Arial"/>
          <w:i/>
          <w:iCs/>
        </w:rPr>
        <w:t xml:space="preserve"> </w:t>
      </w:r>
      <w:r w:rsidR="00210065" w:rsidRPr="008846E6">
        <w:rPr>
          <w:rFonts w:ascii="Arial" w:eastAsia="Arial" w:hAnsi="Arial" w:cs="Arial"/>
        </w:rPr>
        <w:t xml:space="preserve">6.3.1 i) </w:t>
      </w:r>
      <w:r w:rsidR="00210065">
        <w:rPr>
          <w:rFonts w:ascii="Arial" w:eastAsia="Arial" w:hAnsi="Arial" w:cs="Arial"/>
        </w:rPr>
        <w:t>b</w:t>
      </w:r>
      <w:r w:rsidR="00210065" w:rsidRPr="008846E6">
        <w:rPr>
          <w:rFonts w:ascii="Arial" w:eastAsia="Arial" w:hAnsi="Arial" w:cs="Arial"/>
        </w:rPr>
        <w:t>)</w:t>
      </w:r>
      <w:r w:rsidR="00210065">
        <w:rPr>
          <w:rFonts w:ascii="Arial" w:eastAsia="Arial" w:hAnsi="Arial" w:cs="Arial"/>
        </w:rPr>
        <w:t xml:space="preserve"> </w:t>
      </w:r>
      <w:r w:rsidR="00210065" w:rsidRPr="008846E6">
        <w:rPr>
          <w:rFonts w:ascii="Arial" w:eastAsia="Arial" w:hAnsi="Arial" w:cs="Arial"/>
          <w:i/>
          <w:iCs/>
        </w:rPr>
        <w:t>DTR liniových dopravních staveb PSZ pro stanovení plochy záboru půdy stavbami dle čl. 6.3.1 i) b) Smlouvy</w:t>
      </w:r>
      <w:r w:rsidR="007F7277">
        <w:rPr>
          <w:rFonts w:ascii="Arial" w:eastAsia="Arial" w:hAnsi="Arial" w:cs="Arial"/>
          <w:i/>
          <w:iCs/>
        </w:rPr>
        <w:t>;</w:t>
      </w:r>
      <w:r w:rsidR="00210065" w:rsidRPr="00210065">
        <w:rPr>
          <w:rFonts w:ascii="Arial" w:eastAsia="Arial" w:hAnsi="Arial" w:cs="Arial"/>
        </w:rPr>
        <w:t xml:space="preserve"> </w:t>
      </w:r>
      <w:r w:rsidR="00210065" w:rsidRPr="008846E6">
        <w:rPr>
          <w:rFonts w:ascii="Arial" w:eastAsia="Arial" w:hAnsi="Arial" w:cs="Arial"/>
        </w:rPr>
        <w:t>6.3.1 i) b)</w:t>
      </w:r>
      <w:r w:rsidR="00210065">
        <w:rPr>
          <w:rFonts w:ascii="Arial" w:eastAsia="Arial" w:hAnsi="Arial" w:cs="Arial"/>
        </w:rPr>
        <w:t xml:space="preserve"> </w:t>
      </w:r>
      <w:r w:rsidR="00210065" w:rsidRPr="007F7277">
        <w:rPr>
          <w:rFonts w:ascii="Arial" w:hAnsi="Arial" w:cs="Arial"/>
        </w:rPr>
        <w:t>(</w:t>
      </w:r>
      <w:r w:rsidR="00210065" w:rsidRPr="007F7277">
        <w:rPr>
          <w:rFonts w:ascii="Arial" w:eastAsia="Arial" w:hAnsi="Arial" w:cs="Arial"/>
          <w:i/>
          <w:iCs/>
        </w:rPr>
        <w:t>DTR liniových vodohospodářských a protierozních staveb PSZ pro stanovení plochy záboru půdy</w:t>
      </w:r>
      <w:r w:rsidR="00210065" w:rsidRPr="008846E6">
        <w:rPr>
          <w:rFonts w:ascii="Arial" w:eastAsia="Arial" w:hAnsi="Arial" w:cs="Arial"/>
          <w:i/>
          <w:iCs/>
        </w:rPr>
        <w:t xml:space="preserve"> stavbami dle čl. 6.3.1 i) b) Smlouvy</w:t>
      </w:r>
      <w:r w:rsidR="007F7277">
        <w:rPr>
          <w:rFonts w:ascii="Arial" w:eastAsia="Arial" w:hAnsi="Arial" w:cs="Arial"/>
          <w:i/>
          <w:iCs/>
        </w:rPr>
        <w:t>;</w:t>
      </w:r>
      <w:r w:rsidR="00210065">
        <w:rPr>
          <w:rFonts w:ascii="Arial" w:eastAsia="Arial" w:hAnsi="Arial" w:cs="Arial"/>
        </w:rPr>
        <w:t xml:space="preserve"> </w:t>
      </w:r>
      <w:r w:rsidR="00210065" w:rsidRPr="008846E6">
        <w:rPr>
          <w:rFonts w:ascii="Arial" w:eastAsia="Arial" w:hAnsi="Arial" w:cs="Arial"/>
        </w:rPr>
        <w:t>6.3.1 i) c)</w:t>
      </w:r>
      <w:r w:rsidR="00210065">
        <w:rPr>
          <w:rFonts w:ascii="Arial" w:eastAsia="Arial" w:hAnsi="Arial" w:cs="Arial"/>
        </w:rPr>
        <w:t xml:space="preserve"> </w:t>
      </w:r>
      <w:r w:rsidR="00210065" w:rsidRPr="008846E6">
        <w:rPr>
          <w:rFonts w:ascii="Arial" w:eastAsia="Arial" w:hAnsi="Arial" w:cs="Arial"/>
          <w:i/>
          <w:iCs/>
        </w:rPr>
        <w:t xml:space="preserve">DTR </w:t>
      </w:r>
      <w:r w:rsidR="00210065" w:rsidRPr="00224560">
        <w:rPr>
          <w:rFonts w:ascii="Arial" w:eastAsia="Arial" w:hAnsi="Arial" w:cs="Arial"/>
          <w:i/>
          <w:iCs/>
        </w:rPr>
        <w:t>vodohospodářských</w:t>
      </w:r>
      <w:r w:rsidR="00210065" w:rsidRPr="008846E6">
        <w:rPr>
          <w:rFonts w:ascii="Arial" w:eastAsia="Arial" w:hAnsi="Arial" w:cs="Arial"/>
          <w:i/>
          <w:iCs/>
        </w:rPr>
        <w:t xml:space="preserve"> staveb PSZ dle čl. 6.3.1 i) c) Smlouvy</w:t>
      </w:r>
      <w:r w:rsidRPr="001F1BD1">
        <w:rPr>
          <w:rFonts w:ascii="Arial" w:hAnsi="Arial" w:cs="Arial"/>
          <w:bCs/>
        </w:rPr>
        <w:t xml:space="preserve"> </w:t>
      </w:r>
      <w:r w:rsidR="00E52336">
        <w:rPr>
          <w:rFonts w:ascii="Arial" w:hAnsi="Arial" w:cs="Arial"/>
          <w:bCs/>
        </w:rPr>
        <w:t xml:space="preserve">a etapy 6. 3. 2 </w:t>
      </w:r>
      <w:r w:rsidR="00F668B1" w:rsidRPr="00E52336">
        <w:rPr>
          <w:rFonts w:ascii="Arial" w:eastAsia="Arial" w:hAnsi="Arial" w:cs="Arial"/>
          <w:i/>
          <w:iCs/>
        </w:rPr>
        <w:t>Vypracování návrhu nového uspořádání pozemků k jeho vystavení dle § 11 odst. 1 Zákona</w:t>
      </w:r>
      <w:r w:rsidR="00F668B1"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bookmarkEnd w:id="8"/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709C958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FF9CAF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52675">
        <w:rPr>
          <w:rFonts w:ascii="Arial" w:hAnsi="Arial" w:cs="Arial"/>
          <w:b/>
          <w:bCs/>
          <w:szCs w:val="20"/>
        </w:rPr>
        <w:t>AREA G.K. spol. s r.o., reprezentant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B668BE4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52675">
        <w:rPr>
          <w:rFonts w:ascii="Arial" w:hAnsi="Arial" w:cs="Arial"/>
          <w:b/>
          <w:bCs/>
          <w:snapToGrid w:val="0"/>
        </w:rPr>
        <w:t>pro Středočeský kraj</w:t>
      </w:r>
      <w:r w:rsidR="00552675">
        <w:rPr>
          <w:rFonts w:ascii="Arial" w:hAnsi="Arial" w:cs="Arial"/>
          <w:b/>
          <w:bCs/>
          <w:snapToGrid w:val="0"/>
        </w:rPr>
        <w:tab/>
        <w:t>společného plnění závazku dodavatelů</w:t>
      </w:r>
    </w:p>
    <w:p w14:paraId="45BCF224" w14:textId="467EC5B5" w:rsidR="00552675" w:rsidRPr="001C0EE2" w:rsidRDefault="0055267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hl. m. Praha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  <w:t xml:space="preserve">PROJEKCE </w:t>
      </w:r>
      <w:r>
        <w:rPr>
          <w:rFonts w:ascii="Arial" w:eastAsia="Times New Roman" w:hAnsi="Arial" w:cs="Arial"/>
          <w:b/>
          <w:lang w:eastAsia="cs-CZ"/>
        </w:rPr>
        <w:t>&amp; AREA</w:t>
      </w:r>
    </w:p>
    <w:p w14:paraId="52DB552F" w14:textId="7C5CBA0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52675"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552675">
        <w:rPr>
          <w:rFonts w:ascii="Arial" w:eastAsia="Times New Roman" w:hAnsi="Arial" w:cs="Arial"/>
          <w:bCs/>
          <w:lang w:eastAsia="cs-CZ"/>
        </w:rPr>
        <w:t xml:space="preserve"> </w:t>
      </w:r>
      <w:r w:rsidR="00552675" w:rsidRPr="00552675">
        <w:rPr>
          <w:rFonts w:ascii="Arial" w:eastAsia="Times New Roman" w:hAnsi="Arial" w:cs="Arial"/>
          <w:b/>
          <w:lang w:eastAsia="cs-CZ"/>
        </w:rPr>
        <w:t>Praha</w:t>
      </w:r>
    </w:p>
    <w:p w14:paraId="74B7E9B5" w14:textId="77777777" w:rsidR="007B313C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5ECF7811" w:rsidR="002B735B" w:rsidRPr="00ED6435" w:rsidRDefault="00C820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18.02</w:t>
      </w:r>
      <w:r w:rsidR="007B313C">
        <w:rPr>
          <w:rFonts w:ascii="Arial" w:eastAsia="Times New Roman" w:hAnsi="Arial" w:cs="Arial"/>
          <w:bCs/>
          <w:lang w:eastAsia="cs-CZ"/>
        </w:rPr>
        <w:t>.2026</w:t>
      </w:r>
      <w:r w:rsidR="007B313C">
        <w:rPr>
          <w:rFonts w:ascii="Arial" w:eastAsia="Times New Roman" w:hAnsi="Arial" w:cs="Arial"/>
          <w:bCs/>
          <w:lang w:eastAsia="cs-CZ"/>
        </w:rPr>
        <w:tab/>
      </w:r>
      <w:r w:rsidR="007B313C">
        <w:rPr>
          <w:rFonts w:ascii="Arial" w:eastAsia="Times New Roman" w:hAnsi="Arial" w:cs="Arial"/>
          <w:bCs/>
          <w:lang w:eastAsia="cs-CZ"/>
        </w:rPr>
        <w:tab/>
        <w:t>17.02.2026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8C9B373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r w:rsidR="002416D6">
        <w:rPr>
          <w:rFonts w:ascii="Arial" w:eastAsia="Times New Roman" w:hAnsi="Arial" w:cs="Arial"/>
          <w:bCs/>
          <w:i/>
          <w:iCs/>
          <w:lang w:eastAsia="cs-CZ"/>
        </w:rPr>
        <w:t xml:space="preserve">  „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BD9D954" w:rsidR="002B735B" w:rsidRPr="00ED6435" w:rsidRDefault="001534A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FC755" w14:textId="77777777" w:rsidR="007F7277" w:rsidRDefault="007F727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9F5E30" w14:textId="77777777" w:rsidR="00AB4D55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AB4D55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1534A6">
        <w:rPr>
          <w:rFonts w:ascii="Arial" w:eastAsia="Times New Roman" w:hAnsi="Arial" w:cs="Arial"/>
          <w:bCs/>
          <w:lang w:eastAsia="cs-CZ"/>
        </w:rPr>
        <w:t xml:space="preserve"> Ing. Tereza Zlevorová</w:t>
      </w:r>
    </w:p>
    <w:tbl>
      <w:tblPr>
        <w:tblpPr w:leftFromText="141" w:rightFromText="141" w:vertAnchor="text" w:horzAnchor="margin" w:tblpY="-9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2"/>
        <w:gridCol w:w="726"/>
        <w:gridCol w:w="728"/>
        <w:gridCol w:w="1365"/>
        <w:gridCol w:w="1323"/>
        <w:gridCol w:w="1445"/>
      </w:tblGrid>
      <w:tr w:rsidR="00314771" w:rsidRPr="00314771" w14:paraId="3123AC3E" w14:textId="77777777" w:rsidTr="00314771">
        <w:trPr>
          <w:trHeight w:val="425"/>
        </w:trPr>
        <w:tc>
          <w:tcPr>
            <w:tcW w:w="425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FFC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katastrální území Kuňovice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375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070C1C51" w14:textId="77777777" w:rsidTr="00314771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093A3B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AFD3BA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FE5BBF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B691EB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ACB40F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2884DA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8A8B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14771" w:rsidRPr="00314771" w14:paraId="7CC51326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6A701A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662C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738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549B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412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6F0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7604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45ED8158" w14:textId="77777777" w:rsidTr="00314771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CA22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63B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E7FF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6B4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FA8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CDC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A36F3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30.6.2022</w:t>
            </w:r>
          </w:p>
        </w:tc>
      </w:tr>
      <w:tr w:rsidR="00314771" w:rsidRPr="00314771" w14:paraId="19621077" w14:textId="77777777" w:rsidTr="00314771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7DEF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927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29E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905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B0F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357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203 000,00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A8F23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30.10.2022</w:t>
            </w:r>
          </w:p>
        </w:tc>
      </w:tr>
      <w:tr w:rsidR="00314771" w:rsidRPr="00314771" w14:paraId="0F9EB775" w14:textId="77777777" w:rsidTr="00314771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E53D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1D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F11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101F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DE8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E38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E761C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71D8166A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0C4C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9750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CA2D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F8BE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65A7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90FE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226 800,00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E4AD4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314771" w:rsidRPr="00314771" w14:paraId="389B67B9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0E55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FD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5DED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E3A59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5765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AB11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57A68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314771" w:rsidRPr="00314771" w14:paraId="16918E05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6FB4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8D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7925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5FA5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169D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64AB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225 000,00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D917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314771" w:rsidRPr="00314771" w14:paraId="09AE0DD0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213D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C0A1B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078A5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32EA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1B10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15D3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41001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28.2.2024</w:t>
            </w:r>
          </w:p>
        </w:tc>
      </w:tr>
      <w:tr w:rsidR="00314771" w:rsidRPr="00314771" w14:paraId="68101241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549DA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11F9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6549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3862D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35F76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61F88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99 000,00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8040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30.3.2024</w:t>
            </w:r>
          </w:p>
        </w:tc>
      </w:tr>
      <w:tr w:rsidR="00314771" w:rsidRPr="00314771" w14:paraId="0B5A76BE" w14:textId="77777777" w:rsidTr="00314771">
        <w:trPr>
          <w:trHeight w:val="247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9935E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B5ED8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65611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4B0A3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D3F62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869 800,00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676D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30.3.2024</w:t>
            </w:r>
          </w:p>
        </w:tc>
      </w:tr>
      <w:tr w:rsidR="00314771" w:rsidRPr="00314771" w14:paraId="6203B9E9" w14:textId="77777777" w:rsidTr="00314771">
        <w:trPr>
          <w:trHeight w:val="266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88A1FE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7BD2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1981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50A1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0FCB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C6CB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4BAE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41C3F621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91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524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891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309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E6A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7475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214 500,00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7E68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31. 8. 2026</w:t>
            </w:r>
          </w:p>
        </w:tc>
      </w:tr>
      <w:tr w:rsidR="00314771" w:rsidRPr="00314771" w14:paraId="1BDF0551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61A1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E3D6D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0B4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E23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F52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3E5C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31 500,00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40DB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47CD2A9A" w14:textId="77777777" w:rsidTr="00314771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DBB41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A58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586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0C2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746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2A3C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136B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19FD8960" w14:textId="77777777" w:rsidTr="00314771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362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58B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9F6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D3E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72F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9B8C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2DA4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360079CC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BF3B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35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A70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64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041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B0FE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E863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0BB7329F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645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E762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6AFC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21119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ADD56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E1C08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A4575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16D35EEC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AFF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F4650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4B6A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F065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533F4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4 550,00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044F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4 550,00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518E7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771" w:rsidRPr="00314771" w14:paraId="11A41500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489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6C64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1BAE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C2EB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8496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2 600,00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45C4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2 600,00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5705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771" w:rsidRPr="00314771" w14:paraId="2D046EE2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4E7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DA85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FDB6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121D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BEEA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975,00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F435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975,00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06AC1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771" w:rsidRPr="00314771" w14:paraId="01172D11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91F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877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C2E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0DA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7AE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5CE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264 000,00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65451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30. 6. 2027</w:t>
            </w:r>
          </w:p>
        </w:tc>
      </w:tr>
      <w:tr w:rsidR="00314771" w:rsidRPr="00314771" w14:paraId="65F64313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885C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0B0E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821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67D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D23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4E6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E9087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314771" w:rsidRPr="00314771" w14:paraId="382E0D4D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8105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78451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DF6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6E2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D4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81A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E696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14771" w:rsidRPr="00314771" w14:paraId="2D0D152D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112F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2A5A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958B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ED8A60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E23E3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78DC4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A7810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67EC4D1A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224F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09B0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8351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942C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4294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F95B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EF43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14771" w:rsidRPr="00314771" w14:paraId="1EF73463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6DE5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9CD87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A43C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7C3D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1346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3FB5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AEA4D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14771" w:rsidRPr="00314771" w14:paraId="6C25BF4A" w14:textId="77777777" w:rsidTr="00314771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A170B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6ED40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C91AC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56FB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C233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EC28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88F1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14771" w:rsidRPr="00314771" w14:paraId="6F14D90B" w14:textId="77777777" w:rsidTr="00314771">
        <w:trPr>
          <w:trHeight w:val="180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286F9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4E01D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A99D6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083B6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DBC71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653 125,00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1B40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314771" w:rsidRPr="00314771" w14:paraId="4BB8DB6E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76D0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7EDDC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0F815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E1190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8B080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BEC0A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128D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14771" w:rsidRPr="00314771" w14:paraId="5DBC6EFC" w14:textId="77777777" w:rsidTr="00314771">
        <w:trPr>
          <w:trHeight w:val="286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C6F9A2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637A3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3886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5F3F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8D75C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49 500,00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CBA85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314771" w:rsidRPr="00314771" w14:paraId="293BB350" w14:textId="77777777" w:rsidTr="00314771">
        <w:trPr>
          <w:trHeight w:val="262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FA9E41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DBE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56C1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E1E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7408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C90117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554FAD20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AC36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266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E4F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215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98A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869 800,00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0A82FB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34D8948B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18B9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7644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164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5F5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F22F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653 125,00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E9E3E4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1706C8CC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775E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18B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AB4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70C1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7668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31228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3CCA6F30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20A94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D31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E96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2DE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9DD9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1 572 425,00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8685DE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66343F9A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18609A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B774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D03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4147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EC1A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330 209,25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CB7AD6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6D61728D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78EB4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E812EA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2A4CF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D83F4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01726C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1 902 634,25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8F5FF7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64866F6A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7473A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14771" w:rsidRPr="00314771" w14:paraId="3F20EE1F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1ED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A03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G.K. spol. s r. o. (reprezentant sdružení)</w:t>
            </w:r>
          </w:p>
        </w:tc>
      </w:tr>
      <w:tr w:rsidR="00314771" w:rsidRPr="00314771" w14:paraId="6FC6A02E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EA4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8CAB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314771" w:rsidRPr="00314771" w14:paraId="10853DB8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6CAE" w14:textId="77777777" w:rsid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Pr="00314771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dle elektronického podpisu</w:t>
            </w:r>
          </w:p>
          <w:p w14:paraId="31FBF7BA" w14:textId="3372E0FA" w:rsidR="007B313C" w:rsidRPr="00314771" w:rsidRDefault="007B313C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18.02.2026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D771" w14:textId="77777777" w:rsid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Pr="00314771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dle elektronického podpisu</w:t>
            </w:r>
          </w:p>
          <w:p w14:paraId="2A5B6D85" w14:textId="109EDAD0" w:rsidR="007B313C" w:rsidRPr="00314771" w:rsidRDefault="007B313C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17.02.2026</w:t>
            </w:r>
          </w:p>
        </w:tc>
      </w:tr>
      <w:tr w:rsidR="00314771" w:rsidRPr="00314771" w14:paraId="41C2368E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0890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445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4AACC122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BF9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13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94A03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9263D" w14:textId="77777777" w:rsidR="00314771" w:rsidRPr="00314771" w:rsidRDefault="00314771" w:rsidP="003147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10B3CA34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A206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BEBA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14771" w:rsidRPr="00314771" w14:paraId="21B21DDA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0DE31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EB9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314771" w:rsidRPr="00314771" w14:paraId="321F1FBE" w14:textId="77777777" w:rsidTr="00314771">
        <w:trPr>
          <w:trHeight w:val="425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F78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8E7B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 společnosti</w:t>
            </w:r>
          </w:p>
        </w:tc>
      </w:tr>
      <w:tr w:rsidR="00314771" w:rsidRPr="00314771" w14:paraId="1B3D8CAB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8CF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005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F277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A68A9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E01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B34F0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BFD2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7418C3D3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4A8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314771" w:rsidRPr="00314771" w14:paraId="02EF2A63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D5FB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14771" w:rsidRPr="00314771" w14:paraId="3E6714EF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9BF27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314771" w:rsidRPr="00314771" w14:paraId="3AF093DA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AF689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14771" w:rsidRPr="00314771" w14:paraId="4B139A36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E0D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314771" w:rsidRPr="00314771" w14:paraId="5E8D3190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E33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314771" w:rsidRPr="00314771" w14:paraId="1DBA2448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3471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314771" w:rsidRPr="00314771" w14:paraId="0E6EAB9B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E8E1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314771" w:rsidRPr="00314771" w14:paraId="6ABFEA3B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A0E3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314771" w:rsidRPr="00314771" w14:paraId="46217761" w14:textId="77777777" w:rsidTr="00314771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9D79C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314771" w:rsidRPr="00314771" w14:paraId="12325E50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D99C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14771" w:rsidRPr="00314771" w14:paraId="38CF166F" w14:textId="77777777" w:rsidTr="0031477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8DAC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314771" w:rsidRPr="00314771" w14:paraId="23AB8FCF" w14:textId="77777777" w:rsidTr="00314771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74F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17D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EF79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B04D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4E6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2D8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233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405BDE4E" w14:textId="77777777" w:rsidTr="00314771">
        <w:trPr>
          <w:trHeight w:val="425"/>
        </w:trPr>
        <w:tc>
          <w:tcPr>
            <w:tcW w:w="21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8ACBA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1BB5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DB2D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0D2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D91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98D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5F7BCD52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1A8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24566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0EC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C9E2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9CCC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12B4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6001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1E4DC52F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9D27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9BD4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4984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442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E670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0EB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170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31CAE996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5ACA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1D280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272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EFC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2D4F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1A40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C81E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4A8A2B21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EC4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DA0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18A3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FF0E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8DC2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24DD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26E0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18256606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5CF7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C509D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6B8F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C3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2E84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3194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DA5F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17ECEFE0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C7C327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69A3E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05BA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9C2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F12B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C668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37B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14771" w:rsidRPr="00314771" w14:paraId="597F3A75" w14:textId="77777777" w:rsidTr="00314771">
        <w:trPr>
          <w:trHeight w:val="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2509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C11B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1477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05F2" w14:textId="77777777" w:rsidR="00314771" w:rsidRPr="00314771" w:rsidRDefault="00314771" w:rsidP="003147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E648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626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C1D6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2654" w14:textId="77777777" w:rsidR="00314771" w:rsidRPr="00314771" w:rsidRDefault="00314771" w:rsidP="00314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09206286" w14:textId="20FE16E4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B83E9C" w14:textId="77777777" w:rsidR="00AB4D55" w:rsidRDefault="00AB4D5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812C36" w14:textId="77777777" w:rsidR="00AB4D55" w:rsidRDefault="00AB4D5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2BEF71" w14:textId="77777777" w:rsidR="00AB4D55" w:rsidRPr="00C452AD" w:rsidRDefault="00AB4D55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AB4D55" w:rsidRPr="00C452AD" w:rsidSect="00CB6F0F"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B86FCC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B4D5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8D4" w14:textId="1C6DB2C7" w:rsidR="00314771" w:rsidRPr="00314771" w:rsidRDefault="00314771" w:rsidP="003147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EA43" w14:textId="77777777" w:rsidR="00AB4D55" w:rsidRDefault="00AB4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DBC654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BB7FEE">
      <w:rPr>
        <w:szCs w:val="16"/>
      </w:rPr>
      <w:t>Kuňovice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332D67B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B25D1E">
      <w:rPr>
        <w:rFonts w:cs="Arial"/>
        <w:sz w:val="18"/>
        <w:szCs w:val="18"/>
        <w:lang w:val="fr-FR" w:eastAsia="cs-CZ"/>
      </w:rPr>
      <w:t xml:space="preserve"> SPU 038507/2026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CF6763">
      <w:rPr>
        <w:rFonts w:cs="Arial"/>
        <w:szCs w:val="16"/>
        <w:lang w:val="fr-FR" w:eastAsia="cs-CZ"/>
      </w:rPr>
      <w:t>spudms00000016334070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FA91" w14:textId="78C071AD" w:rsidR="00AB4D55" w:rsidRPr="00AB4D55" w:rsidRDefault="00AB4D55" w:rsidP="00AB4D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52504B8A"/>
    <w:lvl w:ilvl="0" w:tplc="5D4212D6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29A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F84"/>
    <w:rsid w:val="0009739F"/>
    <w:rsid w:val="000A03AE"/>
    <w:rsid w:val="000A0980"/>
    <w:rsid w:val="000A0DA0"/>
    <w:rsid w:val="000A2018"/>
    <w:rsid w:val="000A226D"/>
    <w:rsid w:val="000A2322"/>
    <w:rsid w:val="000A2328"/>
    <w:rsid w:val="000A24BF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5D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0F88"/>
    <w:rsid w:val="00151E68"/>
    <w:rsid w:val="00151E7E"/>
    <w:rsid w:val="00152135"/>
    <w:rsid w:val="001525B8"/>
    <w:rsid w:val="0015279B"/>
    <w:rsid w:val="00152EA1"/>
    <w:rsid w:val="001534A6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A7D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065"/>
    <w:rsid w:val="002108D7"/>
    <w:rsid w:val="00210B7C"/>
    <w:rsid w:val="0021157D"/>
    <w:rsid w:val="00211666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560"/>
    <w:rsid w:val="00225DBD"/>
    <w:rsid w:val="00225DD2"/>
    <w:rsid w:val="00226532"/>
    <w:rsid w:val="00226BA5"/>
    <w:rsid w:val="00227252"/>
    <w:rsid w:val="002274BE"/>
    <w:rsid w:val="00227CC7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6D6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368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67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5E0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771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339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48E8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927"/>
    <w:rsid w:val="003B7DFB"/>
    <w:rsid w:val="003C0848"/>
    <w:rsid w:val="003C093E"/>
    <w:rsid w:val="003C13B8"/>
    <w:rsid w:val="003C172D"/>
    <w:rsid w:val="003C18A8"/>
    <w:rsid w:val="003C1CE5"/>
    <w:rsid w:val="003C2D97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3DFF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218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2675"/>
    <w:rsid w:val="00553621"/>
    <w:rsid w:val="00553DE3"/>
    <w:rsid w:val="0055670A"/>
    <w:rsid w:val="00556845"/>
    <w:rsid w:val="005568E8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92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3D8D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7BB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6997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2F48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687C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1990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13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277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5597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264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B32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6E6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306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B28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0EAA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0F4"/>
    <w:rsid w:val="00946D31"/>
    <w:rsid w:val="00946F87"/>
    <w:rsid w:val="009479AA"/>
    <w:rsid w:val="00947AF2"/>
    <w:rsid w:val="00947B35"/>
    <w:rsid w:val="00951CB5"/>
    <w:rsid w:val="009524AF"/>
    <w:rsid w:val="00952831"/>
    <w:rsid w:val="00952969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4D87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3856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197C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5C4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9F6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4D55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D1E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2E66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687"/>
    <w:rsid w:val="00BB49BD"/>
    <w:rsid w:val="00BB50B8"/>
    <w:rsid w:val="00BB62D9"/>
    <w:rsid w:val="00BB6349"/>
    <w:rsid w:val="00BB6681"/>
    <w:rsid w:val="00BB7263"/>
    <w:rsid w:val="00BB73A2"/>
    <w:rsid w:val="00BB77F3"/>
    <w:rsid w:val="00BB7FEE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9E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094"/>
    <w:rsid w:val="00C170DD"/>
    <w:rsid w:val="00C173B7"/>
    <w:rsid w:val="00C20A13"/>
    <w:rsid w:val="00C21655"/>
    <w:rsid w:val="00C2189E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76E"/>
    <w:rsid w:val="00C77DDC"/>
    <w:rsid w:val="00C81485"/>
    <w:rsid w:val="00C8202F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3AD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763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D5C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37E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91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336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937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3BF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EF6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879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233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8B1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13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B313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B313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6</Pages>
  <Words>2339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50</cp:revision>
  <cp:lastPrinted>2025-10-15T08:14:00Z</cp:lastPrinted>
  <dcterms:created xsi:type="dcterms:W3CDTF">2026-01-26T15:04:00Z</dcterms:created>
  <dcterms:modified xsi:type="dcterms:W3CDTF">2026-02-19T10:45:00Z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