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2C0E7E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F3782">
        <w:rPr>
          <w:rFonts w:ascii="Arial" w:hAnsi="Arial" w:cs="Arial"/>
          <w:sz w:val="22"/>
          <w:szCs w:val="22"/>
        </w:rPr>
        <w:t>KPÚ pro Plzeňský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F3782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099B9A9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CF3782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23431A25" w14:textId="77777777" w:rsidR="00CF3782" w:rsidRDefault="00CF378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5BEB8762" w14:textId="110FF28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F3782">
        <w:rPr>
          <w:rFonts w:ascii="Arial" w:hAnsi="Arial" w:cs="Arial"/>
          <w:sz w:val="22"/>
          <w:szCs w:val="22"/>
        </w:rPr>
        <w:t>Ing. Jiří</w:t>
      </w:r>
      <w:r w:rsidR="003E4070">
        <w:rPr>
          <w:rFonts w:ascii="Arial" w:hAnsi="Arial" w:cs="Arial"/>
          <w:sz w:val="22"/>
          <w:szCs w:val="22"/>
        </w:rPr>
        <w:t>m</w:t>
      </w:r>
      <w:r w:rsidR="00CF3782">
        <w:rPr>
          <w:rFonts w:ascii="Arial" w:hAnsi="Arial" w:cs="Arial"/>
          <w:sz w:val="22"/>
          <w:szCs w:val="22"/>
        </w:rPr>
        <w:t xml:space="preserve"> Papež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>, ředitel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 xml:space="preserve">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D3E3095" w14:textId="70CBC779" w:rsidR="00CF3782" w:rsidRDefault="00797092" w:rsidP="00916A28">
      <w:pPr>
        <w:tabs>
          <w:tab w:val="left" w:pos="4536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</w:t>
      </w:r>
      <w:r w:rsidR="007073DD">
        <w:rPr>
          <w:rFonts w:ascii="Arial" w:hAnsi="Arial" w:cs="Arial"/>
          <w:sz w:val="22"/>
          <w:szCs w:val="22"/>
        </w:rPr>
        <w:t>á</w:t>
      </w:r>
      <w:r w:rsidRPr="003C0D30">
        <w:rPr>
          <w:rFonts w:ascii="Arial" w:hAnsi="Arial" w:cs="Arial"/>
          <w:sz w:val="22"/>
          <w:szCs w:val="22"/>
        </w:rPr>
        <w:t>:</w:t>
      </w:r>
      <w:r w:rsidR="003E4070">
        <w:rPr>
          <w:rFonts w:ascii="Arial" w:hAnsi="Arial" w:cs="Arial"/>
          <w:sz w:val="22"/>
          <w:szCs w:val="22"/>
        </w:rPr>
        <w:t xml:space="preserve"> Ing. Ivanou </w:t>
      </w:r>
      <w:proofErr w:type="spellStart"/>
      <w:r w:rsidR="003E4070">
        <w:rPr>
          <w:rFonts w:ascii="Arial" w:hAnsi="Arial" w:cs="Arial"/>
          <w:sz w:val="22"/>
          <w:szCs w:val="22"/>
        </w:rPr>
        <w:t>Comovou</w:t>
      </w:r>
      <w:proofErr w:type="spellEnd"/>
      <w:r w:rsidR="00353237">
        <w:rPr>
          <w:rFonts w:ascii="Arial" w:hAnsi="Arial" w:cs="Arial"/>
          <w:snapToGrid w:val="0"/>
          <w:sz w:val="22"/>
          <w:szCs w:val="22"/>
        </w:rPr>
        <w:t>,</w:t>
      </w:r>
      <w:r w:rsidR="003E4070">
        <w:rPr>
          <w:rFonts w:ascii="Arial" w:hAnsi="Arial" w:cs="Arial"/>
          <w:snapToGrid w:val="0"/>
          <w:sz w:val="22"/>
          <w:szCs w:val="22"/>
        </w:rPr>
        <w:t xml:space="preserve"> odborným radou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  <w:r w:rsidR="00CF3782">
        <w:rPr>
          <w:rFonts w:ascii="Arial" w:hAnsi="Arial" w:cs="Arial"/>
          <w:snapToGrid w:val="0"/>
          <w:sz w:val="22"/>
          <w:szCs w:val="22"/>
        </w:rPr>
        <w:t>Pobočk</w:t>
      </w:r>
      <w:r w:rsidR="00916A28">
        <w:rPr>
          <w:rFonts w:ascii="Arial" w:hAnsi="Arial" w:cs="Arial"/>
          <w:snapToGrid w:val="0"/>
          <w:sz w:val="22"/>
          <w:szCs w:val="22"/>
        </w:rPr>
        <w:t>y</w:t>
      </w:r>
      <w:r w:rsidR="00CF3782">
        <w:rPr>
          <w:rFonts w:ascii="Arial" w:hAnsi="Arial" w:cs="Arial"/>
          <w:snapToGrid w:val="0"/>
          <w:sz w:val="22"/>
          <w:szCs w:val="22"/>
        </w:rPr>
        <w:t xml:space="preserve"> </w:t>
      </w:r>
      <w:r w:rsidR="00916A28">
        <w:rPr>
          <w:rFonts w:ascii="Arial" w:hAnsi="Arial" w:cs="Arial"/>
          <w:snapToGrid w:val="0"/>
          <w:sz w:val="22"/>
          <w:szCs w:val="22"/>
        </w:rPr>
        <w:t>Tachov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4B2A9FB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12EA725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258E9">
        <w:rPr>
          <w:rFonts w:ascii="Arial" w:hAnsi="Arial" w:cs="Arial"/>
          <w:snapToGrid w:val="0"/>
          <w:sz w:val="22"/>
          <w:szCs w:val="22"/>
        </w:rPr>
        <w:t>+420</w:t>
      </w:r>
      <w:r w:rsidR="003E4070">
        <w:rPr>
          <w:rFonts w:ascii="Arial" w:hAnsi="Arial" w:cs="Arial"/>
          <w:snapToGrid w:val="0"/>
          <w:sz w:val="22"/>
          <w:szCs w:val="22"/>
        </w:rPr>
        <w:t> 777 796 663</w:t>
      </w:r>
    </w:p>
    <w:p w14:paraId="6DA97DD3" w14:textId="7EA1ECA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E4070">
        <w:rPr>
          <w:rFonts w:ascii="Arial" w:hAnsi="Arial" w:cs="Arial"/>
          <w:snapToGrid w:val="0"/>
          <w:sz w:val="22"/>
          <w:szCs w:val="22"/>
        </w:rPr>
        <w:t>ivana.comova</w:t>
      </w:r>
      <w:r w:rsidR="001258E9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0031D4B5" w:rsidR="00797092" w:rsidRPr="003C0D30" w:rsidRDefault="00797092" w:rsidP="00EC500E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  <w:r w:rsidR="00EC500E">
        <w:rPr>
          <w:rFonts w:ascii="Arial" w:hAnsi="Arial" w:cs="Arial"/>
          <w:sz w:val="22"/>
          <w:szCs w:val="22"/>
        </w:rPr>
        <w:tab/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0DA7F8FD" w:rsidR="00797092" w:rsidRPr="004C5296" w:rsidRDefault="004C5296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4C5296">
        <w:rPr>
          <w:rFonts w:ascii="Arial" w:hAnsi="Arial" w:cs="Arial"/>
          <w:b/>
          <w:sz w:val="22"/>
          <w:szCs w:val="22"/>
        </w:rPr>
        <w:t>AREA G.K. spol. s r.o.</w:t>
      </w:r>
    </w:p>
    <w:p w14:paraId="6F46CA0F" w14:textId="77777777" w:rsidR="004C5296" w:rsidRPr="004C5296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4C5296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4C5296">
        <w:rPr>
          <w:rFonts w:ascii="Arial" w:hAnsi="Arial" w:cs="Arial"/>
          <w:bCs/>
          <w:sz w:val="22"/>
          <w:szCs w:val="22"/>
        </w:rPr>
        <w:t xml:space="preserve">se sídlem </w:t>
      </w:r>
      <w:r w:rsidR="004C5296" w:rsidRPr="004C5296">
        <w:rPr>
          <w:rFonts w:ascii="Arial" w:hAnsi="Arial" w:cs="Arial"/>
          <w:snapToGrid w:val="0"/>
          <w:sz w:val="22"/>
          <w:szCs w:val="22"/>
        </w:rPr>
        <w:t xml:space="preserve">Světská 1418, Praha 9, Kyje, 198 00, IČO: 25094459, zapsaná v obchodním rejstříku vedeném Městským soudem v Praze, oddíl C, vložka 49143. </w:t>
      </w:r>
    </w:p>
    <w:p w14:paraId="47FA9FF2" w14:textId="0778D5DE" w:rsidR="00797092" w:rsidRPr="004C5296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4C5296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4C5296" w:rsidRPr="004C5296">
        <w:rPr>
          <w:rFonts w:ascii="Arial" w:hAnsi="Arial" w:cs="Arial"/>
          <w:snapToGrid w:val="0"/>
          <w:sz w:val="22"/>
          <w:szCs w:val="22"/>
        </w:rPr>
        <w:t>Milanem Novým, jednatelem</w:t>
      </w:r>
    </w:p>
    <w:p w14:paraId="673DD923" w14:textId="437E8A6D" w:rsidR="004C5296" w:rsidRPr="004C5296" w:rsidRDefault="00797092" w:rsidP="004C5296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4C5296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4C5296">
        <w:rPr>
          <w:rFonts w:ascii="Arial" w:hAnsi="Arial" w:cs="Arial"/>
          <w:sz w:val="22"/>
          <w:szCs w:val="22"/>
        </w:rPr>
        <w:t>zastoupená</w:t>
      </w:r>
      <w:r w:rsidRPr="004C5296">
        <w:rPr>
          <w:rFonts w:ascii="Arial" w:hAnsi="Arial" w:cs="Arial"/>
          <w:bCs/>
          <w:sz w:val="22"/>
          <w:szCs w:val="22"/>
        </w:rPr>
        <w:t>:</w:t>
      </w:r>
      <w:r w:rsidR="004C5296" w:rsidRPr="004C5296">
        <w:rPr>
          <w:rFonts w:ascii="Arial" w:hAnsi="Arial" w:cs="Arial"/>
          <w:snapToGrid w:val="0"/>
          <w:sz w:val="22"/>
          <w:szCs w:val="22"/>
        </w:rPr>
        <w:t xml:space="preserve"> Milanem Novým, jednatelem</w:t>
      </w:r>
    </w:p>
    <w:p w14:paraId="73031793" w14:textId="0993099D" w:rsidR="00797092" w:rsidRPr="004C5296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4C5296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4C5296">
        <w:rPr>
          <w:rFonts w:ascii="Arial" w:hAnsi="Arial" w:cs="Arial"/>
          <w:sz w:val="22"/>
          <w:szCs w:val="22"/>
        </w:rPr>
        <w:t>zastoupená</w:t>
      </w:r>
      <w:r w:rsidRPr="004C529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9203FA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C5296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7F47CBD" w14:textId="49632B1D" w:rsidR="004C5296" w:rsidRDefault="004C5296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C5296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203FA">
        <w:rPr>
          <w:rFonts w:ascii="Arial" w:hAnsi="Arial" w:cs="Arial"/>
          <w:sz w:val="22"/>
          <w:szCs w:val="22"/>
        </w:rPr>
        <w:t>xxx</w:t>
      </w:r>
      <w:proofErr w:type="spellEnd"/>
      <w:r w:rsidRPr="004C5296">
        <w:rPr>
          <w:rFonts w:ascii="Arial" w:hAnsi="Arial" w:cs="Arial"/>
          <w:sz w:val="22"/>
          <w:szCs w:val="22"/>
        </w:rPr>
        <w:t xml:space="preserve"> </w:t>
      </w:r>
    </w:p>
    <w:p w14:paraId="5421E615" w14:textId="4DC63CE6" w:rsidR="004C5296" w:rsidRDefault="004C5296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C529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203FA" w:rsidRPr="009203FA">
        <w:rPr>
          <w:rFonts w:ascii="Arial" w:hAnsi="Arial" w:cs="Arial"/>
          <w:sz w:val="22"/>
          <w:szCs w:val="22"/>
        </w:rPr>
        <w:t>xxx</w:t>
      </w:r>
      <w:proofErr w:type="spellEnd"/>
      <w:r w:rsidRPr="004C5296">
        <w:rPr>
          <w:rFonts w:ascii="Arial" w:hAnsi="Arial" w:cs="Arial"/>
          <w:sz w:val="22"/>
          <w:szCs w:val="22"/>
        </w:rPr>
        <w:t xml:space="preserve"> </w:t>
      </w:r>
    </w:p>
    <w:p w14:paraId="6A5ECA6E" w14:textId="49621DE6" w:rsidR="004C5296" w:rsidRDefault="004C5296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C5296">
        <w:rPr>
          <w:rFonts w:ascii="Arial" w:hAnsi="Arial" w:cs="Arial"/>
          <w:sz w:val="22"/>
          <w:szCs w:val="22"/>
        </w:rPr>
        <w:t xml:space="preserve">ID datové schránky: jyem6ry </w:t>
      </w:r>
    </w:p>
    <w:p w14:paraId="0B01DFF5" w14:textId="77777777" w:rsidR="004C5296" w:rsidRDefault="004C5296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</w:p>
    <w:p w14:paraId="78368369" w14:textId="77777777" w:rsidR="004C5296" w:rsidRPr="004C5296" w:rsidRDefault="004C5296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4C5296">
        <w:rPr>
          <w:rFonts w:ascii="Arial" w:hAnsi="Arial" w:cs="Arial"/>
          <w:b/>
          <w:sz w:val="22"/>
          <w:szCs w:val="22"/>
        </w:rPr>
        <w:t xml:space="preserve">Bankovní spojení: </w:t>
      </w:r>
      <w:r w:rsidRPr="004C5296">
        <w:rPr>
          <w:rFonts w:ascii="Arial" w:hAnsi="Arial" w:cs="Arial"/>
          <w:bCs/>
          <w:sz w:val="22"/>
          <w:szCs w:val="22"/>
        </w:rPr>
        <w:t xml:space="preserve">Komerční banka, a.s. </w:t>
      </w:r>
    </w:p>
    <w:p w14:paraId="1827015F" w14:textId="77777777" w:rsidR="004C5296" w:rsidRPr="004C5296" w:rsidRDefault="004C5296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4C5296">
        <w:rPr>
          <w:rFonts w:ascii="Arial" w:hAnsi="Arial" w:cs="Arial"/>
          <w:bCs/>
          <w:sz w:val="22"/>
          <w:szCs w:val="22"/>
        </w:rPr>
        <w:t xml:space="preserve">Číslo účtu: 19-4040960207/0100 </w:t>
      </w:r>
    </w:p>
    <w:p w14:paraId="08E4CF51" w14:textId="5E5C5B4A" w:rsidR="00797092" w:rsidRPr="004C5296" w:rsidRDefault="004C5296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4C5296">
        <w:rPr>
          <w:rFonts w:ascii="Arial" w:hAnsi="Arial" w:cs="Arial"/>
          <w:bCs/>
          <w:sz w:val="22"/>
          <w:szCs w:val="22"/>
        </w:rPr>
        <w:t>DIČ: 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709434C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1258E9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1258E9">
        <w:rPr>
          <w:rFonts w:ascii="Arial" w:hAnsi="Arial" w:cs="Arial"/>
          <w:sz w:val="22"/>
          <w:szCs w:val="22"/>
        </w:rPr>
        <w:t xml:space="preserve"> </w:t>
      </w:r>
      <w:bookmarkStart w:id="0" w:name="_Hlk210297821"/>
      <w:r w:rsidR="001258E9" w:rsidRPr="00513422">
        <w:rPr>
          <w:rFonts w:ascii="Arial" w:hAnsi="Arial" w:cs="Arial"/>
          <w:b/>
          <w:bCs/>
          <w:sz w:val="22"/>
          <w:szCs w:val="22"/>
        </w:rPr>
        <w:t>PLK/</w:t>
      </w:r>
      <w:r w:rsidR="00101181">
        <w:rPr>
          <w:rFonts w:ascii="Arial" w:hAnsi="Arial" w:cs="Arial"/>
          <w:b/>
          <w:bCs/>
          <w:sz w:val="22"/>
          <w:szCs w:val="22"/>
        </w:rPr>
        <w:t>12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916A28">
        <w:rPr>
          <w:rFonts w:ascii="Arial" w:hAnsi="Arial" w:cs="Arial"/>
          <w:b/>
          <w:bCs/>
          <w:sz w:val="22"/>
          <w:szCs w:val="22"/>
        </w:rPr>
        <w:t>TC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916A28" w:rsidRPr="00513422">
        <w:rPr>
          <w:rFonts w:ascii="Arial" w:hAnsi="Arial" w:cs="Arial"/>
          <w:b/>
          <w:bCs/>
          <w:sz w:val="22"/>
          <w:szCs w:val="22"/>
        </w:rPr>
        <w:t xml:space="preserve"> </w:t>
      </w:r>
      <w:r w:rsidR="00916A28">
        <w:rPr>
          <w:rFonts w:ascii="Arial" w:hAnsi="Arial" w:cs="Arial"/>
          <w:b/>
          <w:bCs/>
          <w:sz w:val="22"/>
          <w:szCs w:val="22"/>
        </w:rPr>
        <w:t xml:space="preserve">Ústí nad </w:t>
      </w:r>
      <w:proofErr w:type="spellStart"/>
      <w:r w:rsidR="00916A28">
        <w:rPr>
          <w:rFonts w:ascii="Arial" w:hAnsi="Arial" w:cs="Arial"/>
          <w:b/>
          <w:bCs/>
          <w:sz w:val="22"/>
          <w:szCs w:val="22"/>
        </w:rPr>
        <w:t>Mží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_vytyčení_po_KoPÚ</w:t>
      </w:r>
      <w:proofErr w:type="spellEnd"/>
      <w:r w:rsidR="001258E9">
        <w:rPr>
          <w:rFonts w:ascii="Arial" w:hAnsi="Arial" w:cs="Arial"/>
          <w:sz w:val="22"/>
          <w:szCs w:val="22"/>
        </w:rPr>
        <w:t xml:space="preserve"> </w:t>
      </w:r>
      <w:bookmarkEnd w:id="0"/>
      <w:r w:rsidR="001258E9">
        <w:rPr>
          <w:rFonts w:ascii="Arial" w:hAnsi="Arial" w:cs="Arial"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D10E05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  <w:r w:rsidR="001258E9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D4A699C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4C5296">
        <w:rPr>
          <w:rFonts w:ascii="Arial" w:hAnsi="Arial" w:cs="Arial"/>
          <w:sz w:val="22"/>
          <w:szCs w:val="22"/>
        </w:rPr>
        <w:t>30. 1. 2026.</w:t>
      </w:r>
    </w:p>
    <w:p w14:paraId="085E7CB4" w14:textId="25028EE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258E9">
        <w:rPr>
          <w:rFonts w:ascii="Arial" w:hAnsi="Arial" w:cs="Arial"/>
          <w:sz w:val="22"/>
          <w:szCs w:val="22"/>
        </w:rPr>
        <w:t>Plzeňský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B818D8">
        <w:rPr>
          <w:rFonts w:ascii="Arial" w:hAnsi="Arial" w:cs="Arial"/>
          <w:sz w:val="22"/>
          <w:szCs w:val="22"/>
        </w:rPr>
        <w:t>Tachov</w:t>
      </w:r>
      <w:r w:rsidR="001258E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A04AD8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A513A2">
        <w:rPr>
          <w:rFonts w:ascii="Arial" w:hAnsi="Arial" w:cs="Arial"/>
          <w:sz w:val="22"/>
          <w:szCs w:val="22"/>
        </w:rPr>
        <w:t xml:space="preserve">Ústí nad Mží, </w:t>
      </w:r>
      <w:r w:rsidR="00AA4335" w:rsidRPr="0042773E">
        <w:rPr>
          <w:rFonts w:ascii="Arial" w:hAnsi="Arial" w:cs="Arial"/>
          <w:sz w:val="22"/>
          <w:szCs w:val="22"/>
        </w:rPr>
        <w:t>okres: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A513A2">
        <w:rPr>
          <w:rFonts w:ascii="Arial" w:hAnsi="Arial" w:cs="Arial"/>
          <w:sz w:val="22"/>
          <w:szCs w:val="22"/>
        </w:rPr>
        <w:t xml:space="preserve">Tachov,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6DCEB4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A22252">
        <w:rPr>
          <w:rFonts w:ascii="Arial" w:hAnsi="Arial" w:cs="Arial"/>
          <w:sz w:val="22"/>
          <w:szCs w:val="22"/>
        </w:rPr>
        <w:t xml:space="preserve"> 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</w:t>
      </w:r>
      <w:r w:rsidR="00ED75A0" w:rsidRPr="00014665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D62AB4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22252">
        <w:rPr>
          <w:rFonts w:ascii="Arial" w:hAnsi="Arial" w:cs="Arial"/>
          <w:sz w:val="22"/>
          <w:szCs w:val="22"/>
        </w:rPr>
        <w:t>Plzeňský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2E3ABA">
        <w:rPr>
          <w:rFonts w:ascii="Arial" w:hAnsi="Arial" w:cs="Arial"/>
          <w:sz w:val="22"/>
          <w:szCs w:val="22"/>
        </w:rPr>
        <w:t>Tachov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22252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DDBBE5F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4C5296">
        <w:rPr>
          <w:rFonts w:ascii="Arial" w:hAnsi="Arial" w:cs="Arial"/>
          <w:sz w:val="22"/>
          <w:szCs w:val="22"/>
        </w:rPr>
        <w:t>65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F21B9FD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2E3ABA">
        <w:rPr>
          <w:rFonts w:ascii="Arial" w:hAnsi="Arial" w:cs="Arial"/>
          <w:sz w:val="22"/>
          <w:szCs w:val="22"/>
        </w:rPr>
        <w:t xml:space="preserve"> Ústí nad Mží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2E3ABA">
        <w:rPr>
          <w:rFonts w:ascii="Arial" w:hAnsi="Arial" w:cs="Arial"/>
          <w:sz w:val="22"/>
          <w:szCs w:val="22"/>
        </w:rPr>
        <w:t>Tachov</w:t>
      </w:r>
    </w:p>
    <w:p w14:paraId="2D78EFEF" w14:textId="75E2DEC0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2E3ABA">
        <w:rPr>
          <w:rFonts w:ascii="Arial" w:hAnsi="Arial" w:cs="Arial"/>
          <w:sz w:val="22"/>
          <w:szCs w:val="22"/>
        </w:rPr>
        <w:t>T.G. Masaryka 1326, 347 01 Tachov</w:t>
      </w:r>
      <w:r w:rsidR="00A22252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020C9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65644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A22252">
        <w:rPr>
          <w:rFonts w:ascii="Arial" w:hAnsi="Arial" w:cs="Arial"/>
          <w:sz w:val="22"/>
          <w:szCs w:val="22"/>
        </w:rPr>
        <w:t xml:space="preserve"> 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101181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</w:t>
      </w:r>
      <w:r w:rsidRPr="00101181">
        <w:rPr>
          <w:rFonts w:ascii="Arial" w:hAnsi="Arial" w:cs="Arial"/>
          <w:sz w:val="22"/>
          <w:szCs w:val="22"/>
        </w:rPr>
        <w:t xml:space="preserve">činnosti cenu, která je stanovena dle počtu </w:t>
      </w:r>
      <w:r w:rsidR="00643337" w:rsidRPr="00101181">
        <w:rPr>
          <w:rFonts w:ascii="Arial" w:hAnsi="Arial" w:cs="Arial"/>
          <w:sz w:val="22"/>
          <w:szCs w:val="22"/>
        </w:rPr>
        <w:t>měrných jednotek („</w:t>
      </w:r>
      <w:r w:rsidR="00643337" w:rsidRPr="00101181">
        <w:rPr>
          <w:rFonts w:ascii="Arial" w:hAnsi="Arial" w:cs="Arial"/>
          <w:b/>
          <w:bCs/>
          <w:sz w:val="22"/>
          <w:szCs w:val="22"/>
        </w:rPr>
        <w:t>MJ</w:t>
      </w:r>
      <w:r w:rsidR="00643337" w:rsidRPr="00101181">
        <w:rPr>
          <w:rFonts w:ascii="Arial" w:hAnsi="Arial" w:cs="Arial"/>
          <w:sz w:val="22"/>
          <w:szCs w:val="22"/>
        </w:rPr>
        <w:t xml:space="preserve">“) </w:t>
      </w:r>
      <w:r w:rsidRPr="00101181">
        <w:rPr>
          <w:rFonts w:ascii="Arial" w:hAnsi="Arial" w:cs="Arial"/>
          <w:sz w:val="22"/>
          <w:szCs w:val="22"/>
        </w:rPr>
        <w:t>za</w:t>
      </w:r>
      <w:r w:rsidR="00643337" w:rsidRPr="00101181">
        <w:rPr>
          <w:rFonts w:ascii="Arial" w:hAnsi="Arial" w:cs="Arial"/>
          <w:sz w:val="22"/>
          <w:szCs w:val="22"/>
        </w:rPr>
        <w:t xml:space="preserve"> </w:t>
      </w:r>
      <w:r w:rsidRPr="00101181">
        <w:rPr>
          <w:rFonts w:ascii="Arial" w:hAnsi="Arial" w:cs="Arial"/>
          <w:sz w:val="22"/>
          <w:szCs w:val="22"/>
        </w:rPr>
        <w:t>vyt</w:t>
      </w:r>
      <w:r w:rsidR="00311E5C" w:rsidRPr="00101181">
        <w:rPr>
          <w:rFonts w:ascii="Arial" w:hAnsi="Arial" w:cs="Arial"/>
          <w:sz w:val="22"/>
          <w:szCs w:val="22"/>
        </w:rPr>
        <w:t>y</w:t>
      </w:r>
      <w:r w:rsidRPr="00101181">
        <w:rPr>
          <w:rFonts w:ascii="Arial" w:hAnsi="Arial" w:cs="Arial"/>
          <w:sz w:val="22"/>
          <w:szCs w:val="22"/>
        </w:rPr>
        <w:t>čení</w:t>
      </w:r>
      <w:r w:rsidR="00643337" w:rsidRPr="00101181">
        <w:rPr>
          <w:rFonts w:ascii="Arial" w:hAnsi="Arial" w:cs="Arial"/>
          <w:sz w:val="22"/>
          <w:szCs w:val="22"/>
        </w:rPr>
        <w:t xml:space="preserve"> </w:t>
      </w:r>
      <w:r w:rsidRPr="00101181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101181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101181">
        <w:rPr>
          <w:rFonts w:ascii="Arial" w:hAnsi="Arial" w:cs="Arial"/>
          <w:sz w:val="22"/>
          <w:szCs w:val="22"/>
        </w:rPr>
        <w:t>Smluvní cena:</w:t>
      </w:r>
    </w:p>
    <w:p w14:paraId="4C6BAE4E" w14:textId="433CD4FE" w:rsidR="0000200D" w:rsidRPr="00101181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101181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101181">
        <w:rPr>
          <w:rFonts w:ascii="Arial" w:hAnsi="Arial" w:cs="Arial"/>
          <w:b/>
          <w:bCs/>
          <w:sz w:val="22"/>
          <w:szCs w:val="22"/>
        </w:rPr>
        <w:t>označení</w:t>
      </w:r>
      <w:r w:rsidRPr="00101181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916A28" w:rsidRPr="00101181">
        <w:rPr>
          <w:rFonts w:ascii="Arial" w:hAnsi="Arial" w:cs="Arial"/>
          <w:b/>
          <w:bCs/>
          <w:sz w:val="22"/>
          <w:szCs w:val="22"/>
        </w:rPr>
        <w:t>34</w:t>
      </w:r>
      <w:r w:rsidR="00353237" w:rsidRPr="0010118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01181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6ED67BE6" w:rsidR="0000200D" w:rsidRPr="00101181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101181">
        <w:rPr>
          <w:rFonts w:ascii="Arial" w:hAnsi="Arial" w:cs="Arial"/>
          <w:b/>
          <w:sz w:val="22"/>
          <w:szCs w:val="22"/>
        </w:rPr>
        <w:t xml:space="preserve">- </w:t>
      </w:r>
      <w:r w:rsidR="0000200D" w:rsidRPr="00101181">
        <w:rPr>
          <w:rFonts w:ascii="Arial" w:hAnsi="Arial" w:cs="Arial"/>
          <w:b/>
          <w:sz w:val="22"/>
          <w:szCs w:val="22"/>
        </w:rPr>
        <w:t>cena za 1 MJ</w:t>
      </w:r>
      <w:r w:rsidR="0000200D" w:rsidRPr="00101181">
        <w:rPr>
          <w:rFonts w:ascii="Arial" w:hAnsi="Arial" w:cs="Arial"/>
          <w:b/>
          <w:sz w:val="22"/>
          <w:szCs w:val="22"/>
        </w:rPr>
        <w:tab/>
      </w:r>
      <w:r w:rsidR="0000200D" w:rsidRPr="00101181">
        <w:rPr>
          <w:rFonts w:ascii="Arial" w:hAnsi="Arial" w:cs="Arial"/>
          <w:b/>
          <w:sz w:val="22"/>
          <w:szCs w:val="22"/>
        </w:rPr>
        <w:tab/>
      </w:r>
      <w:r w:rsidR="0000200D" w:rsidRPr="00101181">
        <w:rPr>
          <w:rFonts w:ascii="Arial" w:hAnsi="Arial" w:cs="Arial"/>
          <w:b/>
          <w:sz w:val="22"/>
          <w:szCs w:val="22"/>
        </w:rPr>
        <w:tab/>
      </w:r>
      <w:r w:rsidR="0000200D" w:rsidRPr="00101181">
        <w:rPr>
          <w:rFonts w:ascii="Arial" w:hAnsi="Arial" w:cs="Arial"/>
          <w:b/>
          <w:sz w:val="22"/>
          <w:szCs w:val="22"/>
        </w:rPr>
        <w:tab/>
      </w:r>
      <w:r w:rsidR="0000200D" w:rsidRPr="00101181">
        <w:rPr>
          <w:rFonts w:ascii="Arial" w:hAnsi="Arial" w:cs="Arial"/>
          <w:b/>
          <w:sz w:val="22"/>
          <w:szCs w:val="22"/>
        </w:rPr>
        <w:tab/>
      </w:r>
      <w:r w:rsidR="004C5296" w:rsidRPr="00101181">
        <w:rPr>
          <w:rFonts w:ascii="Arial" w:hAnsi="Arial" w:cs="Arial"/>
          <w:b/>
          <w:sz w:val="22"/>
          <w:szCs w:val="22"/>
        </w:rPr>
        <w:t>1 125,-</w:t>
      </w:r>
      <w:r w:rsidR="0000200D" w:rsidRPr="00101181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101181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101181">
        <w:rPr>
          <w:rFonts w:ascii="Arial" w:hAnsi="Arial" w:cs="Arial"/>
          <w:i/>
          <w:sz w:val="22"/>
          <w:szCs w:val="22"/>
        </w:rPr>
        <w:t>(pozn.: 1 MJ = 100</w:t>
      </w:r>
      <w:r w:rsidR="00ED3243" w:rsidRPr="0010118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01181">
        <w:rPr>
          <w:rFonts w:ascii="Arial" w:hAnsi="Arial" w:cs="Arial"/>
          <w:i/>
          <w:sz w:val="22"/>
          <w:szCs w:val="22"/>
        </w:rPr>
        <w:t>bm</w:t>
      </w:r>
      <w:proofErr w:type="spellEnd"/>
      <w:r w:rsidRPr="00101181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56F6858A" w:rsidR="0000200D" w:rsidRPr="00101181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101181">
        <w:rPr>
          <w:rFonts w:ascii="Arial" w:hAnsi="Arial" w:cs="Arial"/>
          <w:b/>
          <w:sz w:val="22"/>
          <w:szCs w:val="22"/>
        </w:rPr>
        <w:t xml:space="preserve">Smluvní cena celkem </w:t>
      </w:r>
      <w:r w:rsidRPr="00101181">
        <w:rPr>
          <w:rFonts w:ascii="Arial" w:hAnsi="Arial" w:cs="Arial"/>
          <w:b/>
          <w:sz w:val="22"/>
          <w:szCs w:val="22"/>
        </w:rPr>
        <w:tab/>
      </w:r>
      <w:r w:rsidRPr="00101181">
        <w:rPr>
          <w:rFonts w:ascii="Arial" w:hAnsi="Arial" w:cs="Arial"/>
          <w:b/>
          <w:sz w:val="22"/>
          <w:szCs w:val="22"/>
        </w:rPr>
        <w:tab/>
        <w:t xml:space="preserve"> </w:t>
      </w:r>
      <w:r w:rsidRPr="00101181">
        <w:rPr>
          <w:rFonts w:ascii="Arial" w:hAnsi="Arial" w:cs="Arial"/>
          <w:b/>
          <w:sz w:val="22"/>
          <w:szCs w:val="22"/>
        </w:rPr>
        <w:tab/>
      </w:r>
      <w:r w:rsidRPr="00101181">
        <w:rPr>
          <w:rFonts w:ascii="Arial" w:hAnsi="Arial" w:cs="Arial"/>
          <w:b/>
          <w:sz w:val="22"/>
          <w:szCs w:val="22"/>
        </w:rPr>
        <w:tab/>
      </w:r>
      <w:r w:rsidR="004C5296" w:rsidRPr="00101181">
        <w:rPr>
          <w:rFonts w:ascii="Arial" w:hAnsi="Arial" w:cs="Arial"/>
          <w:b/>
          <w:sz w:val="22"/>
          <w:szCs w:val="22"/>
        </w:rPr>
        <w:t>38 250,-</w:t>
      </w:r>
      <w:r w:rsidRPr="00101181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D977F0B" w:rsidR="0000200D" w:rsidRPr="00101181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101181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4C5296" w:rsidRPr="00101181">
        <w:rPr>
          <w:rFonts w:ascii="Arial" w:hAnsi="Arial" w:cs="Arial"/>
          <w:b/>
          <w:sz w:val="22"/>
          <w:szCs w:val="22"/>
          <w:u w:val="single"/>
        </w:rPr>
        <w:t>21</w:t>
      </w:r>
      <w:r w:rsidRPr="00101181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101181">
        <w:rPr>
          <w:rFonts w:ascii="Arial" w:hAnsi="Arial" w:cs="Arial"/>
          <w:b/>
          <w:sz w:val="22"/>
          <w:szCs w:val="22"/>
          <w:u w:val="single"/>
        </w:rPr>
        <w:tab/>
      </w:r>
      <w:r w:rsidRPr="00101181">
        <w:rPr>
          <w:rFonts w:ascii="Arial" w:hAnsi="Arial" w:cs="Arial"/>
          <w:b/>
          <w:sz w:val="22"/>
          <w:szCs w:val="22"/>
          <w:u w:val="single"/>
        </w:rPr>
        <w:tab/>
      </w:r>
      <w:r w:rsidRPr="00101181">
        <w:rPr>
          <w:rFonts w:ascii="Arial" w:hAnsi="Arial" w:cs="Arial"/>
          <w:b/>
          <w:sz w:val="22"/>
          <w:szCs w:val="22"/>
          <w:u w:val="single"/>
        </w:rPr>
        <w:tab/>
      </w:r>
      <w:r w:rsidRPr="00101181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101181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101181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4C5296" w:rsidRPr="00101181">
        <w:rPr>
          <w:rFonts w:ascii="Arial" w:hAnsi="Arial" w:cs="Arial"/>
          <w:b/>
          <w:sz w:val="22"/>
          <w:szCs w:val="22"/>
          <w:u w:val="single"/>
        </w:rPr>
        <w:t xml:space="preserve">8 032,5 </w:t>
      </w:r>
      <w:r w:rsidRPr="00101181">
        <w:rPr>
          <w:rFonts w:ascii="Arial" w:hAnsi="Arial" w:cs="Arial"/>
          <w:b/>
          <w:sz w:val="22"/>
          <w:szCs w:val="22"/>
          <w:u w:val="single"/>
        </w:rPr>
        <w:t xml:space="preserve">Kč </w:t>
      </w:r>
    </w:p>
    <w:p w14:paraId="1F8CB0FF" w14:textId="28F699EC" w:rsidR="0000200D" w:rsidRPr="00101181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101181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101181">
        <w:rPr>
          <w:rFonts w:ascii="Arial" w:hAnsi="Arial" w:cs="Arial"/>
          <w:b/>
          <w:sz w:val="22"/>
          <w:szCs w:val="22"/>
          <w:u w:val="double"/>
        </w:rPr>
        <w:tab/>
      </w:r>
      <w:r w:rsidRPr="00101181">
        <w:rPr>
          <w:rFonts w:ascii="Arial" w:hAnsi="Arial" w:cs="Arial"/>
          <w:b/>
          <w:sz w:val="22"/>
          <w:szCs w:val="22"/>
          <w:u w:val="double"/>
        </w:rPr>
        <w:tab/>
      </w:r>
      <w:r w:rsidRPr="00101181">
        <w:rPr>
          <w:rFonts w:ascii="Arial" w:hAnsi="Arial" w:cs="Arial"/>
          <w:b/>
          <w:sz w:val="22"/>
          <w:szCs w:val="22"/>
          <w:u w:val="double"/>
        </w:rPr>
        <w:tab/>
      </w:r>
      <w:r w:rsidRPr="00101181">
        <w:rPr>
          <w:rFonts w:ascii="Arial" w:hAnsi="Arial" w:cs="Arial"/>
          <w:b/>
          <w:sz w:val="22"/>
          <w:szCs w:val="22"/>
          <w:u w:val="double"/>
        </w:rPr>
        <w:tab/>
      </w:r>
      <w:r w:rsidRPr="00101181">
        <w:rPr>
          <w:rFonts w:ascii="Arial" w:hAnsi="Arial" w:cs="Arial"/>
          <w:b/>
          <w:sz w:val="22"/>
          <w:szCs w:val="22"/>
          <w:u w:val="double"/>
        </w:rPr>
        <w:tab/>
      </w:r>
      <w:r w:rsidR="004C5296" w:rsidRPr="00101181">
        <w:rPr>
          <w:rFonts w:ascii="Arial" w:hAnsi="Arial" w:cs="Arial"/>
          <w:b/>
          <w:sz w:val="22"/>
          <w:szCs w:val="22"/>
          <w:u w:val="double"/>
        </w:rPr>
        <w:t>46 282,5</w:t>
      </w:r>
      <w:r w:rsidRPr="00101181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101181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101181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101181">
        <w:rPr>
          <w:rFonts w:ascii="Arial" w:hAnsi="Arial" w:cs="Arial"/>
          <w:sz w:val="22"/>
          <w:szCs w:val="22"/>
        </w:rPr>
        <w:t>Z</w:t>
      </w:r>
      <w:r w:rsidR="00182CB8" w:rsidRPr="00101181">
        <w:rPr>
          <w:rFonts w:ascii="Arial" w:hAnsi="Arial" w:cs="Arial"/>
          <w:sz w:val="22"/>
          <w:szCs w:val="22"/>
        </w:rPr>
        <w:t>hotovitel</w:t>
      </w:r>
      <w:r w:rsidRPr="00101181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101181">
        <w:rPr>
          <w:rFonts w:ascii="Arial" w:hAnsi="Arial" w:cs="Arial"/>
          <w:sz w:val="22"/>
          <w:szCs w:val="22"/>
        </w:rPr>
        <w:t>Sjednan</w:t>
      </w:r>
      <w:r w:rsidR="00D05D09" w:rsidRPr="00101181">
        <w:rPr>
          <w:rFonts w:ascii="Arial" w:hAnsi="Arial" w:cs="Arial"/>
          <w:sz w:val="22"/>
          <w:szCs w:val="22"/>
        </w:rPr>
        <w:t>ou</w:t>
      </w:r>
      <w:r w:rsidRPr="00101181">
        <w:rPr>
          <w:rFonts w:ascii="Arial" w:hAnsi="Arial" w:cs="Arial"/>
          <w:sz w:val="22"/>
          <w:szCs w:val="22"/>
        </w:rPr>
        <w:t xml:space="preserve"> celkov</w:t>
      </w:r>
      <w:r w:rsidR="00D05D09" w:rsidRPr="00101181">
        <w:rPr>
          <w:rFonts w:ascii="Arial" w:hAnsi="Arial" w:cs="Arial"/>
          <w:sz w:val="22"/>
          <w:szCs w:val="22"/>
        </w:rPr>
        <w:t>ou</w:t>
      </w:r>
      <w:r w:rsidRPr="00101181">
        <w:rPr>
          <w:rFonts w:ascii="Arial" w:hAnsi="Arial" w:cs="Arial"/>
          <w:sz w:val="22"/>
          <w:szCs w:val="22"/>
        </w:rPr>
        <w:t xml:space="preserve"> cen</w:t>
      </w:r>
      <w:r w:rsidR="00D05D09" w:rsidRPr="00101181">
        <w:rPr>
          <w:rFonts w:ascii="Arial" w:hAnsi="Arial" w:cs="Arial"/>
          <w:sz w:val="22"/>
          <w:szCs w:val="22"/>
        </w:rPr>
        <w:t>u</w:t>
      </w:r>
      <w:r w:rsidR="00563793" w:rsidRPr="00101181">
        <w:rPr>
          <w:rFonts w:ascii="Arial" w:hAnsi="Arial" w:cs="Arial"/>
          <w:sz w:val="22"/>
          <w:szCs w:val="22"/>
        </w:rPr>
        <w:t xml:space="preserve"> s DPH</w:t>
      </w:r>
      <w:r w:rsidRPr="00101181">
        <w:rPr>
          <w:rFonts w:ascii="Arial" w:hAnsi="Arial" w:cs="Arial"/>
          <w:sz w:val="22"/>
          <w:szCs w:val="22"/>
        </w:rPr>
        <w:t xml:space="preserve"> lze změnit pouze v případě</w:t>
      </w:r>
      <w:r w:rsidRPr="00014665">
        <w:rPr>
          <w:rFonts w:ascii="Arial" w:hAnsi="Arial" w:cs="Arial"/>
          <w:sz w:val="22"/>
          <w:szCs w:val="22"/>
        </w:rPr>
        <w:t>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EC93BE1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B818D8">
        <w:rPr>
          <w:rFonts w:ascii="Arial" w:hAnsi="Arial" w:cs="Arial"/>
          <w:sz w:val="22"/>
          <w:szCs w:val="22"/>
        </w:rPr>
        <w:t>Tachov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22252">
        <w:rPr>
          <w:rFonts w:ascii="Arial" w:hAnsi="Arial" w:cs="Arial"/>
          <w:sz w:val="22"/>
          <w:szCs w:val="22"/>
        </w:rPr>
        <w:t xml:space="preserve">Plzeňský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="009203FA" w:rsidRPr="00135FA5">
          <w:rPr>
            <w:rStyle w:val="Hypertextovodkaz"/>
            <w:rFonts w:ascii="Arial" w:hAnsi="Arial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A22252">
        <w:rPr>
          <w:rFonts w:ascii="Arial" w:hAnsi="Arial" w:cs="Arial"/>
          <w:b/>
          <w:snapToGrid w:val="0"/>
          <w:sz w:val="22"/>
          <w:szCs w:val="22"/>
        </w:rPr>
        <w:t xml:space="preserve"> Plzeňský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916A28">
        <w:rPr>
          <w:rFonts w:ascii="Arial" w:hAnsi="Arial" w:cs="Arial"/>
          <w:b/>
          <w:snapToGrid w:val="0"/>
          <w:sz w:val="22"/>
          <w:szCs w:val="22"/>
        </w:rPr>
        <w:t>Tachov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A513A2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916A28" w:rsidRPr="00A513A2">
        <w:rPr>
          <w:rFonts w:ascii="Arial" w:hAnsi="Arial" w:cs="Arial"/>
          <w:b/>
          <w:bCs/>
          <w:snapToGrid w:val="0"/>
          <w:sz w:val="22"/>
          <w:szCs w:val="22"/>
        </w:rPr>
        <w:t xml:space="preserve"> T.G. Masaryka 1326, 347 01 Tachov</w:t>
      </w:r>
      <w:r w:rsidR="00A22252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F4DF382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A2225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B818D8">
        <w:rPr>
          <w:rFonts w:ascii="Arial" w:hAnsi="Arial" w:cs="Arial"/>
          <w:sz w:val="22"/>
          <w:szCs w:val="22"/>
        </w:rPr>
        <w:t>Tachov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7ECCFF9B" w14:textId="77777777" w:rsidR="00A513A2" w:rsidRDefault="00A513A2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bookmarkStart w:id="2" w:name="_Hlk51932588"/>
    </w:p>
    <w:p w14:paraId="6E78A86E" w14:textId="07112C58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101181">
        <w:rPr>
          <w:rFonts w:ascii="Arial" w:hAnsi="Arial" w:cs="Arial"/>
          <w:sz w:val="22"/>
          <w:szCs w:val="22"/>
        </w:rPr>
        <w:t>AREA G.K., spol. s r.o.</w:t>
      </w:r>
    </w:p>
    <w:p w14:paraId="0780E320" w14:textId="5630410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091056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101181">
        <w:rPr>
          <w:rFonts w:ascii="Arial" w:hAnsi="Arial" w:cs="Arial"/>
          <w:sz w:val="22"/>
          <w:szCs w:val="22"/>
        </w:rPr>
        <w:t>Praha</w:t>
      </w:r>
    </w:p>
    <w:p w14:paraId="275FAE40" w14:textId="79E3196D" w:rsidR="00610F2F" w:rsidRPr="00091056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09105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990379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5. 2. 2026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091056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091056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091056" w:rsidRPr="0009105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5.</w:t>
      </w:r>
      <w:r w:rsidR="0009105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091056" w:rsidRPr="0009105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2.</w:t>
      </w:r>
      <w:r w:rsidR="0009105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091056" w:rsidRPr="0009105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36EFFCC1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CDA414B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332CD2">
        <w:rPr>
          <w:rFonts w:ascii="Arial" w:hAnsi="Arial" w:cs="Arial"/>
          <w:sz w:val="22"/>
          <w:szCs w:val="22"/>
        </w:rPr>
        <w:t>Ing. Jiří Papež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101181">
        <w:rPr>
          <w:rFonts w:ascii="Arial" w:hAnsi="Arial" w:cs="Arial"/>
          <w:sz w:val="22"/>
          <w:szCs w:val="22"/>
        </w:rPr>
        <w:t>Milan Nový</w:t>
      </w:r>
    </w:p>
    <w:p w14:paraId="1F5A5897" w14:textId="6DB94E76" w:rsidR="00BB303E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332CD2">
        <w:rPr>
          <w:rFonts w:ascii="Arial" w:hAnsi="Arial" w:cs="Arial"/>
          <w:sz w:val="22"/>
          <w:szCs w:val="22"/>
        </w:rPr>
        <w:t>ředitel KPÚ pro Plzeňský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101181">
        <w:rPr>
          <w:rFonts w:ascii="Arial" w:hAnsi="Arial" w:cs="Arial"/>
          <w:sz w:val="22"/>
          <w:szCs w:val="22"/>
        </w:rPr>
        <w:t>jednatel</w:t>
      </w:r>
    </w:p>
    <w:p w14:paraId="719BF413" w14:textId="46DAC0CA" w:rsidR="00332CD2" w:rsidRPr="00014665" w:rsidRDefault="00332CD2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bookmarkEnd w:id="2"/>
    <w:p w14:paraId="3C36B5E8" w14:textId="3263E668" w:rsidR="008A408E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3"/>
        <w:gridCol w:w="1158"/>
        <w:gridCol w:w="2122"/>
        <w:gridCol w:w="709"/>
        <w:gridCol w:w="850"/>
        <w:gridCol w:w="2593"/>
      </w:tblGrid>
      <w:tr w:rsidR="008A408E" w:rsidRPr="005445CA" w14:paraId="1AD5AAC2" w14:textId="77777777" w:rsidTr="00C16299">
        <w:trPr>
          <w:trHeight w:val="499"/>
        </w:trPr>
        <w:tc>
          <w:tcPr>
            <w:tcW w:w="8825" w:type="dxa"/>
            <w:gridSpan w:val="6"/>
            <w:tcBorders>
              <w:bottom w:val="single" w:sz="4" w:space="0" w:color="auto"/>
            </w:tcBorders>
            <w:noWrap/>
          </w:tcPr>
          <w:p w14:paraId="1C3E3DCD" w14:textId="77777777" w:rsidR="008A408E" w:rsidRPr="009E1A1A" w:rsidRDefault="008A408E" w:rsidP="00C162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72C4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Vytyčení hranic pozemků v okrese Tachov</w:t>
            </w:r>
          </w:p>
        </w:tc>
      </w:tr>
      <w:tr w:rsidR="008A408E" w:rsidRPr="005445CA" w14:paraId="47A06261" w14:textId="77777777" w:rsidTr="00C16299">
        <w:trPr>
          <w:trHeight w:val="499"/>
        </w:trPr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12049152" w14:textId="77777777" w:rsidR="008A408E" w:rsidRPr="009E1A1A" w:rsidRDefault="008A408E" w:rsidP="008A408E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noWrap/>
            <w:hideMark/>
          </w:tcPr>
          <w:p w14:paraId="5447BD25" w14:textId="77777777" w:rsidR="008A408E" w:rsidRPr="009E1A1A" w:rsidRDefault="008A408E" w:rsidP="008A408E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pozemek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noWrap/>
            <w:hideMark/>
          </w:tcPr>
          <w:p w14:paraId="5F3023C9" w14:textId="77777777" w:rsidR="008A408E" w:rsidRPr="009E1A1A" w:rsidRDefault="008A408E" w:rsidP="008A408E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54D9ACB6" w14:textId="77777777" w:rsidR="008A408E" w:rsidRPr="009E1A1A" w:rsidRDefault="008A408E" w:rsidP="008A408E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LV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3DC3A207" w14:textId="77777777" w:rsidR="008A408E" w:rsidRPr="009E1A1A" w:rsidRDefault="008A408E" w:rsidP="008A408E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noWrap/>
            <w:hideMark/>
          </w:tcPr>
          <w:p w14:paraId="152BAD34" w14:textId="77777777" w:rsidR="008A408E" w:rsidRPr="009E1A1A" w:rsidRDefault="008A408E" w:rsidP="008A408E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8A408E" w:rsidRPr="005445CA" w14:paraId="167E1E47" w14:textId="77777777" w:rsidTr="00C16299">
        <w:trPr>
          <w:trHeight w:val="402"/>
        </w:trPr>
        <w:tc>
          <w:tcPr>
            <w:tcW w:w="1393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EEB0FCF" w14:textId="77777777" w:rsidR="008A408E" w:rsidRPr="009E1A1A" w:rsidRDefault="008A408E" w:rsidP="008A408E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Ústí nad Mží</w:t>
            </w:r>
          </w:p>
          <w:p w14:paraId="4ACA599B" w14:textId="77777777" w:rsidR="008A408E" w:rsidRPr="005445CA" w:rsidRDefault="008A408E" w:rsidP="00C16299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4FDC6E3E" w14:textId="77777777" w:rsidR="008A408E" w:rsidRPr="005445CA" w:rsidRDefault="008A408E" w:rsidP="00C16299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567E1FAE" w14:textId="77777777" w:rsidR="008A408E" w:rsidRPr="005445CA" w:rsidRDefault="008A408E" w:rsidP="00C16299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3F924A46" w14:textId="77777777" w:rsidR="008A408E" w:rsidRPr="005445CA" w:rsidRDefault="008A408E" w:rsidP="00C16299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6A384721" w14:textId="77777777" w:rsidR="008A408E" w:rsidRPr="005445CA" w:rsidRDefault="008A408E" w:rsidP="00C16299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  <w:p w14:paraId="0C0DA5D1" w14:textId="77777777" w:rsidR="008A408E" w:rsidRPr="009E1A1A" w:rsidRDefault="008A408E" w:rsidP="00C16299">
            <w:pPr>
              <w:rPr>
                <w:rFonts w:ascii="Arial" w:hAnsi="Arial" w:cs="Arial"/>
                <w:b/>
                <w:bCs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9EFAD4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093776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lesní pozemek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A1764D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441694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21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6C2304DA" w14:textId="77777777" w:rsidR="008A408E" w:rsidRPr="009E1A1A" w:rsidRDefault="008A408E" w:rsidP="00C16299">
            <w:pPr>
              <w:rPr>
                <w:rFonts w:ascii="Arial" w:hAnsi="Arial" w:cs="Arial"/>
              </w:rPr>
            </w:pPr>
          </w:p>
        </w:tc>
      </w:tr>
      <w:tr w:rsidR="008A408E" w:rsidRPr="005445CA" w14:paraId="4E4FC7AA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7F5C3FAA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034D9A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442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4D5B3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ostatní plocha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471C2E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10D69F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4006574C" w14:textId="77777777" w:rsidR="008A408E" w:rsidRPr="009E1A1A" w:rsidRDefault="008A408E" w:rsidP="00C16299">
            <w:pPr>
              <w:rPr>
                <w:rFonts w:ascii="Arial" w:hAnsi="Arial" w:cs="Arial"/>
              </w:rPr>
            </w:pPr>
          </w:p>
        </w:tc>
      </w:tr>
      <w:tr w:rsidR="008A408E" w:rsidRPr="005445CA" w14:paraId="6116DCE1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65ABA26B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82BEAA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363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9206E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BDD6ED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EB406C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Merge w:val="restart"/>
            <w:tcBorders>
              <w:left w:val="single" w:sz="4" w:space="0" w:color="auto"/>
            </w:tcBorders>
            <w:noWrap/>
          </w:tcPr>
          <w:p w14:paraId="17137908" w14:textId="77777777" w:rsidR="008A408E" w:rsidRPr="009E1A1A" w:rsidRDefault="008A408E" w:rsidP="008A408E">
            <w:pPr>
              <w:ind w:left="0"/>
              <w:rPr>
                <w:rFonts w:ascii="Arial" w:hAnsi="Arial" w:cs="Arial"/>
              </w:rPr>
            </w:pPr>
            <w:r w:rsidRPr="009E1A1A">
              <w:rPr>
                <w:rFonts w:ascii="Arial" w:hAnsi="Arial" w:cs="Arial"/>
                <w:kern w:val="0"/>
                <w14:ligatures w14:val="none"/>
              </w:rPr>
              <w:t>vnitřní hranice pozemků stejného vlastníka se nevytyčují</w:t>
            </w:r>
          </w:p>
        </w:tc>
      </w:tr>
      <w:tr w:rsidR="008A408E" w:rsidRPr="005445CA" w14:paraId="1EBCECE9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45248DB0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5C6CA2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364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C05892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12AB15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3A40DD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</w:tcBorders>
            <w:noWrap/>
          </w:tcPr>
          <w:p w14:paraId="68D717E7" w14:textId="77777777" w:rsidR="008A408E" w:rsidRPr="009E1A1A" w:rsidRDefault="008A408E" w:rsidP="00C16299">
            <w:pPr>
              <w:rPr>
                <w:rFonts w:ascii="Arial" w:hAnsi="Arial" w:cs="Arial"/>
              </w:rPr>
            </w:pPr>
          </w:p>
        </w:tc>
      </w:tr>
      <w:tr w:rsidR="008A408E" w:rsidRPr="005445CA" w14:paraId="6BD6137B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50D96103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6B9D09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357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744028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CE08DD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36C0F5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Merge w:val="restart"/>
            <w:tcBorders>
              <w:left w:val="single" w:sz="4" w:space="0" w:color="auto"/>
            </w:tcBorders>
            <w:noWrap/>
          </w:tcPr>
          <w:p w14:paraId="79953318" w14:textId="77777777" w:rsidR="008A408E" w:rsidRPr="009E1A1A" w:rsidRDefault="008A408E" w:rsidP="008A408E">
            <w:pPr>
              <w:ind w:left="0"/>
              <w:rPr>
                <w:rFonts w:ascii="Arial" w:hAnsi="Arial" w:cs="Arial"/>
              </w:rPr>
            </w:pPr>
            <w:r w:rsidRPr="009E1A1A">
              <w:rPr>
                <w:rFonts w:ascii="Arial" w:hAnsi="Arial" w:cs="Arial"/>
                <w:kern w:val="0"/>
                <w14:ligatures w14:val="none"/>
              </w:rPr>
              <w:t>vnitřní hranice pozemků stejného vlastníka se nevytyčují</w:t>
            </w:r>
          </w:p>
        </w:tc>
      </w:tr>
      <w:tr w:rsidR="008A408E" w:rsidRPr="005445CA" w14:paraId="5E1C7E06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0EB647F4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0F45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360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D834F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lesní pozemek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6537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AE99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</w:tcBorders>
            <w:noWrap/>
          </w:tcPr>
          <w:p w14:paraId="564CDF39" w14:textId="77777777" w:rsidR="008A408E" w:rsidRPr="009E1A1A" w:rsidRDefault="008A408E" w:rsidP="00C16299">
            <w:pPr>
              <w:rPr>
                <w:rFonts w:ascii="Arial" w:hAnsi="Arial" w:cs="Arial"/>
              </w:rPr>
            </w:pPr>
          </w:p>
        </w:tc>
      </w:tr>
      <w:tr w:rsidR="008A408E" w:rsidRPr="005445CA" w14:paraId="7E9D448F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  <w:hideMark/>
          </w:tcPr>
          <w:p w14:paraId="061B90BD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8C4CFE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729E2B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2A8EB1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131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B1098C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6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08C81368" w14:textId="77777777" w:rsidR="008A408E" w:rsidRPr="009E1A1A" w:rsidRDefault="008A408E" w:rsidP="008A408E">
            <w:pPr>
              <w:ind w:left="0"/>
              <w:rPr>
                <w:rFonts w:ascii="Arial" w:hAnsi="Arial" w:cs="Arial"/>
              </w:rPr>
            </w:pPr>
            <w:r w:rsidRPr="009E1A1A">
              <w:rPr>
                <w:rFonts w:ascii="Arial" w:hAnsi="Arial" w:cs="Arial"/>
                <w:kern w:val="0"/>
                <w14:ligatures w14:val="none"/>
              </w:rPr>
              <w:t>vnitřní hranice pozemků stejného vlastníka se nevytyčují</w:t>
            </w:r>
          </w:p>
        </w:tc>
      </w:tr>
      <w:tr w:rsidR="008A408E" w:rsidRPr="005445CA" w14:paraId="3658A942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725C2299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A84323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373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483C8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E08958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01A7D9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3F90F01F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</w:tr>
      <w:tr w:rsidR="008A408E" w:rsidRPr="005445CA" w14:paraId="00391D0E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02621435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F6D2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372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2874C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ostatní plocha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3124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E1A8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6997D0FB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</w:tr>
      <w:tr w:rsidR="008A408E" w:rsidRPr="005445CA" w14:paraId="1D6AB924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2A1C5CD5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221A72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D38B8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55B240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116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A41F10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7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48486C2C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</w:tr>
      <w:tr w:rsidR="008A408E" w:rsidRPr="005445CA" w14:paraId="2A138C1B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224D55CC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E14409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386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FBC756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51B25AD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814C37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4455C92D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</w:tr>
      <w:tr w:rsidR="008A408E" w:rsidRPr="005445CA" w14:paraId="4917DFE0" w14:textId="77777777" w:rsidTr="00C16299">
        <w:trPr>
          <w:trHeight w:val="402"/>
        </w:trPr>
        <w:tc>
          <w:tcPr>
            <w:tcW w:w="1393" w:type="dxa"/>
            <w:vMerge/>
            <w:tcBorders>
              <w:right w:val="single" w:sz="4" w:space="0" w:color="auto"/>
            </w:tcBorders>
            <w:noWrap/>
          </w:tcPr>
          <w:p w14:paraId="4AF2A998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187D" w14:textId="77777777" w:rsidR="008A408E" w:rsidRPr="00566AE7" w:rsidRDefault="008A408E" w:rsidP="008A408E">
            <w:pPr>
              <w:ind w:left="0"/>
              <w:jc w:val="center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399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55F4E" w14:textId="77777777" w:rsidR="008A408E" w:rsidRPr="00566AE7" w:rsidRDefault="008A408E" w:rsidP="008A408E">
            <w:pPr>
              <w:ind w:left="0"/>
              <w:rPr>
                <w:rFonts w:ascii="Arial" w:hAnsi="Arial" w:cs="Arial"/>
              </w:rPr>
            </w:pPr>
            <w:r w:rsidRPr="00566AE7">
              <w:rPr>
                <w:rFonts w:ascii="Arial" w:hAnsi="Arial" w:cs="Arial"/>
              </w:rPr>
              <w:t>trvalý travní porost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622C1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023C6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noWrap/>
          </w:tcPr>
          <w:p w14:paraId="02E93EB9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</w:tr>
      <w:tr w:rsidR="008A408E" w:rsidRPr="005445CA" w14:paraId="78F2B9D2" w14:textId="77777777" w:rsidTr="00C16299">
        <w:trPr>
          <w:trHeight w:val="402"/>
        </w:trPr>
        <w:tc>
          <w:tcPr>
            <w:tcW w:w="1393" w:type="dxa"/>
            <w:noWrap/>
          </w:tcPr>
          <w:p w14:paraId="33F475B6" w14:textId="77777777" w:rsidR="008A408E" w:rsidRPr="009E1A1A" w:rsidRDefault="008A408E" w:rsidP="008A408E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3989" w:type="dxa"/>
            <w:gridSpan w:val="3"/>
            <w:noWrap/>
            <w:vAlign w:val="center"/>
          </w:tcPr>
          <w:p w14:paraId="44548FB9" w14:textId="77777777" w:rsidR="008A408E" w:rsidRPr="00566AE7" w:rsidRDefault="008A408E" w:rsidP="008A40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7B1A866B" w14:textId="77777777" w:rsidR="008A408E" w:rsidRPr="009E1A1A" w:rsidRDefault="008A408E" w:rsidP="008A408E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2593" w:type="dxa"/>
            <w:noWrap/>
          </w:tcPr>
          <w:p w14:paraId="43A3AB62" w14:textId="77777777" w:rsidR="008A408E" w:rsidRPr="005445CA" w:rsidRDefault="008A408E" w:rsidP="00C16299">
            <w:pPr>
              <w:rPr>
                <w:rFonts w:ascii="Arial" w:hAnsi="Arial" w:cs="Arial"/>
              </w:rPr>
            </w:pPr>
          </w:p>
        </w:tc>
      </w:tr>
    </w:tbl>
    <w:p w14:paraId="34FEEA01" w14:textId="5C83EA09" w:rsidR="00910DD9" w:rsidRPr="00014665" w:rsidRDefault="00910DD9" w:rsidP="008A408E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ADD3" w14:textId="77777777" w:rsidR="00DF061A" w:rsidRDefault="00DF061A" w:rsidP="003C2E23">
      <w:pPr>
        <w:spacing w:before="0"/>
      </w:pPr>
      <w:r>
        <w:separator/>
      </w:r>
    </w:p>
  </w:endnote>
  <w:endnote w:type="continuationSeparator" w:id="0">
    <w:p w14:paraId="541B727B" w14:textId="77777777" w:rsidR="00DF061A" w:rsidRDefault="00DF061A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5319" w14:textId="77777777" w:rsidR="00DF061A" w:rsidRDefault="00DF061A" w:rsidP="003C2E23">
      <w:pPr>
        <w:spacing w:before="0"/>
      </w:pPr>
      <w:r>
        <w:separator/>
      </w:r>
    </w:p>
  </w:footnote>
  <w:footnote w:type="continuationSeparator" w:id="0">
    <w:p w14:paraId="2A5DDAF2" w14:textId="77777777" w:rsidR="00DF061A" w:rsidRDefault="00DF061A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328A120A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332CD2">
      <w:rPr>
        <w:rFonts w:ascii="Arial" w:hAnsi="Arial" w:cs="Arial"/>
        <w:sz w:val="16"/>
        <w:szCs w:val="16"/>
      </w:rPr>
      <w:t xml:space="preserve">po </w:t>
    </w:r>
    <w:proofErr w:type="spellStart"/>
    <w:r w:rsidR="00332CD2">
      <w:rPr>
        <w:rFonts w:ascii="Arial" w:hAnsi="Arial" w:cs="Arial"/>
        <w:sz w:val="16"/>
        <w:szCs w:val="16"/>
      </w:rPr>
      <w:t>KoPÚ</w:t>
    </w:r>
    <w:proofErr w:type="spellEnd"/>
    <w:r w:rsidR="00332CD2">
      <w:rPr>
        <w:rFonts w:ascii="Arial" w:hAnsi="Arial" w:cs="Arial"/>
        <w:sz w:val="16"/>
        <w:szCs w:val="16"/>
      </w:rPr>
      <w:t xml:space="preserve"> </w:t>
    </w:r>
    <w:r w:rsidR="002E3ABA">
      <w:rPr>
        <w:rFonts w:ascii="Arial" w:hAnsi="Arial" w:cs="Arial"/>
        <w:sz w:val="16"/>
        <w:szCs w:val="16"/>
      </w:rPr>
      <w:t>Ústí nad Mží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38D51171" w:rsidR="00FF0C21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4C5296">
      <w:rPr>
        <w:rFonts w:ascii="Arial" w:hAnsi="Arial" w:cs="Arial"/>
        <w:sz w:val="16"/>
        <w:szCs w:val="16"/>
      </w:rPr>
      <w:t>1284-2025-504204</w:t>
    </w:r>
    <w:r w:rsidRPr="00FF7DBF">
      <w:rPr>
        <w:rFonts w:ascii="Arial" w:hAnsi="Arial" w:cs="Arial"/>
        <w:sz w:val="16"/>
        <w:szCs w:val="16"/>
      </w:rPr>
      <w:tab/>
    </w:r>
  </w:p>
  <w:p w14:paraId="4855AD84" w14:textId="517F178C" w:rsidR="00EA5611" w:rsidRPr="00CF3782" w:rsidRDefault="00EA561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101181">
      <w:rPr>
        <w:rFonts w:ascii="Arial" w:hAnsi="Arial" w:cs="Arial"/>
        <w:sz w:val="16"/>
        <w:szCs w:val="16"/>
      </w:rPr>
      <w:t xml:space="preserve">: </w:t>
    </w:r>
    <w:r w:rsidR="00101181" w:rsidRPr="00101181">
      <w:rPr>
        <w:rFonts w:ascii="Arial" w:hAnsi="Arial" w:cs="Arial"/>
        <w:sz w:val="16"/>
        <w:szCs w:val="16"/>
      </w:rPr>
      <w:t>spuess9df46070</w:t>
    </w:r>
  </w:p>
  <w:p w14:paraId="320F29BF" w14:textId="60240568" w:rsidR="00EC500E" w:rsidRPr="00CF3782" w:rsidRDefault="00EC500E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</w:r>
    <w:proofErr w:type="spellStart"/>
    <w:r w:rsidRPr="00CF3782">
      <w:rPr>
        <w:rFonts w:ascii="Arial" w:hAnsi="Arial" w:cs="Arial"/>
        <w:sz w:val="16"/>
        <w:szCs w:val="16"/>
      </w:rPr>
      <w:t>Spis.zn</w:t>
    </w:r>
    <w:proofErr w:type="spellEnd"/>
    <w:r w:rsidRPr="00CF3782">
      <w:rPr>
        <w:rFonts w:ascii="Arial" w:hAnsi="Arial" w:cs="Arial"/>
        <w:sz w:val="16"/>
        <w:szCs w:val="16"/>
      </w:rPr>
      <w:t>./č.j.</w:t>
    </w:r>
    <w:r w:rsidR="004C5296">
      <w:rPr>
        <w:rFonts w:ascii="Arial" w:hAnsi="Arial" w:cs="Arial"/>
        <w:sz w:val="16"/>
        <w:szCs w:val="16"/>
      </w:rPr>
      <w:t xml:space="preserve"> </w:t>
    </w:r>
    <w:r w:rsidR="004C5296" w:rsidRPr="004C5296">
      <w:rPr>
        <w:rFonts w:ascii="Arial" w:hAnsi="Arial" w:cs="Arial"/>
        <w:sz w:val="16"/>
        <w:szCs w:val="16"/>
      </w:rPr>
      <w:t>SZ SPU 497222/2025</w:t>
    </w:r>
    <w:r w:rsidR="004C5296">
      <w:rPr>
        <w:rFonts w:ascii="Arial" w:hAnsi="Arial" w:cs="Arial"/>
        <w:sz w:val="16"/>
        <w:szCs w:val="16"/>
      </w:rPr>
      <w:t xml:space="preserve"> / </w:t>
    </w:r>
    <w:r w:rsidR="004C5296" w:rsidRPr="004C5296">
      <w:rPr>
        <w:rFonts w:ascii="Arial" w:hAnsi="Arial" w:cs="Arial"/>
        <w:sz w:val="16"/>
        <w:szCs w:val="16"/>
      </w:rPr>
      <w:t>SPU 037200/2026</w:t>
    </w:r>
  </w:p>
  <w:p w14:paraId="12A62E41" w14:textId="04AB0CCA" w:rsidR="00FF0C21" w:rsidRPr="00CF3782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  <w:t>Číslo Smlouvy Zhotovitele:</w:t>
    </w:r>
    <w:r w:rsidRPr="00CF3782">
      <w:rPr>
        <w:rFonts w:ascii="Arial" w:hAnsi="Arial" w:cs="Arial"/>
        <w:sz w:val="16"/>
        <w:szCs w:val="16"/>
      </w:rPr>
      <w:tab/>
    </w:r>
  </w:p>
  <w:p w14:paraId="0C492D63" w14:textId="5E516144" w:rsidR="00FF0C21" w:rsidRPr="00CF3782" w:rsidRDefault="00FF0C21" w:rsidP="00CF3782">
    <w:pPr>
      <w:pStyle w:val="Zhlav"/>
      <w:tabs>
        <w:tab w:val="clear" w:pos="9072"/>
        <w:tab w:val="left" w:pos="4536"/>
      </w:tabs>
      <w:ind w:left="4536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 xml:space="preserve">Vytyčení pozemků </w:t>
    </w:r>
    <w:r w:rsidR="00EC500E" w:rsidRPr="00CF3782">
      <w:rPr>
        <w:rFonts w:ascii="Arial" w:hAnsi="Arial" w:cs="Arial"/>
        <w:sz w:val="16"/>
        <w:szCs w:val="16"/>
      </w:rPr>
      <w:t xml:space="preserve">po </w:t>
    </w:r>
    <w:proofErr w:type="spellStart"/>
    <w:r w:rsidR="00EC500E" w:rsidRPr="00CF3782">
      <w:rPr>
        <w:rFonts w:ascii="Arial" w:hAnsi="Arial" w:cs="Arial"/>
        <w:sz w:val="16"/>
        <w:szCs w:val="16"/>
      </w:rPr>
      <w:t>KoPÚ</w:t>
    </w:r>
    <w:proofErr w:type="spellEnd"/>
    <w:r w:rsidR="00EC500E" w:rsidRPr="00CF3782">
      <w:rPr>
        <w:rFonts w:ascii="Arial" w:hAnsi="Arial" w:cs="Arial"/>
        <w:sz w:val="16"/>
        <w:szCs w:val="16"/>
      </w:rPr>
      <w:t xml:space="preserve"> </w:t>
    </w:r>
    <w:r w:rsidR="002E3ABA">
      <w:rPr>
        <w:rFonts w:ascii="Arial" w:hAnsi="Arial" w:cs="Arial"/>
        <w:sz w:val="16"/>
        <w:szCs w:val="16"/>
      </w:rPr>
      <w:t>Ústí nad Mží</w:t>
    </w:r>
  </w:p>
  <w:p w14:paraId="2D9FAD86" w14:textId="77777777" w:rsidR="00CF3782" w:rsidRDefault="00CF3782" w:rsidP="00CF3782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3C90"/>
    <w:rsid w:val="00085F28"/>
    <w:rsid w:val="000866CA"/>
    <w:rsid w:val="00086970"/>
    <w:rsid w:val="00091027"/>
    <w:rsid w:val="00091056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1181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58E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3ABA"/>
    <w:rsid w:val="002E548E"/>
    <w:rsid w:val="002E621C"/>
    <w:rsid w:val="002E7C14"/>
    <w:rsid w:val="002F173C"/>
    <w:rsid w:val="002F637C"/>
    <w:rsid w:val="002F6689"/>
    <w:rsid w:val="002F6DD0"/>
    <w:rsid w:val="002F724D"/>
    <w:rsid w:val="002F7B27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D2"/>
    <w:rsid w:val="00340BE7"/>
    <w:rsid w:val="0034297B"/>
    <w:rsid w:val="0034343F"/>
    <w:rsid w:val="00345D17"/>
    <w:rsid w:val="00353237"/>
    <w:rsid w:val="00353BAC"/>
    <w:rsid w:val="00354E99"/>
    <w:rsid w:val="003562D7"/>
    <w:rsid w:val="00356A51"/>
    <w:rsid w:val="0036029C"/>
    <w:rsid w:val="00364A25"/>
    <w:rsid w:val="00364CCF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646"/>
    <w:rsid w:val="003E3E7B"/>
    <w:rsid w:val="003E4070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B28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E75"/>
    <w:rsid w:val="004B7CA2"/>
    <w:rsid w:val="004C0066"/>
    <w:rsid w:val="004C0AB2"/>
    <w:rsid w:val="004C0BB1"/>
    <w:rsid w:val="004C3487"/>
    <w:rsid w:val="004C5296"/>
    <w:rsid w:val="004C6C5E"/>
    <w:rsid w:val="004D3CC9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3422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A6B00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D76D2"/>
    <w:rsid w:val="006E0028"/>
    <w:rsid w:val="006E4835"/>
    <w:rsid w:val="006F0948"/>
    <w:rsid w:val="00704C0E"/>
    <w:rsid w:val="007067E0"/>
    <w:rsid w:val="007073DD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25E"/>
    <w:rsid w:val="007B6BC5"/>
    <w:rsid w:val="007C0C74"/>
    <w:rsid w:val="007C159F"/>
    <w:rsid w:val="007C180B"/>
    <w:rsid w:val="007C392F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3F5A"/>
    <w:rsid w:val="00895114"/>
    <w:rsid w:val="00897473"/>
    <w:rsid w:val="008A1820"/>
    <w:rsid w:val="008A1BC0"/>
    <w:rsid w:val="008A3D56"/>
    <w:rsid w:val="008A408E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6A28"/>
    <w:rsid w:val="009203FA"/>
    <w:rsid w:val="00921728"/>
    <w:rsid w:val="00926421"/>
    <w:rsid w:val="00937914"/>
    <w:rsid w:val="00941C2E"/>
    <w:rsid w:val="009427AC"/>
    <w:rsid w:val="0095212B"/>
    <w:rsid w:val="0095339C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0379"/>
    <w:rsid w:val="00993230"/>
    <w:rsid w:val="009952B9"/>
    <w:rsid w:val="009A250C"/>
    <w:rsid w:val="009A31A6"/>
    <w:rsid w:val="009A6AD0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7ADB"/>
    <w:rsid w:val="00A01C03"/>
    <w:rsid w:val="00A03267"/>
    <w:rsid w:val="00A070B2"/>
    <w:rsid w:val="00A075C0"/>
    <w:rsid w:val="00A10967"/>
    <w:rsid w:val="00A21ECB"/>
    <w:rsid w:val="00A22252"/>
    <w:rsid w:val="00A245BA"/>
    <w:rsid w:val="00A269F7"/>
    <w:rsid w:val="00A30CA7"/>
    <w:rsid w:val="00A34FFC"/>
    <w:rsid w:val="00A364C0"/>
    <w:rsid w:val="00A42678"/>
    <w:rsid w:val="00A42C8F"/>
    <w:rsid w:val="00A47D96"/>
    <w:rsid w:val="00A513A2"/>
    <w:rsid w:val="00A52C78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8D8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47C"/>
    <w:rsid w:val="00CD255B"/>
    <w:rsid w:val="00CD4A3B"/>
    <w:rsid w:val="00CE1EAF"/>
    <w:rsid w:val="00CE3812"/>
    <w:rsid w:val="00CE416C"/>
    <w:rsid w:val="00CE63A8"/>
    <w:rsid w:val="00CE6A8A"/>
    <w:rsid w:val="00CE72E6"/>
    <w:rsid w:val="00CE7DEB"/>
    <w:rsid w:val="00CF0D8A"/>
    <w:rsid w:val="00CF0EDE"/>
    <w:rsid w:val="00CF2C3A"/>
    <w:rsid w:val="00CF340C"/>
    <w:rsid w:val="00CF3782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37AE2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061A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500E"/>
    <w:rsid w:val="00ED2539"/>
    <w:rsid w:val="00ED291F"/>
    <w:rsid w:val="00ED3243"/>
    <w:rsid w:val="00ED36CE"/>
    <w:rsid w:val="00ED75A0"/>
    <w:rsid w:val="00EE1A3A"/>
    <w:rsid w:val="00EE3434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1E35"/>
    <w:rsid w:val="00F74078"/>
    <w:rsid w:val="00F750EA"/>
    <w:rsid w:val="00F81E37"/>
    <w:rsid w:val="00F84A9A"/>
    <w:rsid w:val="00F85CF8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4931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529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A40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4947</Words>
  <Characters>29188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Balvínová Miroslava Ing.</cp:lastModifiedBy>
  <cp:revision>20</cp:revision>
  <cp:lastPrinted>2026-02-04T08:22:00Z</cp:lastPrinted>
  <dcterms:created xsi:type="dcterms:W3CDTF">2025-08-20T13:27:00Z</dcterms:created>
  <dcterms:modified xsi:type="dcterms:W3CDTF">2026-02-10T10:21:00Z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