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0F802F2" w:rsidR="00643372" w:rsidRPr="00060C6D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060C6D">
        <w:rPr>
          <w:rFonts w:ascii="Arial" w:hAnsi="Arial"/>
          <w:b/>
          <w:bCs/>
          <w:sz w:val="28"/>
          <w:szCs w:val="28"/>
        </w:rPr>
        <w:t>DODATEK</w:t>
      </w:r>
      <w:r w:rsidRPr="00060C6D">
        <w:rPr>
          <w:rFonts w:ascii="Arial" w:hAnsi="Arial"/>
          <w:sz w:val="28"/>
          <w:szCs w:val="28"/>
        </w:rPr>
        <w:t xml:space="preserve"> </w:t>
      </w:r>
      <w:r w:rsidRPr="00060C6D">
        <w:rPr>
          <w:rFonts w:ascii="Arial" w:hAnsi="Arial"/>
          <w:b/>
          <w:bCs/>
          <w:sz w:val="28"/>
          <w:szCs w:val="28"/>
        </w:rPr>
        <w:t>č</w:t>
      </w:r>
      <w:r w:rsidR="00E54E61" w:rsidRPr="00060C6D">
        <w:rPr>
          <w:rFonts w:ascii="Arial" w:hAnsi="Arial"/>
          <w:sz w:val="28"/>
          <w:szCs w:val="28"/>
        </w:rPr>
        <w:t xml:space="preserve">. </w:t>
      </w:r>
      <w:r w:rsidR="008E75AF" w:rsidRPr="00060C6D">
        <w:rPr>
          <w:rFonts w:ascii="Arial" w:eastAsia="Times New Roman" w:hAnsi="Arial" w:cs="Arial"/>
          <w:b/>
          <w:sz w:val="28"/>
          <w:szCs w:val="28"/>
          <w:lang w:eastAsia="cs-CZ"/>
        </w:rPr>
        <w:t>8</w:t>
      </w:r>
    </w:p>
    <w:p w14:paraId="4EF7F4DC" w14:textId="3A96C62E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C3064A">
        <w:rPr>
          <w:rFonts w:cs="Arial"/>
          <w:b/>
          <w:bCs/>
          <w:sz w:val="24"/>
        </w:rPr>
        <w:t xml:space="preserve"> </w:t>
      </w:r>
      <w:r w:rsidR="00060C6D">
        <w:rPr>
          <w:rFonts w:cs="Arial"/>
          <w:b/>
          <w:bCs/>
          <w:sz w:val="24"/>
        </w:rPr>
        <w:t>v </w:t>
      </w:r>
      <w:proofErr w:type="spellStart"/>
      <w:r w:rsidR="00060C6D">
        <w:rPr>
          <w:rFonts w:cs="Arial"/>
          <w:b/>
          <w:bCs/>
          <w:sz w:val="24"/>
        </w:rPr>
        <w:t>k.ú</w:t>
      </w:r>
      <w:proofErr w:type="spellEnd"/>
      <w:r w:rsidR="00060C6D">
        <w:rPr>
          <w:rFonts w:cs="Arial"/>
          <w:b/>
          <w:bCs/>
          <w:sz w:val="24"/>
        </w:rPr>
        <w:t xml:space="preserve">. </w:t>
      </w:r>
      <w:r w:rsidR="00C3064A">
        <w:rPr>
          <w:rFonts w:cs="Arial"/>
          <w:b/>
          <w:bCs/>
          <w:sz w:val="24"/>
        </w:rPr>
        <w:t>Drahanovice</w:t>
      </w:r>
      <w:r w:rsidR="00643372" w:rsidRPr="00D9780F">
        <w:rPr>
          <w:rFonts w:eastAsia="Times New Roman" w:cs="Arial"/>
          <w:b/>
        </w:rPr>
        <w:t xml:space="preserve">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A320D4">
        <w:rPr>
          <w:rFonts w:cs="Arial"/>
          <w:sz w:val="22"/>
        </w:rPr>
        <w:t xml:space="preserve">1306-2021-521101 uzavřené </w:t>
      </w:r>
      <w:r w:rsidR="00E54E61">
        <w:rPr>
          <w:rFonts w:cs="Arial"/>
          <w:sz w:val="22"/>
        </w:rPr>
        <w:t xml:space="preserve">dne </w:t>
      </w:r>
      <w:r w:rsidR="00A320D4">
        <w:rPr>
          <w:rFonts w:cs="Arial"/>
          <w:sz w:val="22"/>
        </w:rPr>
        <w:t>22. 9. 2021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F81B6D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 a </w:t>
      </w:r>
      <w:r w:rsidR="007855F4">
        <w:rPr>
          <w:rFonts w:ascii="Arial" w:hAnsi="Arial" w:cs="Arial"/>
        </w:rPr>
        <w:t>přiměřeně podle</w:t>
      </w:r>
      <w:r w:rsidR="00404E33" w:rsidRPr="00BE04E4">
        <w:rPr>
          <w:rFonts w:ascii="Arial" w:hAnsi="Arial" w:cs="Arial"/>
        </w:rPr>
        <w:t xml:space="preserve"> ustanovení </w:t>
      </w:r>
      <w:r w:rsidRPr="00BE04E4">
        <w:rPr>
          <w:rFonts w:ascii="Arial" w:hAnsi="Arial" w:cs="Arial"/>
        </w:rPr>
        <w:t>§ 222 odst.</w:t>
      </w:r>
      <w:r w:rsidR="00220A01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5D1DAE9" w14:textId="77777777" w:rsidR="007855F4" w:rsidRPr="00592D72" w:rsidRDefault="007855F4" w:rsidP="00220A01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92D72">
        <w:rPr>
          <w:rFonts w:ascii="Arial" w:hAnsi="Arial" w:cs="Arial"/>
          <w:b/>
          <w:szCs w:val="22"/>
        </w:rPr>
        <w:t>Česká republika – Státní pozemkový úřad</w:t>
      </w:r>
    </w:p>
    <w:p w14:paraId="7EC7D85C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se sídlem Husinecká 1024/</w:t>
      </w:r>
      <w:proofErr w:type="gramStart"/>
      <w:r w:rsidRPr="00592D72">
        <w:rPr>
          <w:rFonts w:ascii="Arial" w:hAnsi="Arial" w:cs="Arial"/>
        </w:rPr>
        <w:t>11a</w:t>
      </w:r>
      <w:proofErr w:type="gramEnd"/>
      <w:r w:rsidRPr="00592D72">
        <w:rPr>
          <w:rFonts w:ascii="Arial" w:hAnsi="Arial" w:cs="Arial"/>
        </w:rPr>
        <w:t xml:space="preserve">, 130 00 Praha 3 – Žižkov, IČO: 013 12 774, </w:t>
      </w:r>
    </w:p>
    <w:p w14:paraId="53C438B5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  <w:b/>
          <w:bCs/>
        </w:rPr>
        <w:t xml:space="preserve">Krajský pozemkový úřad pro </w:t>
      </w:r>
      <w:r w:rsidRPr="00592D72">
        <w:rPr>
          <w:rFonts w:ascii="Arial" w:hAnsi="Arial" w:cs="Arial"/>
          <w:b/>
          <w:bCs/>
          <w:snapToGrid w:val="0"/>
        </w:rPr>
        <w:t>Olomoucký kraj,</w:t>
      </w:r>
      <w:r w:rsidRPr="00592D72">
        <w:rPr>
          <w:rFonts w:ascii="Arial" w:hAnsi="Arial" w:cs="Arial"/>
          <w:b/>
          <w:bCs/>
        </w:rPr>
        <w:t xml:space="preserve"> </w:t>
      </w:r>
      <w:r w:rsidRPr="00592D72">
        <w:rPr>
          <w:rFonts w:ascii="Arial" w:hAnsi="Arial" w:cs="Arial"/>
          <w:snapToGrid w:val="0"/>
        </w:rPr>
        <w:t>na adrese Blanická 383/1, 77900 Olomouc.</w:t>
      </w:r>
      <w:r w:rsidRPr="00592D72">
        <w:rPr>
          <w:rFonts w:ascii="Arial" w:hAnsi="Arial" w:cs="Arial"/>
        </w:rPr>
        <w:t xml:space="preserve"> </w:t>
      </w:r>
    </w:p>
    <w:p w14:paraId="29C05830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592D72">
        <w:rPr>
          <w:rFonts w:ascii="Arial" w:hAnsi="Arial" w:cs="Arial"/>
        </w:rPr>
        <w:t xml:space="preserve">: JUDr. Romanem </w:t>
      </w:r>
      <w:proofErr w:type="spellStart"/>
      <w:r w:rsidRPr="00592D72">
        <w:rPr>
          <w:rFonts w:ascii="Arial" w:hAnsi="Arial" w:cs="Arial"/>
        </w:rPr>
        <w:t>Brnčalem</w:t>
      </w:r>
      <w:proofErr w:type="spellEnd"/>
      <w:r w:rsidRPr="00592D72">
        <w:rPr>
          <w:rFonts w:ascii="Arial" w:hAnsi="Arial" w:cs="Arial"/>
        </w:rPr>
        <w:t>, LL.M</w:t>
      </w:r>
      <w:r>
        <w:rPr>
          <w:rFonts w:ascii="Arial" w:hAnsi="Arial" w:cs="Arial"/>
        </w:rPr>
        <w:t>., ředitel KPÚ</w:t>
      </w:r>
      <w:r w:rsidRPr="004878D0">
        <w:rPr>
          <w:rFonts w:ascii="Arial" w:hAnsi="Arial" w:cs="Arial"/>
          <w:snapToGrid w:val="0"/>
        </w:rPr>
        <w:t xml:space="preserve"> </w:t>
      </w:r>
      <w:r w:rsidRPr="00592D72">
        <w:rPr>
          <w:rFonts w:ascii="Arial" w:hAnsi="Arial" w:cs="Arial"/>
          <w:snapToGrid w:val="0"/>
        </w:rPr>
        <w:t>pro Olomoucký kraj</w:t>
      </w:r>
    </w:p>
    <w:p w14:paraId="5303FA82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592D72">
        <w:rPr>
          <w:rFonts w:ascii="Arial" w:hAnsi="Arial" w:cs="Arial"/>
        </w:rPr>
        <w:t xml:space="preserve">: JUDr. Romanem </w:t>
      </w:r>
      <w:proofErr w:type="spellStart"/>
      <w:r w:rsidRPr="00592D72">
        <w:rPr>
          <w:rFonts w:ascii="Arial" w:hAnsi="Arial" w:cs="Arial"/>
        </w:rPr>
        <w:t>Brnčalem</w:t>
      </w:r>
      <w:proofErr w:type="spellEnd"/>
      <w:r w:rsidRPr="00592D72">
        <w:rPr>
          <w:rFonts w:ascii="Arial" w:hAnsi="Arial" w:cs="Arial"/>
        </w:rPr>
        <w:t xml:space="preserve">, LL.M., </w:t>
      </w:r>
      <w:r>
        <w:rPr>
          <w:rFonts w:ascii="Arial" w:hAnsi="Arial" w:cs="Arial"/>
        </w:rPr>
        <w:t>ředitelem</w:t>
      </w:r>
      <w:r w:rsidRPr="00592D72">
        <w:rPr>
          <w:rFonts w:ascii="Arial" w:hAnsi="Arial" w:cs="Arial"/>
          <w:snapToGrid w:val="0"/>
        </w:rPr>
        <w:t xml:space="preserve"> </w:t>
      </w:r>
    </w:p>
    <w:p w14:paraId="5AAE3B98" w14:textId="77777777" w:rsidR="007855F4" w:rsidRPr="00592D72" w:rsidRDefault="007855F4" w:rsidP="007855F4">
      <w:pPr>
        <w:spacing w:after="120"/>
        <w:ind w:left="4536" w:hanging="3969"/>
        <w:jc w:val="both"/>
        <w:rPr>
          <w:rFonts w:ascii="Arial" w:hAnsi="Arial" w:cs="Arial"/>
          <w:snapToGrid w:val="0"/>
        </w:rPr>
      </w:pPr>
      <w:r w:rsidRPr="00592D72">
        <w:rPr>
          <w:rFonts w:ascii="Arial" w:hAnsi="Arial" w:cs="Arial"/>
        </w:rPr>
        <w:t>V technických záležitostech zast</w:t>
      </w:r>
      <w:r>
        <w:rPr>
          <w:rFonts w:ascii="Arial" w:hAnsi="Arial" w:cs="Arial"/>
        </w:rPr>
        <w:t>upuje</w:t>
      </w:r>
      <w:r w:rsidRPr="00592D72">
        <w:rPr>
          <w:rFonts w:ascii="Arial" w:hAnsi="Arial" w:cs="Arial"/>
        </w:rPr>
        <w:t>:</w:t>
      </w:r>
      <w:r w:rsidRPr="00592D72">
        <w:rPr>
          <w:rFonts w:ascii="Arial" w:hAnsi="Arial" w:cs="Arial"/>
          <w:snapToGrid w:val="0"/>
        </w:rPr>
        <w:t xml:space="preserve"> Ing. Ivan Polách</w:t>
      </w:r>
      <w:r>
        <w:rPr>
          <w:rFonts w:ascii="Arial" w:hAnsi="Arial" w:cs="Arial"/>
          <w:snapToGrid w:val="0"/>
        </w:rPr>
        <w:t xml:space="preserve">, vedoucí </w:t>
      </w:r>
      <w:r w:rsidRPr="00592D72">
        <w:rPr>
          <w:rFonts w:ascii="Arial" w:hAnsi="Arial" w:cs="Arial"/>
          <w:snapToGrid w:val="0"/>
        </w:rPr>
        <w:t>Pobočky Olomouc</w:t>
      </w:r>
    </w:p>
    <w:p w14:paraId="69312569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  <w:snapToGrid w:val="0"/>
        </w:rPr>
        <w:tab/>
        <w:t xml:space="preserve">   </w:t>
      </w:r>
      <w:r>
        <w:rPr>
          <w:rFonts w:ascii="Arial" w:hAnsi="Arial" w:cs="Arial"/>
          <w:snapToGrid w:val="0"/>
        </w:rPr>
        <w:t>Ing. Silvia Závěšická</w:t>
      </w:r>
      <w:r w:rsidRPr="00592D72">
        <w:rPr>
          <w:rFonts w:ascii="Arial" w:hAnsi="Arial" w:cs="Arial"/>
          <w:snapToGrid w:val="0"/>
        </w:rPr>
        <w:t>, Pobočka Olomouc</w:t>
      </w:r>
      <w:r w:rsidRPr="00592D72">
        <w:rPr>
          <w:rFonts w:ascii="Arial" w:hAnsi="Arial" w:cs="Arial"/>
          <w:iCs/>
        </w:rPr>
        <w:t xml:space="preserve"> </w:t>
      </w:r>
    </w:p>
    <w:p w14:paraId="1D751C44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  <w:b/>
          <w:bCs/>
        </w:rPr>
        <w:t>Kontaktní údaje:</w:t>
      </w:r>
    </w:p>
    <w:p w14:paraId="30CA1E7E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592D72">
        <w:rPr>
          <w:rFonts w:ascii="Arial" w:hAnsi="Arial" w:cs="Arial"/>
        </w:rPr>
        <w:t xml:space="preserve">Tel.: </w:t>
      </w:r>
      <w:r w:rsidRPr="00592D72">
        <w:rPr>
          <w:rFonts w:ascii="Arial" w:hAnsi="Arial" w:cs="Arial"/>
        </w:rPr>
        <w:tab/>
        <w:t xml:space="preserve">+420 727 957 256, </w:t>
      </w:r>
      <w:r w:rsidRPr="00592D72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728 985 717</w:t>
      </w:r>
      <w:r w:rsidRPr="00592D72">
        <w:rPr>
          <w:rFonts w:ascii="Arial" w:hAnsi="Arial" w:cs="Arial"/>
          <w:snapToGrid w:val="0"/>
        </w:rPr>
        <w:t>,</w:t>
      </w:r>
    </w:p>
    <w:p w14:paraId="55008DAE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  <w:snapToGrid w:val="0"/>
        </w:rPr>
        <w:tab/>
      </w:r>
      <w:r w:rsidRPr="00592D72">
        <w:rPr>
          <w:rFonts w:ascii="Arial" w:hAnsi="Arial" w:cs="Arial"/>
        </w:rPr>
        <w:t>+420</w:t>
      </w:r>
      <w:r>
        <w:rPr>
          <w:rFonts w:ascii="Arial" w:hAnsi="Arial" w:cs="Arial"/>
        </w:rPr>
        <w:t> 725 044 640</w:t>
      </w:r>
    </w:p>
    <w:p w14:paraId="1148381C" w14:textId="4DEC5CDA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E-mail:</w:t>
      </w:r>
      <w:r w:rsidRPr="00592D72">
        <w:rPr>
          <w:rFonts w:ascii="Arial" w:hAnsi="Arial" w:cs="Arial"/>
          <w:snapToGrid w:val="0"/>
        </w:rPr>
        <w:t xml:space="preserve"> </w:t>
      </w:r>
      <w:r w:rsidRPr="00592D72">
        <w:rPr>
          <w:rFonts w:ascii="Arial" w:hAnsi="Arial" w:cs="Arial"/>
          <w:snapToGrid w:val="0"/>
        </w:rPr>
        <w:tab/>
      </w:r>
      <w:hyperlink r:id="rId12" w:history="1">
        <w:r w:rsidR="008A40F3" w:rsidRPr="00054909">
          <w:rPr>
            <w:rStyle w:val="Hypertextovodkaz"/>
            <w:rFonts w:ascii="Arial" w:hAnsi="Arial" w:cs="Arial"/>
          </w:rPr>
          <w:t>olomoucky.kraj@spu.gov.cz</w:t>
        </w:r>
      </w:hyperlink>
      <w:r w:rsidRPr="00592D72">
        <w:rPr>
          <w:rFonts w:ascii="Arial" w:hAnsi="Arial" w:cs="Arial"/>
        </w:rPr>
        <w:t xml:space="preserve">, </w:t>
      </w:r>
    </w:p>
    <w:p w14:paraId="1A9D533B" w14:textId="2A6FFF5D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ab/>
      </w:r>
      <w:hyperlink r:id="rId13" w:history="1">
        <w:r w:rsidR="00644B1B" w:rsidRPr="00054909">
          <w:rPr>
            <w:rStyle w:val="Hypertextovodkaz"/>
            <w:rFonts w:ascii="Arial" w:hAnsi="Arial" w:cs="Arial"/>
          </w:rPr>
          <w:t>olomouc.pk@spu.gov.cz</w:t>
        </w:r>
      </w:hyperlink>
    </w:p>
    <w:p w14:paraId="208EB5BC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92D72">
        <w:rPr>
          <w:rFonts w:ascii="Arial" w:hAnsi="Arial" w:cs="Arial"/>
        </w:rPr>
        <w:t>ID datové schránky: z49per3</w:t>
      </w:r>
    </w:p>
    <w:p w14:paraId="1DDEA2B9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92D72">
        <w:rPr>
          <w:rFonts w:ascii="Arial" w:hAnsi="Arial" w:cs="Arial"/>
          <w:b/>
        </w:rPr>
        <w:t>Bankovní</w:t>
      </w:r>
      <w:r w:rsidRPr="00592D72">
        <w:rPr>
          <w:rFonts w:ascii="Arial" w:hAnsi="Arial" w:cs="Arial"/>
        </w:rPr>
        <w:t xml:space="preserve"> </w:t>
      </w:r>
      <w:r w:rsidRPr="00592D72">
        <w:rPr>
          <w:rFonts w:ascii="Arial" w:hAnsi="Arial" w:cs="Arial"/>
          <w:b/>
        </w:rPr>
        <w:t>spojení</w:t>
      </w:r>
      <w:r w:rsidRPr="00592D72">
        <w:rPr>
          <w:rFonts w:ascii="Arial" w:hAnsi="Arial" w:cs="Arial"/>
        </w:rPr>
        <w:t>: Česká národní banka</w:t>
      </w:r>
    </w:p>
    <w:p w14:paraId="01155A3E" w14:textId="77777777" w:rsidR="007855F4" w:rsidRPr="00592D72" w:rsidRDefault="007855F4" w:rsidP="007855F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92D72">
        <w:rPr>
          <w:rFonts w:ascii="Arial" w:hAnsi="Arial" w:cs="Arial"/>
        </w:rPr>
        <w:t>Číslo účtu: 3723001/0710</w:t>
      </w:r>
    </w:p>
    <w:p w14:paraId="2B33B77E" w14:textId="77777777" w:rsidR="007855F4" w:rsidRPr="00592D72" w:rsidRDefault="007855F4" w:rsidP="007855F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DIČ: CZ01312774 (</w:t>
      </w:r>
      <w:r w:rsidRPr="00592D72">
        <w:rPr>
          <w:rFonts w:ascii="Arial" w:hAnsi="Arial" w:cs="Arial"/>
          <w:i/>
          <w:iCs/>
        </w:rPr>
        <w:t>není plátce DPH</w:t>
      </w:r>
      <w:r w:rsidRPr="00592D72">
        <w:rPr>
          <w:rFonts w:ascii="Arial" w:hAnsi="Arial" w:cs="Arial"/>
        </w:rPr>
        <w:t>)</w:t>
      </w:r>
    </w:p>
    <w:p w14:paraId="7A1334BD" w14:textId="77777777" w:rsidR="007855F4" w:rsidRPr="00592D72" w:rsidRDefault="007855F4" w:rsidP="007855F4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92D72">
        <w:rPr>
          <w:rFonts w:ascii="Arial" w:hAnsi="Arial" w:cs="Arial"/>
        </w:rPr>
        <w:t>(„</w:t>
      </w:r>
      <w:r w:rsidRPr="00592D72">
        <w:rPr>
          <w:rFonts w:ascii="Arial" w:hAnsi="Arial" w:cs="Arial"/>
          <w:b/>
        </w:rPr>
        <w:t>Objednatel</w:t>
      </w:r>
      <w:r w:rsidRPr="00592D72">
        <w:rPr>
          <w:rFonts w:ascii="Arial" w:hAnsi="Arial" w:cs="Arial"/>
          <w:bCs/>
        </w:rPr>
        <w:t>“)</w:t>
      </w:r>
    </w:p>
    <w:p w14:paraId="4DDB2571" w14:textId="77777777" w:rsidR="007855F4" w:rsidRPr="00592D72" w:rsidRDefault="007855F4" w:rsidP="007855F4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592D72">
        <w:rPr>
          <w:rFonts w:ascii="Arial" w:hAnsi="Arial" w:cs="Arial"/>
        </w:rPr>
        <w:t>a</w:t>
      </w:r>
    </w:p>
    <w:p w14:paraId="6B383C23" w14:textId="77777777" w:rsidR="007855F4" w:rsidRPr="00592D72" w:rsidRDefault="007855F4" w:rsidP="00220A01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592D72">
        <w:rPr>
          <w:rFonts w:ascii="Arial" w:hAnsi="Arial" w:cs="Arial"/>
          <w:b/>
        </w:rPr>
        <w:t xml:space="preserve">GEOCENTRUM spol. s r.o. </w:t>
      </w:r>
    </w:p>
    <w:p w14:paraId="6767ED9E" w14:textId="18BFA6D5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92D72">
        <w:rPr>
          <w:rFonts w:ascii="Arial" w:hAnsi="Arial" w:cs="Arial"/>
        </w:rPr>
        <w:t xml:space="preserve">společnost založená a existující podle právního řádu České republiky, </w:t>
      </w:r>
      <w:r w:rsidRPr="00592D72">
        <w:rPr>
          <w:rFonts w:ascii="Arial" w:hAnsi="Arial" w:cs="Arial"/>
          <w:bCs/>
        </w:rPr>
        <w:t>se sídlem tř. Kosmonautů 1143/</w:t>
      </w:r>
      <w:proofErr w:type="gramStart"/>
      <w:r w:rsidRPr="00592D72">
        <w:rPr>
          <w:rFonts w:ascii="Arial" w:hAnsi="Arial" w:cs="Arial"/>
          <w:bCs/>
        </w:rPr>
        <w:t>8B</w:t>
      </w:r>
      <w:proofErr w:type="gramEnd"/>
      <w:r w:rsidRPr="00592D72">
        <w:rPr>
          <w:rFonts w:ascii="Arial" w:hAnsi="Arial" w:cs="Arial"/>
          <w:bCs/>
        </w:rPr>
        <w:t>, 779 00 Olomouc</w:t>
      </w:r>
      <w:r w:rsidRPr="00592D72">
        <w:rPr>
          <w:rFonts w:ascii="Arial" w:hAnsi="Arial" w:cs="Arial"/>
          <w:snapToGrid w:val="0"/>
        </w:rPr>
        <w:t>, IČO: 47974460, zapsaná v obchodním rejstříku vedeném u</w:t>
      </w:r>
      <w:r w:rsidR="00644B1B">
        <w:rPr>
          <w:rFonts w:ascii="Arial" w:hAnsi="Arial" w:cs="Arial"/>
          <w:snapToGrid w:val="0"/>
        </w:rPr>
        <w:t> </w:t>
      </w:r>
      <w:r w:rsidRPr="00592D72">
        <w:rPr>
          <w:rFonts w:ascii="Arial" w:hAnsi="Arial" w:cs="Arial"/>
          <w:snapToGrid w:val="0"/>
        </w:rPr>
        <w:t>Krajského soudu v Ostravě, oddíl C, vložka 5555</w:t>
      </w:r>
    </w:p>
    <w:p w14:paraId="1913BD9D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  <w:bCs/>
        </w:rPr>
      </w:pPr>
      <w:r w:rsidRPr="00592D72">
        <w:rPr>
          <w:rFonts w:ascii="Arial" w:hAnsi="Arial" w:cs="Arial"/>
          <w:snapToGrid w:val="0"/>
        </w:rPr>
        <w:t>Zastoupená: Petrem Liškou, jednatelem společnosti</w:t>
      </w:r>
    </w:p>
    <w:p w14:paraId="255DE323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Ve smluvních záležitostech zastoupená</w:t>
      </w:r>
      <w:r w:rsidRPr="00592D72">
        <w:rPr>
          <w:rFonts w:ascii="Arial" w:hAnsi="Arial" w:cs="Arial"/>
          <w:bCs/>
        </w:rPr>
        <w:t xml:space="preserve">: </w:t>
      </w:r>
      <w:r w:rsidRPr="00592D72">
        <w:rPr>
          <w:rFonts w:ascii="Arial" w:hAnsi="Arial" w:cs="Arial"/>
          <w:snapToGrid w:val="0"/>
        </w:rPr>
        <w:t>Petrem Liškou</w:t>
      </w:r>
    </w:p>
    <w:p w14:paraId="1DDF8AE9" w14:textId="1FD3DECB" w:rsidR="007855F4" w:rsidRPr="00592D72" w:rsidRDefault="007855F4" w:rsidP="007855F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 xml:space="preserve">V technických záležitostech zastoupená: </w:t>
      </w:r>
      <w:proofErr w:type="spellStart"/>
      <w:r w:rsidR="00386786">
        <w:rPr>
          <w:rFonts w:ascii="Arial" w:hAnsi="Arial" w:cs="Arial"/>
          <w:snapToGrid w:val="0"/>
        </w:rPr>
        <w:t>xxxxx</w:t>
      </w:r>
      <w:proofErr w:type="spellEnd"/>
    </w:p>
    <w:p w14:paraId="23E0D447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  <w:b/>
          <w:bCs/>
        </w:rPr>
        <w:t>Kontaktní údaje:</w:t>
      </w:r>
    </w:p>
    <w:p w14:paraId="033C7426" w14:textId="4D509F60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</w:t>
      </w:r>
      <w:proofErr w:type="spellStart"/>
      <w:r w:rsidR="00386786">
        <w:rPr>
          <w:rFonts w:ascii="Arial" w:hAnsi="Arial" w:cs="Arial"/>
          <w:snapToGrid w:val="0"/>
        </w:rPr>
        <w:t>xxxxx</w:t>
      </w:r>
      <w:proofErr w:type="spellEnd"/>
    </w:p>
    <w:p w14:paraId="41408CCD" w14:textId="0D74C721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E-mail:</w:t>
      </w:r>
      <w:r w:rsidRPr="00592D72">
        <w:rPr>
          <w:rFonts w:ascii="Arial" w:hAnsi="Arial" w:cs="Arial"/>
          <w:snapToGrid w:val="0"/>
        </w:rPr>
        <w:t xml:space="preserve"> </w:t>
      </w:r>
      <w:proofErr w:type="spellStart"/>
      <w:r w:rsidR="00386786">
        <w:rPr>
          <w:rFonts w:ascii="Arial" w:hAnsi="Arial" w:cs="Arial"/>
          <w:snapToGrid w:val="0"/>
        </w:rPr>
        <w:t>xxxxx</w:t>
      </w:r>
      <w:proofErr w:type="spellEnd"/>
    </w:p>
    <w:p w14:paraId="64667AC0" w14:textId="77777777" w:rsidR="007855F4" w:rsidRPr="00592D72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lastRenderedPageBreak/>
        <w:t>ID datové schránky:</w:t>
      </w:r>
      <w:r w:rsidRPr="00592D72">
        <w:rPr>
          <w:rFonts w:ascii="Arial" w:hAnsi="Arial" w:cs="Arial"/>
          <w:snapToGrid w:val="0"/>
        </w:rPr>
        <w:t xml:space="preserve"> 6ejp63k</w:t>
      </w:r>
    </w:p>
    <w:p w14:paraId="4A800645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  <w:b/>
        </w:rPr>
        <w:t>Bankovní spojení:</w:t>
      </w:r>
      <w:r w:rsidRPr="00592D72">
        <w:rPr>
          <w:rFonts w:ascii="Arial" w:hAnsi="Arial" w:cs="Arial"/>
          <w:snapToGrid w:val="0"/>
        </w:rPr>
        <w:t xml:space="preserve"> Komerční banka, a.s.</w:t>
      </w:r>
    </w:p>
    <w:p w14:paraId="2C7D5BD6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>Číslo účtu: 59309811/0100</w:t>
      </w:r>
    </w:p>
    <w:p w14:paraId="6038E141" w14:textId="77777777" w:rsidR="007855F4" w:rsidRPr="00592D72" w:rsidRDefault="007855F4" w:rsidP="007855F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 xml:space="preserve">DIČ: </w:t>
      </w:r>
      <w:r w:rsidRPr="00592D72">
        <w:rPr>
          <w:rFonts w:ascii="Arial" w:hAnsi="Arial" w:cs="Arial"/>
          <w:snapToGrid w:val="0"/>
        </w:rPr>
        <w:t>CZ47974460</w:t>
      </w:r>
    </w:p>
    <w:p w14:paraId="01266384" w14:textId="77777777" w:rsidR="007855F4" w:rsidRDefault="007855F4" w:rsidP="007855F4">
      <w:pPr>
        <w:spacing w:after="120"/>
        <w:ind w:left="567"/>
        <w:jc w:val="both"/>
        <w:rPr>
          <w:rFonts w:ascii="Arial" w:hAnsi="Arial" w:cs="Arial"/>
        </w:rPr>
      </w:pPr>
      <w:r w:rsidRPr="00592D72">
        <w:rPr>
          <w:rFonts w:ascii="Arial" w:hAnsi="Arial" w:cs="Arial"/>
        </w:rPr>
        <w:t xml:space="preserve"> (</w:t>
      </w:r>
      <w:r w:rsidRPr="00592D72">
        <w:rPr>
          <w:rFonts w:ascii="Arial" w:hAnsi="Arial" w:cs="Arial"/>
          <w:b/>
        </w:rPr>
        <w:t>„Zhotovitel“</w:t>
      </w:r>
      <w:r w:rsidRPr="00592D72">
        <w:rPr>
          <w:rFonts w:ascii="Arial" w:hAnsi="Arial" w:cs="Arial"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6DF74DBB" w:rsidR="00E0086F" w:rsidRDefault="00E0086F" w:rsidP="00644B1B">
      <w:p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</w:t>
      </w:r>
      <w:r w:rsidR="00644B1B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F921B8C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855F4">
        <w:rPr>
          <w:rFonts w:ascii="Arial" w:hAnsi="Arial" w:cs="Arial"/>
          <w:b/>
          <w:bCs/>
          <w:snapToGrid w:val="0"/>
        </w:rPr>
        <w:t>8.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856B09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50C0C567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66AC4D93" w14:textId="77777777" w:rsidR="0011795C" w:rsidRDefault="0011795C" w:rsidP="0011795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2744"/>
        <w:gridCol w:w="573"/>
        <w:gridCol w:w="1212"/>
        <w:gridCol w:w="1276"/>
        <w:gridCol w:w="1701"/>
        <w:gridCol w:w="1559"/>
      </w:tblGrid>
      <w:tr w:rsidR="0011795C" w14:paraId="1754233A" w14:textId="77777777" w:rsidTr="00461779">
        <w:trPr>
          <w:trHeight w:val="1162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8DC7C" w14:textId="77777777" w:rsidR="0011795C" w:rsidRPr="004D5928" w:rsidRDefault="0011795C" w:rsidP="002875F4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F8A50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A1646" w14:textId="77777777" w:rsidR="0011795C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48554E5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1A16AA63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49582E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35F98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49582E">
              <w:rPr>
                <w:rFonts w:ascii="Arial" w:eastAsia="Arial" w:hAnsi="Arial" w:cs="Arial"/>
                <w:b/>
                <w:bCs/>
              </w:rPr>
              <w:t xml:space="preserve">Navýšení  </w:t>
            </w:r>
            <w:r>
              <w:rPr>
                <w:rFonts w:ascii="Arial" w:eastAsia="Arial" w:hAnsi="Arial" w:cs="Arial"/>
                <w:b/>
                <w:bCs/>
              </w:rPr>
              <w:t>počtu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49582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73CF0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97A42" w14:textId="77777777" w:rsidR="0011795C" w:rsidRPr="0049582E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11795C" w:rsidRPr="00CB6F0F" w14:paraId="7BE68C80" w14:textId="77777777" w:rsidTr="00461779"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1D8151B" w14:textId="77777777" w:rsidR="0011795C" w:rsidRPr="00E270B1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270B1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29AE66A8" w14:textId="77777777" w:rsidR="0011795C" w:rsidRPr="00E270B1" w:rsidRDefault="0011795C" w:rsidP="002875F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0B1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2A4F733" w14:textId="77777777" w:rsidR="0011795C" w:rsidRPr="006A669D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2DAC33E6" w14:textId="77777777" w:rsidR="0011795C" w:rsidRPr="00404E33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4FC643" w14:textId="77777777" w:rsidR="0011795C" w:rsidRPr="006A669D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75CBAA" w14:textId="77777777" w:rsidR="0011795C" w:rsidRPr="006A669D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12EBA3" w14:textId="77777777" w:rsidR="0011795C" w:rsidRPr="006A669D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1795C" w14:paraId="6A6C8A31" w14:textId="77777777" w:rsidTr="00461779">
        <w:tc>
          <w:tcPr>
            <w:tcW w:w="711" w:type="dxa"/>
          </w:tcPr>
          <w:p w14:paraId="56A904DB" w14:textId="77777777" w:rsidR="0011795C" w:rsidRPr="00E270B1" w:rsidRDefault="0011795C" w:rsidP="002875F4">
            <w:pPr>
              <w:jc w:val="both"/>
              <w:rPr>
                <w:rFonts w:ascii="Arial" w:eastAsia="Arial" w:hAnsi="Arial" w:cs="Arial"/>
              </w:rPr>
            </w:pPr>
            <w:r w:rsidRPr="00E270B1">
              <w:rPr>
                <w:rFonts w:ascii="Arial" w:hAnsi="Arial" w:cs="Arial"/>
              </w:rPr>
              <w:t>6.3.2 h) i)</w:t>
            </w:r>
          </w:p>
        </w:tc>
        <w:tc>
          <w:tcPr>
            <w:tcW w:w="2744" w:type="dxa"/>
          </w:tcPr>
          <w:p w14:paraId="2D2C373A" w14:textId="77777777" w:rsidR="0011795C" w:rsidRPr="00007C57" w:rsidRDefault="0011795C" w:rsidP="002875F4">
            <w:pPr>
              <w:rPr>
                <w:rFonts w:ascii="Arial" w:eastAsia="Arial" w:hAnsi="Arial" w:cs="Arial"/>
              </w:rPr>
            </w:pPr>
            <w:r w:rsidRPr="00007C57"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573" w:type="dxa"/>
            <w:vAlign w:val="center"/>
          </w:tcPr>
          <w:p w14:paraId="144F749B" w14:textId="77777777" w:rsidR="0011795C" w:rsidRPr="006A669D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  <w:vAlign w:val="center"/>
          </w:tcPr>
          <w:p w14:paraId="47390B31" w14:textId="77777777" w:rsidR="0011795C" w:rsidRPr="00007C57" w:rsidRDefault="0011795C" w:rsidP="002875F4">
            <w:pPr>
              <w:jc w:val="center"/>
              <w:rPr>
                <w:rFonts w:ascii="Arial" w:eastAsia="Arial" w:hAnsi="Arial" w:cs="Arial"/>
              </w:rPr>
            </w:pPr>
            <w:r w:rsidRPr="00007C5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26F2912" w14:textId="65113C5B" w:rsidR="0011795C" w:rsidRPr="00007C57" w:rsidRDefault="00E9299B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2D878250" w14:textId="5510DD1A" w:rsidR="0011795C" w:rsidRPr="00007C57" w:rsidRDefault="00E9299B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7 000</w:t>
            </w:r>
          </w:p>
        </w:tc>
        <w:tc>
          <w:tcPr>
            <w:tcW w:w="1559" w:type="dxa"/>
            <w:vAlign w:val="center"/>
          </w:tcPr>
          <w:p w14:paraId="429F0AC2" w14:textId="05B8843E" w:rsidR="0011795C" w:rsidRPr="00007C57" w:rsidRDefault="00E9299B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35 000</w:t>
            </w:r>
          </w:p>
        </w:tc>
      </w:tr>
    </w:tbl>
    <w:p w14:paraId="60FE7235" w14:textId="18F968B3" w:rsidR="0011795C" w:rsidRDefault="0011795C" w:rsidP="0011795C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E9299B" w:rsidRPr="00E9299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5 000</w:t>
      </w:r>
      <w:r w:rsidRPr="008B1614">
        <w:rPr>
          <w:rFonts w:ascii="Arial" w:hAnsi="Arial" w:cs="Arial"/>
        </w:rPr>
        <w:t xml:space="preserve"> Kč bez DPH,</w:t>
      </w:r>
      <w:r>
        <w:rPr>
          <w:rFonts w:ascii="Arial" w:hAnsi="Arial" w:cs="Arial"/>
        </w:rPr>
        <w:t xml:space="preserve"> (tj. </w:t>
      </w:r>
      <w:r w:rsidR="005A46C1">
        <w:rPr>
          <w:rFonts w:ascii="Arial" w:hAnsi="Arial" w:cs="Arial"/>
        </w:rPr>
        <w:t>2,0</w:t>
      </w:r>
      <w:r w:rsidR="0072081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1C70577D" w14:textId="77777777" w:rsidR="0011795C" w:rsidRDefault="0011795C" w:rsidP="0011795C">
      <w:pPr>
        <w:rPr>
          <w:rFonts w:ascii="Arial" w:hAnsi="Arial" w:cs="Arial"/>
          <w:b/>
          <w:bCs/>
          <w:u w:val="single"/>
        </w:rPr>
      </w:pPr>
    </w:p>
    <w:p w14:paraId="1CD91008" w14:textId="77777777" w:rsidR="0011795C" w:rsidRPr="001F1617" w:rsidRDefault="0011795C" w:rsidP="0011795C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029"/>
        <w:gridCol w:w="992"/>
        <w:gridCol w:w="1276"/>
        <w:gridCol w:w="1262"/>
        <w:gridCol w:w="1110"/>
        <w:gridCol w:w="1280"/>
      </w:tblGrid>
      <w:tr w:rsidR="0011795C" w14:paraId="02173BB7" w14:textId="77777777" w:rsidTr="006E1552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D088" w14:textId="77777777" w:rsidR="0011795C" w:rsidRPr="004D5928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4D223" w14:textId="77777777" w:rsidR="0011795C" w:rsidRPr="004D5928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E75A9" w14:textId="77777777" w:rsidR="0011795C" w:rsidRPr="004D5928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5E4B248" w14:textId="77777777" w:rsidR="0011795C" w:rsidRPr="004D5928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983E7D" w14:textId="77777777" w:rsidR="0011795C" w:rsidRPr="00404E33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1FC14" w14:textId="77777777" w:rsidR="0011795C" w:rsidRPr="00B84E45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06DBA" w14:textId="77777777" w:rsidR="0011795C" w:rsidRPr="00B84E45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E2B12" w14:textId="77777777" w:rsidR="0011795C" w:rsidRPr="00B84E45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Snížení ceny v Kč bez DPH</w:t>
            </w:r>
          </w:p>
        </w:tc>
      </w:tr>
      <w:tr w:rsidR="0011795C" w14:paraId="7BBD7D8D" w14:textId="77777777" w:rsidTr="006E1552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05A9DCB" w14:textId="77777777" w:rsidR="0011795C" w:rsidRPr="00B84E45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029" w:type="dxa"/>
            <w:shd w:val="clear" w:color="auto" w:fill="D9D9D9" w:themeFill="background1" w:themeFillShade="D9"/>
            <w:vAlign w:val="center"/>
          </w:tcPr>
          <w:p w14:paraId="3F644512" w14:textId="77777777" w:rsidR="0011795C" w:rsidRPr="00B84E45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BAA998" w14:textId="77777777" w:rsidR="0011795C" w:rsidRPr="00673B80" w:rsidRDefault="0011795C" w:rsidP="002875F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808EED5" w14:textId="77777777" w:rsidR="0011795C" w:rsidRPr="00673B80" w:rsidRDefault="0011795C" w:rsidP="002875F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14:paraId="59BF2736" w14:textId="77777777" w:rsidR="0011795C" w:rsidRPr="00673B80" w:rsidRDefault="0011795C" w:rsidP="002875F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1550278C" w14:textId="77777777" w:rsidR="0011795C" w:rsidRPr="00673B80" w:rsidRDefault="0011795C" w:rsidP="002875F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3F09F309" w14:textId="77777777" w:rsidR="0011795C" w:rsidRPr="00673B80" w:rsidRDefault="0011795C" w:rsidP="002875F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1795C" w14:paraId="57A97ABC" w14:textId="77777777" w:rsidTr="006E1552">
        <w:tc>
          <w:tcPr>
            <w:tcW w:w="794" w:type="dxa"/>
          </w:tcPr>
          <w:p w14:paraId="2F868FE5" w14:textId="77777777" w:rsidR="0011795C" w:rsidRPr="00B84E45" w:rsidRDefault="0011795C" w:rsidP="002875F4">
            <w:pPr>
              <w:jc w:val="both"/>
              <w:rPr>
                <w:rFonts w:ascii="Arial" w:eastAsia="Arial" w:hAnsi="Arial" w:cs="Arial"/>
              </w:rPr>
            </w:pPr>
            <w:r w:rsidRPr="00E21BBA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E21BBA">
              <w:rPr>
                <w:rFonts w:ascii="Arial" w:eastAsia="Arial" w:hAnsi="Arial" w:cs="Arial"/>
              </w:rPr>
              <w:t>ii</w:t>
            </w:r>
            <w:proofErr w:type="spellEnd"/>
            <w:r w:rsidRPr="00E21BBA">
              <w:rPr>
                <w:rFonts w:ascii="Arial" w:eastAsia="Arial" w:hAnsi="Arial" w:cs="Arial"/>
              </w:rPr>
              <w:t>)</w:t>
            </w:r>
          </w:p>
        </w:tc>
        <w:tc>
          <w:tcPr>
            <w:tcW w:w="3029" w:type="dxa"/>
          </w:tcPr>
          <w:p w14:paraId="584B1FD4" w14:textId="77777777" w:rsidR="0011795C" w:rsidRPr="007F4B2C" w:rsidRDefault="0011795C" w:rsidP="002875F4">
            <w:pPr>
              <w:rPr>
                <w:rFonts w:ascii="Arial" w:eastAsia="Arial" w:hAnsi="Arial" w:cs="Arial"/>
              </w:rPr>
            </w:pPr>
            <w:r w:rsidRPr="007F4B2C">
              <w:rPr>
                <w:rFonts w:ascii="Arial" w:hAnsi="Arial" w:cs="Arial"/>
              </w:rPr>
              <w:t>Aktualizace PSZ do 50 ha</w:t>
            </w:r>
          </w:p>
        </w:tc>
        <w:tc>
          <w:tcPr>
            <w:tcW w:w="992" w:type="dxa"/>
            <w:vAlign w:val="center"/>
          </w:tcPr>
          <w:p w14:paraId="5510E779" w14:textId="77777777" w:rsidR="0011795C" w:rsidRPr="00D91B1F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76" w:type="dxa"/>
            <w:vAlign w:val="center"/>
          </w:tcPr>
          <w:p w14:paraId="048CF689" w14:textId="77777777" w:rsidR="0011795C" w:rsidRPr="007F4B2C" w:rsidRDefault="0011795C" w:rsidP="002875F4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262" w:type="dxa"/>
            <w:vAlign w:val="center"/>
          </w:tcPr>
          <w:p w14:paraId="2EDA96A0" w14:textId="77777777" w:rsidR="0011795C" w:rsidRPr="007F4B2C" w:rsidRDefault="0011795C" w:rsidP="002875F4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12D13C17" w14:textId="3A1F8E90" w:rsidR="0011795C" w:rsidRPr="00D91B1F" w:rsidRDefault="00BA2344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11795C">
              <w:rPr>
                <w:rFonts w:ascii="Arial" w:eastAsia="Arial" w:hAnsi="Arial" w:cs="Arial"/>
              </w:rPr>
              <w:t xml:space="preserve"> 000</w:t>
            </w:r>
          </w:p>
        </w:tc>
        <w:tc>
          <w:tcPr>
            <w:tcW w:w="1280" w:type="dxa"/>
            <w:vAlign w:val="center"/>
          </w:tcPr>
          <w:p w14:paraId="7FFAE829" w14:textId="749ED12A" w:rsidR="0011795C" w:rsidRPr="00F77417" w:rsidRDefault="00BA2344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  <w:r w:rsidR="0011795C" w:rsidRPr="00F77417">
              <w:rPr>
                <w:rFonts w:ascii="Arial" w:eastAsia="Arial" w:hAnsi="Arial" w:cs="Arial"/>
                <w:b/>
                <w:bCs/>
              </w:rPr>
              <w:t xml:space="preserve"> 000</w:t>
            </w:r>
          </w:p>
        </w:tc>
      </w:tr>
      <w:tr w:rsidR="0011795C" w14:paraId="15718547" w14:textId="77777777" w:rsidTr="006E1552">
        <w:tc>
          <w:tcPr>
            <w:tcW w:w="794" w:type="dxa"/>
          </w:tcPr>
          <w:p w14:paraId="1BD6524B" w14:textId="77777777" w:rsidR="0011795C" w:rsidRPr="001F1617" w:rsidRDefault="0011795C" w:rsidP="002875F4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E21BBA">
              <w:rPr>
                <w:rFonts w:ascii="Arial" w:eastAsia="Arial" w:hAnsi="Arial" w:cs="Arial"/>
              </w:rPr>
              <w:t xml:space="preserve">6.3.2 h) </w:t>
            </w:r>
            <w:proofErr w:type="spellStart"/>
            <w:r w:rsidRPr="00E21BBA">
              <w:rPr>
                <w:rFonts w:ascii="Arial" w:eastAsia="Arial" w:hAnsi="Arial" w:cs="Arial"/>
              </w:rPr>
              <w:t>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 w:rsidRPr="00E21BBA">
              <w:rPr>
                <w:rFonts w:ascii="Arial" w:eastAsia="Arial" w:hAnsi="Arial" w:cs="Arial"/>
              </w:rPr>
              <w:t>)</w:t>
            </w:r>
          </w:p>
        </w:tc>
        <w:tc>
          <w:tcPr>
            <w:tcW w:w="3029" w:type="dxa"/>
          </w:tcPr>
          <w:p w14:paraId="081FD27A" w14:textId="77777777" w:rsidR="0011795C" w:rsidRPr="007F4B2C" w:rsidRDefault="0011795C" w:rsidP="002875F4">
            <w:pPr>
              <w:rPr>
                <w:rFonts w:ascii="Arial" w:hAnsi="Arial" w:cs="Arial"/>
                <w:highlight w:val="yellow"/>
              </w:rPr>
            </w:pPr>
            <w:r w:rsidRPr="007F4B2C"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992" w:type="dxa"/>
            <w:vAlign w:val="center"/>
          </w:tcPr>
          <w:p w14:paraId="47DA53E2" w14:textId="77777777" w:rsidR="0011795C" w:rsidRPr="00D91B1F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76" w:type="dxa"/>
            <w:vAlign w:val="center"/>
          </w:tcPr>
          <w:p w14:paraId="1DD0DC78" w14:textId="77777777" w:rsidR="0011795C" w:rsidRPr="007F4B2C" w:rsidRDefault="0011795C" w:rsidP="002875F4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262" w:type="dxa"/>
            <w:vAlign w:val="center"/>
          </w:tcPr>
          <w:p w14:paraId="70A6B97D" w14:textId="77777777" w:rsidR="0011795C" w:rsidRPr="007F4B2C" w:rsidRDefault="0011795C" w:rsidP="002875F4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4726DEB4" w14:textId="0B287C50" w:rsidR="0011795C" w:rsidRPr="00D91B1F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1 </w:t>
            </w:r>
            <w:r w:rsidR="00BA2344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00</w:t>
            </w:r>
          </w:p>
        </w:tc>
        <w:tc>
          <w:tcPr>
            <w:tcW w:w="1280" w:type="dxa"/>
            <w:vAlign w:val="center"/>
          </w:tcPr>
          <w:p w14:paraId="393A879E" w14:textId="468377D5" w:rsidR="0011795C" w:rsidRPr="00F77417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 xml:space="preserve">1 </w:t>
            </w:r>
            <w:r w:rsidR="00BA2344">
              <w:rPr>
                <w:rFonts w:ascii="Arial" w:eastAsia="Arial" w:hAnsi="Arial" w:cs="Arial"/>
                <w:b/>
                <w:bCs/>
              </w:rPr>
              <w:t>5</w:t>
            </w:r>
            <w:r w:rsidRPr="00F77417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11795C" w14:paraId="6F8F53A7" w14:textId="77777777" w:rsidTr="006E1552">
        <w:tc>
          <w:tcPr>
            <w:tcW w:w="794" w:type="dxa"/>
          </w:tcPr>
          <w:p w14:paraId="3F12B635" w14:textId="77777777" w:rsidR="0011795C" w:rsidRPr="00E21BBA" w:rsidRDefault="0011795C" w:rsidP="002875F4">
            <w:pPr>
              <w:jc w:val="both"/>
              <w:rPr>
                <w:rFonts w:ascii="Arial" w:eastAsia="Arial" w:hAnsi="Arial" w:cs="Arial"/>
              </w:rPr>
            </w:pPr>
            <w:r w:rsidRPr="00E21BBA">
              <w:rPr>
                <w:rFonts w:ascii="Arial" w:eastAsia="Arial" w:hAnsi="Arial" w:cs="Arial"/>
              </w:rPr>
              <w:t>6.3.4.</w:t>
            </w:r>
          </w:p>
        </w:tc>
        <w:tc>
          <w:tcPr>
            <w:tcW w:w="3029" w:type="dxa"/>
          </w:tcPr>
          <w:p w14:paraId="4BE4D8AF" w14:textId="77777777" w:rsidR="0011795C" w:rsidRPr="007F4B2C" w:rsidRDefault="0011795C" w:rsidP="002875F4">
            <w:pPr>
              <w:rPr>
                <w:rFonts w:ascii="Arial" w:hAnsi="Arial" w:cs="Arial"/>
              </w:rPr>
            </w:pPr>
            <w:r w:rsidRPr="007F4B2C">
              <w:rPr>
                <w:rFonts w:ascii="Arial" w:hAnsi="Arial" w:cs="Arial"/>
              </w:rPr>
              <w:t>Zhotovení podkladů pro změnu katastrální hranice</w:t>
            </w:r>
          </w:p>
        </w:tc>
        <w:tc>
          <w:tcPr>
            <w:tcW w:w="992" w:type="dxa"/>
            <w:vAlign w:val="center"/>
          </w:tcPr>
          <w:p w14:paraId="25598BB7" w14:textId="77777777" w:rsidR="0011795C" w:rsidRPr="00D91B1F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276" w:type="dxa"/>
            <w:vAlign w:val="center"/>
          </w:tcPr>
          <w:p w14:paraId="7751B2A9" w14:textId="548A9770" w:rsidR="0011795C" w:rsidRPr="007F4B2C" w:rsidRDefault="00BA2344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62" w:type="dxa"/>
            <w:vAlign w:val="center"/>
          </w:tcPr>
          <w:p w14:paraId="143FECAB" w14:textId="3CBE908C" w:rsidR="0011795C" w:rsidRPr="007F4B2C" w:rsidRDefault="00A10203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367058E" w14:textId="71ED47DD" w:rsidR="0011795C" w:rsidRDefault="0011795C" w:rsidP="002875F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BA2344">
              <w:rPr>
                <w:rFonts w:ascii="Arial" w:eastAsia="Arial" w:hAnsi="Arial" w:cs="Arial"/>
              </w:rPr>
              <w:t>7 800</w:t>
            </w:r>
          </w:p>
        </w:tc>
        <w:tc>
          <w:tcPr>
            <w:tcW w:w="1280" w:type="dxa"/>
            <w:vAlign w:val="center"/>
          </w:tcPr>
          <w:p w14:paraId="524D0395" w14:textId="34BF95C9" w:rsidR="0011795C" w:rsidRPr="00F77417" w:rsidRDefault="0011795C" w:rsidP="002875F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> </w:t>
            </w:r>
            <w:r w:rsidR="00BA2344">
              <w:rPr>
                <w:rFonts w:ascii="Arial" w:eastAsia="Arial" w:hAnsi="Arial" w:cs="Arial"/>
                <w:b/>
                <w:bCs/>
              </w:rPr>
              <w:t>7 8</w:t>
            </w:r>
            <w:r w:rsidRPr="00F77417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11795C" w14:paraId="70B67BED" w14:textId="77777777" w:rsidTr="00A33981">
        <w:trPr>
          <w:trHeight w:val="391"/>
        </w:trPr>
        <w:tc>
          <w:tcPr>
            <w:tcW w:w="8463" w:type="dxa"/>
            <w:gridSpan w:val="6"/>
            <w:vAlign w:val="center"/>
          </w:tcPr>
          <w:p w14:paraId="6889166A" w14:textId="77777777" w:rsidR="0011795C" w:rsidRDefault="0011795C" w:rsidP="002875F4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21BBA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1280" w:type="dxa"/>
            <w:vAlign w:val="center"/>
          </w:tcPr>
          <w:p w14:paraId="6E2DDE4F" w14:textId="31C7DB26" w:rsidR="0011795C" w:rsidRPr="00F77417" w:rsidRDefault="00B410D7" w:rsidP="002875F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13 300</w:t>
            </w:r>
          </w:p>
        </w:tc>
      </w:tr>
    </w:tbl>
    <w:p w14:paraId="23BD1D6C" w14:textId="77777777" w:rsidR="0011795C" w:rsidRDefault="0011795C" w:rsidP="0011795C">
      <w:pPr>
        <w:spacing w:after="0"/>
        <w:rPr>
          <w:rFonts w:ascii="Arial" w:hAnsi="Arial" w:cs="Arial"/>
          <w:b/>
          <w:bCs/>
        </w:rPr>
      </w:pPr>
    </w:p>
    <w:p w14:paraId="291E887C" w14:textId="03BB6BE5" w:rsidR="0011795C" w:rsidRDefault="0011795C" w:rsidP="0011795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B410D7">
        <w:rPr>
          <w:rFonts w:ascii="Arial" w:hAnsi="Arial" w:cs="Arial"/>
          <w:b/>
          <w:bCs/>
        </w:rPr>
        <w:t>13 300</w:t>
      </w:r>
      <w:r w:rsidRPr="008B1614">
        <w:rPr>
          <w:rFonts w:ascii="Arial" w:hAnsi="Arial" w:cs="Arial"/>
        </w:rPr>
        <w:t xml:space="preserve"> Kč bez DPH, </w:t>
      </w:r>
      <w:r>
        <w:rPr>
          <w:rFonts w:ascii="Arial" w:hAnsi="Arial" w:cs="Arial"/>
        </w:rPr>
        <w:t xml:space="preserve">(tj. </w:t>
      </w:r>
      <w:r w:rsidR="00461779">
        <w:rPr>
          <w:rFonts w:ascii="Arial" w:hAnsi="Arial" w:cs="Arial"/>
        </w:rPr>
        <w:t>0,79</w:t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66C522" w14:textId="77777777" w:rsidR="0011795C" w:rsidRDefault="0011795C" w:rsidP="0011795C">
      <w:pPr>
        <w:spacing w:after="0"/>
        <w:rPr>
          <w:rFonts w:ascii="Arial" w:hAnsi="Arial" w:cs="Arial"/>
          <w:b/>
          <w:bCs/>
        </w:rPr>
      </w:pPr>
    </w:p>
    <w:p w14:paraId="68A552C9" w14:textId="428A44DF" w:rsidR="0011795C" w:rsidRDefault="0011795C" w:rsidP="0011795C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A5ED2">
        <w:rPr>
          <w:rFonts w:ascii="Arial" w:hAnsi="Arial" w:cs="Arial"/>
          <w:b/>
          <w:bCs/>
        </w:rPr>
        <w:t>navýší</w:t>
      </w:r>
      <w:r w:rsidRPr="00AA3F7B">
        <w:rPr>
          <w:rFonts w:ascii="Arial" w:hAnsi="Arial" w:cs="Arial"/>
          <w:b/>
          <w:bCs/>
        </w:rPr>
        <w:t xml:space="preserve"> o </w:t>
      </w:r>
      <w:r w:rsidR="000D57CD">
        <w:rPr>
          <w:rFonts w:ascii="Arial" w:hAnsi="Arial" w:cs="Arial"/>
          <w:b/>
          <w:bCs/>
        </w:rPr>
        <w:t>21 700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2965D405" w14:textId="77777777" w:rsidR="0011795C" w:rsidRDefault="0011795C" w:rsidP="0011795C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556E63D4" w14:textId="77777777" w:rsidR="00B42199" w:rsidRDefault="003E0E79" w:rsidP="005D34D2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bookmarkStart w:id="0" w:name="_Hlk215054031"/>
      <w:r w:rsidRPr="003E0E79">
        <w:rPr>
          <w:rFonts w:ascii="Arial" w:hAnsi="Arial" w:cs="Arial"/>
          <w:bCs/>
        </w:rPr>
        <w:t xml:space="preserve">PSZ pro </w:t>
      </w:r>
      <w:proofErr w:type="spellStart"/>
      <w:r w:rsidRPr="003E0E79">
        <w:rPr>
          <w:rFonts w:ascii="Arial" w:hAnsi="Arial" w:cs="Arial"/>
          <w:bCs/>
        </w:rPr>
        <w:t>KoPÚ</w:t>
      </w:r>
      <w:proofErr w:type="spellEnd"/>
      <w:r w:rsidRPr="003E0E79">
        <w:rPr>
          <w:rFonts w:ascii="Arial" w:hAnsi="Arial" w:cs="Arial"/>
          <w:bCs/>
        </w:rPr>
        <w:t xml:space="preserve"> Drahanovice byl zastupitelstvem obce Drahanovice schválen na zasedání</w:t>
      </w:r>
      <w:r w:rsidR="00703B7E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konaném dne 3. 5. 2024. Z důvodu nutnosti úpravy některých prvků PSZ, vzhledem</w:t>
      </w:r>
      <w:r w:rsidR="00703B7E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k projednanému návrhu nového uspořádání pozemků, byla provedena aktualizace</w:t>
      </w:r>
      <w:r w:rsidR="00703B7E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schváleného PSZ. Počet měrných jednotek byl vypočten součtem výměr jednotlivých pozemků</w:t>
      </w:r>
      <w:r w:rsidR="00703B7E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dotčených aktualizací PSZ. Do aktualizace PSZ nebyla počítána agrotechnická ani</w:t>
      </w:r>
      <w:r w:rsidR="00703B7E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organizační opatření.</w:t>
      </w:r>
      <w:r w:rsidR="00B42199">
        <w:rPr>
          <w:rFonts w:ascii="Arial" w:hAnsi="Arial" w:cs="Arial"/>
          <w:bCs/>
        </w:rPr>
        <w:t xml:space="preserve"> </w:t>
      </w:r>
    </w:p>
    <w:p w14:paraId="35DECE03" w14:textId="0779D1F7" w:rsidR="00404E33" w:rsidRDefault="003E0E79" w:rsidP="005D34D2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3E0E79">
        <w:rPr>
          <w:rFonts w:ascii="Arial" w:hAnsi="Arial" w:cs="Arial"/>
          <w:bCs/>
        </w:rPr>
        <w:t>Ke změně počtu měrných jednotek u dílčí části díla 6.3.4 dochází z důvodu, že změnu</w:t>
      </w:r>
      <w:r w:rsidR="00B42199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 xml:space="preserve">katastrální hranice nebylo potřebné v rámci </w:t>
      </w:r>
      <w:proofErr w:type="spellStart"/>
      <w:r w:rsidRPr="003E0E79">
        <w:rPr>
          <w:rFonts w:ascii="Arial" w:hAnsi="Arial" w:cs="Arial"/>
          <w:bCs/>
        </w:rPr>
        <w:t>KoPÚ</w:t>
      </w:r>
      <w:proofErr w:type="spellEnd"/>
      <w:r w:rsidRPr="003E0E79">
        <w:rPr>
          <w:rFonts w:ascii="Arial" w:hAnsi="Arial" w:cs="Arial"/>
          <w:bCs/>
        </w:rPr>
        <w:t xml:space="preserve"> v k. </w:t>
      </w:r>
      <w:proofErr w:type="spellStart"/>
      <w:r w:rsidRPr="003E0E79">
        <w:rPr>
          <w:rFonts w:ascii="Arial" w:hAnsi="Arial" w:cs="Arial"/>
          <w:bCs/>
        </w:rPr>
        <w:t>ú.</w:t>
      </w:r>
      <w:proofErr w:type="spellEnd"/>
      <w:r w:rsidRPr="003E0E79">
        <w:rPr>
          <w:rFonts w:ascii="Arial" w:hAnsi="Arial" w:cs="Arial"/>
          <w:bCs/>
        </w:rPr>
        <w:t xml:space="preserve"> Drahanovice provést, a nebylo proto</w:t>
      </w:r>
      <w:r w:rsidR="00B42199">
        <w:rPr>
          <w:rFonts w:ascii="Arial" w:hAnsi="Arial" w:cs="Arial"/>
          <w:bCs/>
        </w:rPr>
        <w:t xml:space="preserve"> </w:t>
      </w:r>
      <w:r w:rsidRPr="003E0E79">
        <w:rPr>
          <w:rFonts w:ascii="Arial" w:hAnsi="Arial" w:cs="Arial"/>
          <w:bCs/>
        </w:rPr>
        <w:t>nutné vyhotovovat podklady.</w:t>
      </w:r>
    </w:p>
    <w:p w14:paraId="28599849" w14:textId="77777777" w:rsidR="00D922BA" w:rsidRDefault="007E113B" w:rsidP="00512B02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B42199">
        <w:rPr>
          <w:rFonts w:ascii="Arial" w:hAnsi="Arial" w:cs="Arial"/>
          <w:bCs/>
        </w:rPr>
        <w:t>přiměřeně podle</w:t>
      </w:r>
      <w:r w:rsidRPr="005F3A6D">
        <w:rPr>
          <w:rFonts w:ascii="Arial" w:hAnsi="Arial" w:cs="Arial"/>
          <w:bCs/>
        </w:rPr>
        <w:t> ust</w:t>
      </w:r>
      <w:r w:rsidR="00404E33"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B445D8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</w:t>
      </w:r>
      <w:r w:rsidR="00E630BC" w:rsidRPr="005F3A6D">
        <w:rPr>
          <w:rFonts w:ascii="Arial" w:hAnsi="Arial" w:cs="Arial"/>
          <w:bCs/>
        </w:rPr>
        <w:t>Proveden</w:t>
      </w:r>
      <w:r w:rsidR="00E630BC">
        <w:rPr>
          <w:rFonts w:ascii="Arial" w:hAnsi="Arial" w:cs="Arial"/>
          <w:bCs/>
        </w:rPr>
        <w:t>á</w:t>
      </w:r>
      <w:r w:rsidR="00E630BC" w:rsidRPr="005F3A6D">
        <w:rPr>
          <w:rFonts w:ascii="Arial" w:hAnsi="Arial" w:cs="Arial"/>
          <w:bCs/>
        </w:rPr>
        <w:t xml:space="preserve"> změn</w:t>
      </w:r>
      <w:r w:rsidR="00E630BC">
        <w:rPr>
          <w:rFonts w:ascii="Arial" w:hAnsi="Arial" w:cs="Arial"/>
          <w:bCs/>
        </w:rPr>
        <w:t>a</w:t>
      </w:r>
      <w:r w:rsidR="00E630BC" w:rsidRPr="005F3A6D">
        <w:rPr>
          <w:rFonts w:ascii="Arial" w:hAnsi="Arial" w:cs="Arial"/>
          <w:bCs/>
        </w:rPr>
        <w:t xml:space="preserve"> závazku ze </w:t>
      </w:r>
      <w:r w:rsidR="00E630BC">
        <w:rPr>
          <w:rFonts w:ascii="Arial" w:hAnsi="Arial" w:cs="Arial"/>
          <w:bCs/>
        </w:rPr>
        <w:t>S</w:t>
      </w:r>
      <w:r w:rsidR="00E630BC" w:rsidRPr="005F3A6D">
        <w:rPr>
          <w:rFonts w:ascii="Arial" w:hAnsi="Arial" w:cs="Arial"/>
          <w:bCs/>
        </w:rPr>
        <w:t>mlouvy</w:t>
      </w:r>
      <w:r w:rsidR="00E630BC">
        <w:rPr>
          <w:rFonts w:ascii="Arial" w:hAnsi="Arial" w:cs="Arial"/>
          <w:bCs/>
        </w:rPr>
        <w:t xml:space="preserve"> </w:t>
      </w:r>
      <w:r w:rsidR="00E630BC" w:rsidRPr="001F1BD1">
        <w:rPr>
          <w:rFonts w:ascii="Arial" w:hAnsi="Arial" w:cs="Arial"/>
          <w:bCs/>
        </w:rPr>
        <w:t xml:space="preserve">je </w:t>
      </w:r>
      <w:r w:rsidR="00E630BC">
        <w:rPr>
          <w:rFonts w:ascii="Arial" w:hAnsi="Arial" w:cs="Arial"/>
          <w:bCs/>
        </w:rPr>
        <w:t>změnou nepodstatnou, která vznikla v důsledku okolností, které zadavatel jednající s náležitou péčí nemohl předvídat</w:t>
      </w:r>
      <w:r w:rsidR="00D922BA">
        <w:rPr>
          <w:rFonts w:ascii="Arial" w:hAnsi="Arial" w:cs="Arial"/>
          <w:bCs/>
        </w:rPr>
        <w:t>,</w:t>
      </w:r>
      <w:r w:rsidR="00E630BC">
        <w:rPr>
          <w:rFonts w:ascii="Arial" w:hAnsi="Arial" w:cs="Arial"/>
          <w:bCs/>
        </w:rPr>
        <w:t xml:space="preserve"> která nemění celkovou povahu veřejné zakázky a je nezbytná k dokončení díla. </w:t>
      </w:r>
    </w:p>
    <w:p w14:paraId="1F53A118" w14:textId="4EB59D1F" w:rsidR="00F76A5A" w:rsidRDefault="009268FD" w:rsidP="00512B02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</w:t>
      </w:r>
      <w:r w:rsidR="00D922BA">
        <w:rPr>
          <w:rFonts w:ascii="Arial" w:hAnsi="Arial" w:cs="Arial"/>
          <w:bCs/>
        </w:rPr>
        <w:t xml:space="preserve"> </w:t>
      </w:r>
      <w:r w:rsidR="00356454">
        <w:rPr>
          <w:rFonts w:ascii="Arial" w:hAnsi="Arial" w:cs="Arial"/>
          <w:bCs/>
        </w:rPr>
        <w:t>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FA2315">
        <w:rPr>
          <w:rFonts w:ascii="Arial" w:hAnsi="Arial" w:cs="Arial"/>
          <w:bCs/>
        </w:rPr>
        <w:t xml:space="preserve">(dodatky č. </w:t>
      </w:r>
      <w:r w:rsidR="00B445D8" w:rsidRPr="00FA2315">
        <w:rPr>
          <w:rFonts w:ascii="Arial" w:hAnsi="Arial" w:cs="Arial"/>
          <w:bCs/>
        </w:rPr>
        <w:t xml:space="preserve">1, </w:t>
      </w:r>
      <w:r w:rsidR="00FA2315" w:rsidRPr="00FA2315">
        <w:rPr>
          <w:rFonts w:ascii="Arial" w:hAnsi="Arial" w:cs="Arial"/>
          <w:bCs/>
        </w:rPr>
        <w:t>3, 5 a 6</w:t>
      </w:r>
      <w:r w:rsidR="00591610" w:rsidRPr="00FA2315">
        <w:rPr>
          <w:rFonts w:ascii="Arial" w:hAnsi="Arial" w:cs="Arial"/>
          <w:bCs/>
        </w:rPr>
        <w:t>)</w:t>
      </w:r>
      <w:r w:rsidR="00356454" w:rsidRPr="00FA2315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FA2315">
        <w:rPr>
          <w:rFonts w:ascii="Arial" w:hAnsi="Arial" w:cs="Arial"/>
          <w:bCs/>
        </w:rPr>
        <w:t>30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0"/>
      <w:r w:rsidR="00F31904" w:rsidRPr="005F3A6D">
        <w:rPr>
          <w:rFonts w:ascii="Arial" w:hAnsi="Arial" w:cs="Arial"/>
          <w:bCs/>
        </w:rPr>
        <w:t xml:space="preserve"> 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9634AF0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6B1BEB">
        <w:rPr>
          <w:rFonts w:ascii="Arial" w:hAnsi="Arial" w:cs="Arial"/>
          <w:b/>
          <w:bCs/>
          <w:snapToGrid w:val="0"/>
        </w:rPr>
        <w:t>3, bodu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7C07480B" w:rsidR="0084399A" w:rsidRPr="00763C03" w:rsidRDefault="007651D0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867 380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851596C" w:rsidR="0084399A" w:rsidRPr="00763C03" w:rsidRDefault="00931428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1 049 529,80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EAD8E55" w:rsidR="0084399A" w:rsidRPr="00763C03" w:rsidRDefault="007651D0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788 600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3118E9E0" w:rsidR="0084399A" w:rsidRPr="00763C03" w:rsidRDefault="00173802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954 206,00</w:t>
            </w:r>
            <w:r w:rsidR="00C91DF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173550AC" w:rsidR="0084399A" w:rsidRPr="00763C03" w:rsidRDefault="007651D0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165 000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3D0FCBC" w:rsidR="0084399A" w:rsidRPr="00763C03" w:rsidRDefault="00AC2781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199 650,00</w:t>
            </w:r>
            <w:r w:rsidR="00C91DF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7795BED" w:rsidR="0084399A" w:rsidRPr="00763C03" w:rsidRDefault="007651D0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1 820 980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37C8147" w:rsidR="0084399A" w:rsidRPr="00763C03" w:rsidRDefault="00C91DF4" w:rsidP="007651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2 203 385,80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7B5A04C" w14:textId="77777777" w:rsidR="00B42199" w:rsidRDefault="00B42199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44D03B05" w14:textId="77777777" w:rsidR="005D34D2" w:rsidRDefault="005D34D2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413E7EE0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některých smluv, </w:t>
      </w:r>
      <w:r w:rsidRPr="5784E4A4">
        <w:rPr>
          <w:rFonts w:ascii="Arial" w:hAnsi="Arial" w:cs="Arial"/>
        </w:rPr>
        <w:lastRenderedPageBreak/>
        <w:t>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0F80105" w14:textId="2D6F4A03" w:rsidR="00FD0C86" w:rsidRPr="003F406B" w:rsidRDefault="002B735B" w:rsidP="00FD0C86">
      <w:pPr>
        <w:spacing w:after="120" w:line="240" w:lineRule="auto"/>
        <w:ind w:left="4950" w:hanging="4950"/>
        <w:jc w:val="both"/>
        <w:rPr>
          <w:rFonts w:ascii="Arial" w:hAnsi="Arial" w:cs="Arial"/>
          <w:b/>
          <w:bCs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FD0C86">
        <w:rPr>
          <w:rFonts w:ascii="Arial" w:eastAsia="Times New Roman" w:hAnsi="Arial" w:cs="Arial"/>
          <w:b/>
          <w:lang w:eastAsia="cs-CZ"/>
        </w:rPr>
        <w:tab/>
      </w:r>
      <w:r w:rsidR="00FD0C86">
        <w:rPr>
          <w:rFonts w:ascii="Arial" w:eastAsia="Times New Roman" w:hAnsi="Arial" w:cs="Arial"/>
          <w:b/>
          <w:lang w:eastAsia="cs-CZ"/>
        </w:rPr>
        <w:tab/>
      </w:r>
      <w:r w:rsidR="00FD0C86" w:rsidRPr="003F406B">
        <w:rPr>
          <w:rFonts w:ascii="Arial" w:hAnsi="Arial" w:cs="Arial"/>
          <w:b/>
          <w:bCs/>
        </w:rPr>
        <w:t xml:space="preserve">GEOCENTRUM spol. s r.o. </w:t>
      </w:r>
    </w:p>
    <w:p w14:paraId="118DE848" w14:textId="6D812C02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903232">
        <w:rPr>
          <w:rFonts w:ascii="Arial" w:hAnsi="Arial" w:cs="Arial"/>
          <w:b/>
          <w:bCs/>
          <w:snapToGrid w:val="0"/>
        </w:rPr>
        <w:t>pro Olomoucký kraj</w:t>
      </w:r>
    </w:p>
    <w:p w14:paraId="7EDFC341" w14:textId="77777777" w:rsidR="00FD0C86" w:rsidRDefault="00FD0C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3AA2493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903232">
        <w:rPr>
          <w:rFonts w:ascii="Arial" w:hAnsi="Arial" w:cs="Arial"/>
          <w:b/>
          <w:bCs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D0C86">
        <w:rPr>
          <w:rFonts w:ascii="Arial" w:hAnsi="Arial" w:cs="Arial"/>
          <w:b/>
          <w:bCs/>
          <w:snapToGrid w:val="0"/>
        </w:rPr>
        <w:t>Olomouc</w:t>
      </w:r>
    </w:p>
    <w:p w14:paraId="435FBFFE" w14:textId="480DF730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026F12" w:rsidRPr="00026F12">
        <w:rPr>
          <w:rFonts w:ascii="Arial" w:eastAsia="Times New Roman" w:hAnsi="Arial" w:cs="Arial"/>
          <w:bCs/>
          <w:lang w:eastAsia="cs-CZ"/>
        </w:rPr>
        <w:t>9. 2. 2026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34F66" w:rsidRPr="00026F12">
        <w:rPr>
          <w:rFonts w:ascii="Arial" w:eastAsia="Times New Roman" w:hAnsi="Arial" w:cs="Arial"/>
          <w:bCs/>
          <w:lang w:eastAsia="cs-CZ"/>
        </w:rPr>
        <w:t>5. 2. 2026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87268D" w14:textId="0879BA71" w:rsidR="00903232" w:rsidRPr="00F12423" w:rsidRDefault="00D4553D" w:rsidP="00903232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</w:t>
      </w:r>
      <w:r w:rsidRPr="00F12423">
        <w:rPr>
          <w:rFonts w:ascii="Arial" w:hAnsi="Arial" w:cs="Arial"/>
          <w:i/>
          <w:iCs/>
        </w:rPr>
        <w:t>elektronicky podepsáno“</w:t>
      </w:r>
      <w:r w:rsidR="00903232">
        <w:rPr>
          <w:rFonts w:ascii="Arial" w:hAnsi="Arial" w:cs="Arial"/>
          <w:i/>
          <w:iCs/>
        </w:rPr>
        <w:tab/>
      </w:r>
      <w:r w:rsidR="00903232">
        <w:rPr>
          <w:rFonts w:ascii="Arial" w:hAnsi="Arial" w:cs="Arial"/>
          <w:i/>
          <w:iCs/>
        </w:rPr>
        <w:tab/>
      </w:r>
      <w:r w:rsidR="00903232">
        <w:rPr>
          <w:rFonts w:ascii="Arial" w:hAnsi="Arial" w:cs="Arial"/>
          <w:i/>
          <w:iCs/>
        </w:rPr>
        <w:tab/>
      </w:r>
      <w:r w:rsidR="00903232">
        <w:rPr>
          <w:rFonts w:ascii="Arial" w:hAnsi="Arial" w:cs="Arial"/>
          <w:i/>
          <w:iCs/>
        </w:rPr>
        <w:tab/>
      </w:r>
      <w:r w:rsidR="00903232">
        <w:rPr>
          <w:rFonts w:ascii="Arial" w:hAnsi="Arial" w:cs="Arial"/>
          <w:i/>
          <w:iCs/>
        </w:rPr>
        <w:tab/>
        <w:t>„</w:t>
      </w:r>
      <w:r w:rsidR="00903232" w:rsidRPr="00F12423">
        <w:rPr>
          <w:rFonts w:ascii="Arial" w:hAnsi="Arial" w:cs="Arial"/>
          <w:i/>
          <w:iCs/>
        </w:rPr>
        <w:t>elektronicky podepsáno“</w:t>
      </w:r>
    </w:p>
    <w:p w14:paraId="679C4F1C" w14:textId="52A07F8D" w:rsidR="00D4553D" w:rsidRPr="00CB5829" w:rsidRDefault="00D4553D" w:rsidP="00D4553D">
      <w:pPr>
        <w:spacing w:after="120"/>
        <w:jc w:val="both"/>
        <w:rPr>
          <w:rFonts w:ascii="Arial" w:hAnsi="Arial" w:cs="Arial"/>
        </w:rPr>
      </w:pPr>
      <w:r w:rsidRPr="00CB5829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3232">
        <w:rPr>
          <w:rFonts w:ascii="Arial" w:hAnsi="Arial" w:cs="Arial"/>
        </w:rPr>
        <w:tab/>
      </w:r>
      <w:r w:rsidRPr="00CB5829">
        <w:rPr>
          <w:rFonts w:ascii="Arial" w:hAnsi="Arial" w:cs="Arial"/>
        </w:rPr>
        <w:t>______________________________</w:t>
      </w:r>
    </w:p>
    <w:p w14:paraId="7293E093" w14:textId="724A3390" w:rsidR="00D4553D" w:rsidRPr="00CB5829" w:rsidRDefault="00D4553D" w:rsidP="00D4553D">
      <w:pPr>
        <w:spacing w:after="120"/>
        <w:jc w:val="both"/>
        <w:rPr>
          <w:rFonts w:ascii="Arial" w:hAnsi="Arial" w:cs="Arial"/>
        </w:rPr>
      </w:pPr>
      <w:r w:rsidRPr="00CB5829">
        <w:rPr>
          <w:rFonts w:ascii="Arial" w:hAnsi="Arial" w:cs="Arial"/>
        </w:rPr>
        <w:t>Jméno: JUDr. Roman Brnčal, LL. M.</w:t>
      </w:r>
      <w:r w:rsidRPr="00CB5829">
        <w:rPr>
          <w:rFonts w:ascii="Arial" w:hAnsi="Arial" w:cs="Arial"/>
        </w:rPr>
        <w:tab/>
      </w:r>
      <w:r w:rsidRPr="00CB58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3232">
        <w:rPr>
          <w:rFonts w:ascii="Arial" w:hAnsi="Arial" w:cs="Arial"/>
        </w:rPr>
        <w:tab/>
      </w:r>
      <w:r w:rsidRPr="00CB5829">
        <w:rPr>
          <w:rFonts w:ascii="Arial" w:hAnsi="Arial" w:cs="Arial"/>
        </w:rPr>
        <w:t>Jméno: Petr Liška</w:t>
      </w:r>
    </w:p>
    <w:p w14:paraId="2E1B6DD3" w14:textId="23A9185F" w:rsidR="00D4553D" w:rsidRPr="00CB5829" w:rsidRDefault="00D4553D" w:rsidP="00D4553D">
      <w:pPr>
        <w:spacing w:after="120"/>
        <w:jc w:val="both"/>
        <w:rPr>
          <w:rFonts w:ascii="Arial" w:hAnsi="Arial" w:cs="Arial"/>
        </w:rPr>
      </w:pPr>
      <w:r w:rsidRPr="00CB5829">
        <w:rPr>
          <w:rFonts w:ascii="Arial" w:hAnsi="Arial" w:cs="Arial"/>
        </w:rPr>
        <w:t>Funkce: ředitel KPÚ pro Olomoucký kraj</w:t>
      </w:r>
      <w:r w:rsidRPr="00CB5829">
        <w:rPr>
          <w:rFonts w:ascii="Arial" w:hAnsi="Arial" w:cs="Arial"/>
        </w:rPr>
        <w:tab/>
      </w:r>
      <w:r w:rsidRPr="00CB5829">
        <w:rPr>
          <w:rFonts w:ascii="Arial" w:hAnsi="Arial" w:cs="Arial"/>
        </w:rPr>
        <w:tab/>
      </w:r>
      <w:r w:rsidR="00903232">
        <w:rPr>
          <w:rFonts w:ascii="Arial" w:hAnsi="Arial" w:cs="Arial"/>
        </w:rPr>
        <w:tab/>
      </w:r>
      <w:r w:rsidRPr="00CB5829">
        <w:rPr>
          <w:rFonts w:ascii="Arial" w:hAnsi="Arial" w:cs="Arial"/>
        </w:rPr>
        <w:t>Funkce: 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76B6444A" w14:textId="5BE69694" w:rsidR="008E0D4F" w:rsidRPr="008E0D4F" w:rsidRDefault="008E0D4F" w:rsidP="0010133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101331" w:rsidRPr="00101331">
        <w:rPr>
          <w:rFonts w:ascii="Arial" w:hAnsi="Arial" w:cs="Arial"/>
          <w:snapToGrid w:val="0"/>
        </w:rPr>
        <w:t>Ing. Hana Minářová</w:t>
      </w:r>
    </w:p>
    <w:sectPr w:rsidR="008E0D4F" w:rsidRPr="008E0D4F" w:rsidSect="00A33981">
      <w:headerReference w:type="default" r:id="rId14"/>
      <w:footerReference w:type="default" r:id="rId15"/>
      <w:headerReference w:type="first" r:id="rId16"/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90CC" w14:textId="77777777" w:rsidR="00A939A7" w:rsidRDefault="00A939A7" w:rsidP="007936E4">
      <w:pPr>
        <w:spacing w:after="0"/>
      </w:pPr>
      <w:r>
        <w:separator/>
      </w:r>
    </w:p>
  </w:endnote>
  <w:endnote w:type="continuationSeparator" w:id="0">
    <w:p w14:paraId="3B2CBA02" w14:textId="77777777" w:rsidR="00A939A7" w:rsidRDefault="00A939A7" w:rsidP="007936E4">
      <w:pPr>
        <w:spacing w:after="0"/>
      </w:pPr>
      <w:r>
        <w:continuationSeparator/>
      </w:r>
    </w:p>
  </w:endnote>
  <w:endnote w:type="continuationNotice" w:id="1">
    <w:p w14:paraId="2381C9E9" w14:textId="77777777" w:rsidR="00A939A7" w:rsidRDefault="00A939A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A5E0" w14:textId="77777777" w:rsidR="00A939A7" w:rsidRDefault="00A939A7" w:rsidP="007936E4">
      <w:pPr>
        <w:spacing w:after="0"/>
      </w:pPr>
      <w:r>
        <w:separator/>
      </w:r>
    </w:p>
  </w:footnote>
  <w:footnote w:type="continuationSeparator" w:id="0">
    <w:p w14:paraId="45F79BE5" w14:textId="77777777" w:rsidR="00A939A7" w:rsidRDefault="00A939A7" w:rsidP="007936E4">
      <w:pPr>
        <w:spacing w:after="0"/>
      </w:pPr>
      <w:r>
        <w:continuationSeparator/>
      </w:r>
    </w:p>
  </w:footnote>
  <w:footnote w:type="continuationNotice" w:id="1">
    <w:p w14:paraId="5D9574A3" w14:textId="77777777" w:rsidR="00A939A7" w:rsidRDefault="00A939A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B5571F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413742">
      <w:rPr>
        <w:szCs w:val="16"/>
      </w:rPr>
      <w:t>Drahanovice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3A7D" w14:textId="576FAE9D" w:rsidR="001D104B" w:rsidRDefault="001D104B" w:rsidP="001D104B">
    <w:pPr>
      <w:pStyle w:val="Zhlav"/>
      <w:pBdr>
        <w:bottom w:val="single" w:sz="6" w:space="1" w:color="auto"/>
      </w:pBdr>
      <w:tabs>
        <w:tab w:val="clear" w:pos="4703"/>
        <w:tab w:val="left" w:pos="6096"/>
      </w:tabs>
      <w:spacing w:after="0" w:line="240" w:lineRule="auto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>Číslo Smlouvy Objednatele:</w:t>
    </w:r>
    <w:r>
      <w:rPr>
        <w:rFonts w:cs="Arial"/>
        <w:szCs w:val="16"/>
        <w:lang w:val="fr-FR"/>
      </w:rPr>
      <w:t>1306-2021-521101</w:t>
    </w:r>
  </w:p>
  <w:p w14:paraId="26E2B989" w14:textId="630EBB73" w:rsidR="001D104B" w:rsidRDefault="001D104B" w:rsidP="001D104B">
    <w:pPr>
      <w:pStyle w:val="Zhlav"/>
      <w:pBdr>
        <w:bottom w:val="single" w:sz="6" w:space="1" w:color="auto"/>
      </w:pBdr>
      <w:tabs>
        <w:tab w:val="clear" w:pos="4703"/>
        <w:tab w:val="left" w:pos="6096"/>
      </w:tabs>
      <w:spacing w:after="0" w:line="240" w:lineRule="auto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 xml:space="preserve">UID : </w:t>
    </w:r>
    <w:r w:rsidR="00E9521A" w:rsidRPr="00E9521A">
      <w:rPr>
        <w:rFonts w:cs="Arial"/>
        <w:szCs w:val="16"/>
        <w:lang w:val="fr-FR"/>
      </w:rPr>
      <w:t>spudms00000016338109</w:t>
    </w:r>
    <w:r>
      <w:rPr>
        <w:rFonts w:cs="Arial"/>
        <w:szCs w:val="16"/>
        <w:lang w:val="fr-FR"/>
      </w:rPr>
      <w:tab/>
    </w:r>
  </w:p>
  <w:p w14:paraId="62F47470" w14:textId="1992A84C" w:rsidR="001D104B" w:rsidRPr="001D4BED" w:rsidRDefault="001D104B" w:rsidP="00161708">
    <w:pPr>
      <w:pStyle w:val="Zhlav"/>
      <w:pBdr>
        <w:bottom w:val="single" w:sz="6" w:space="1" w:color="auto"/>
      </w:pBdr>
      <w:tabs>
        <w:tab w:val="clear" w:pos="4703"/>
        <w:tab w:val="left" w:pos="6096"/>
      </w:tabs>
      <w:spacing w:after="0" w:line="240" w:lineRule="auto"/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Č</w:t>
    </w:r>
    <w:r w:rsidRPr="001D4BED">
      <w:rPr>
        <w:rFonts w:cs="Arial"/>
        <w:szCs w:val="16"/>
        <w:lang w:val="fr-FR"/>
      </w:rPr>
      <w:t>íslo Smlouvy Zhotovitele:</w:t>
    </w:r>
    <w:r>
      <w:rPr>
        <w:rFonts w:cs="Arial"/>
        <w:szCs w:val="16"/>
        <w:lang w:val="fr-FR"/>
      </w:rPr>
      <w:t xml:space="preserve">  </w:t>
    </w:r>
    <w:r w:rsidRPr="002977CB">
      <w:rPr>
        <w:rFonts w:cs="Arial"/>
        <w:szCs w:val="16"/>
        <w:lang w:val="fr-FR"/>
      </w:rPr>
      <w:t>211028</w:t>
    </w:r>
  </w:p>
  <w:p w14:paraId="44B36398" w14:textId="03980666" w:rsidR="0083666F" w:rsidRPr="001D104B" w:rsidRDefault="0083666F" w:rsidP="001D1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6F12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0C6D"/>
    <w:rsid w:val="00061077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087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AEA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57CD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331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1795C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708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802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04B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A01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70B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1B9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2651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786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0E79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8D2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3742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779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7D1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B02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F66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B7D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3D"/>
    <w:rsid w:val="00566B8B"/>
    <w:rsid w:val="00566CAF"/>
    <w:rsid w:val="00567122"/>
    <w:rsid w:val="00567719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6C1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4D2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B1B"/>
    <w:rsid w:val="0064587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4FE3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BEB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552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B7E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81D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51D0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5F4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0F3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5AF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232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428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AE2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13C"/>
    <w:rsid w:val="00A07CBA"/>
    <w:rsid w:val="00A10203"/>
    <w:rsid w:val="00A103C0"/>
    <w:rsid w:val="00A111D3"/>
    <w:rsid w:val="00A11491"/>
    <w:rsid w:val="00A11AF8"/>
    <w:rsid w:val="00A11D2A"/>
    <w:rsid w:val="00A127F4"/>
    <w:rsid w:val="00A1307F"/>
    <w:rsid w:val="00A13484"/>
    <w:rsid w:val="00A1349D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0D4"/>
    <w:rsid w:val="00A32500"/>
    <w:rsid w:val="00A33700"/>
    <w:rsid w:val="00A33981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3A3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39A7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ED2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781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38F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0D7"/>
    <w:rsid w:val="00B41347"/>
    <w:rsid w:val="00B415EE"/>
    <w:rsid w:val="00B42199"/>
    <w:rsid w:val="00B42DED"/>
    <w:rsid w:val="00B43737"/>
    <w:rsid w:val="00B43890"/>
    <w:rsid w:val="00B43B3F"/>
    <w:rsid w:val="00B43FF1"/>
    <w:rsid w:val="00B445D8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344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079CC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64A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412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DF4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9E3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553D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2BA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80F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0BC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299B"/>
    <w:rsid w:val="00E93011"/>
    <w:rsid w:val="00E9368E"/>
    <w:rsid w:val="00E9521A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315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C86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48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F1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26F1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26F1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lomouc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lomou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5</cp:revision>
  <cp:lastPrinted>2026-02-05T12:26:00Z</cp:lastPrinted>
  <dcterms:created xsi:type="dcterms:W3CDTF">2026-02-05T13:06:00Z</dcterms:created>
  <dcterms:modified xsi:type="dcterms:W3CDTF">2026-02-09T09:36:00Z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