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334297F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667726">
      <w:pPr>
        <w:pStyle w:val="Nzev"/>
        <w:spacing w:before="0" w:after="0" w:line="240" w:lineRule="auto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667726">
      <w:pPr>
        <w:pStyle w:val="Nzev"/>
        <w:spacing w:before="0" w:after="0" w:line="240" w:lineRule="auto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667726">
      <w:pPr>
        <w:pStyle w:val="Nzev"/>
        <w:spacing w:before="0" w:after="0" w:line="240" w:lineRule="auto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667726">
      <w:pPr>
        <w:pStyle w:val="Nzev"/>
        <w:spacing w:before="0" w:after="0" w:line="240" w:lineRule="auto"/>
        <w:rPr>
          <w:bCs/>
          <w:sz w:val="20"/>
          <w:szCs w:val="20"/>
        </w:rPr>
      </w:pPr>
    </w:p>
    <w:p w14:paraId="7A98E868" w14:textId="77777777" w:rsidR="00E24120" w:rsidRPr="0031011B" w:rsidRDefault="00E24120" w:rsidP="00667726">
      <w:pPr>
        <w:pStyle w:val="Nzev"/>
        <w:spacing w:before="0" w:after="0" w:line="240" w:lineRule="auto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Default="00E24120" w:rsidP="00667726">
      <w:pPr>
        <w:spacing w:before="0" w:after="0" w:line="240" w:lineRule="auto"/>
      </w:pPr>
    </w:p>
    <w:p w14:paraId="453E4627" w14:textId="77777777" w:rsidR="0074285E" w:rsidRPr="00E24120" w:rsidRDefault="0074285E" w:rsidP="00667726">
      <w:pPr>
        <w:spacing w:before="0" w:after="0" w:line="240" w:lineRule="auto"/>
      </w:pPr>
    </w:p>
    <w:p w14:paraId="6D683C8E" w14:textId="77777777" w:rsidR="00E24120" w:rsidRPr="00E24120" w:rsidRDefault="00E24120" w:rsidP="00667726">
      <w:pPr>
        <w:tabs>
          <w:tab w:val="left" w:pos="4253"/>
        </w:tabs>
        <w:spacing w:before="0" w:after="0" w:line="240" w:lineRule="auto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284F8BF8" w14:textId="77777777" w:rsidR="00E24120" w:rsidRPr="00E24120" w:rsidRDefault="00E24120" w:rsidP="00667726">
      <w:pPr>
        <w:spacing w:before="0" w:after="0" w:line="240" w:lineRule="auto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667726">
      <w:pPr>
        <w:spacing w:before="0" w:after="0" w:line="240" w:lineRule="auto"/>
        <w:jc w:val="both"/>
        <w:rPr>
          <w:rFonts w:cs="Arial"/>
          <w:b/>
          <w:szCs w:val="24"/>
        </w:rPr>
      </w:pPr>
      <w:r w:rsidRPr="007249BD">
        <w:rPr>
          <w:rFonts w:cs="Arial"/>
          <w:bCs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</w:t>
      </w:r>
      <w:proofErr w:type="gramStart"/>
      <w:r w:rsidRPr="00E24120">
        <w:rPr>
          <w:rFonts w:cs="Arial"/>
          <w:szCs w:val="24"/>
        </w:rPr>
        <w:t>11a</w:t>
      </w:r>
      <w:proofErr w:type="gramEnd"/>
      <w:r w:rsidRPr="00E24120">
        <w:rPr>
          <w:rFonts w:cs="Arial"/>
          <w:szCs w:val="24"/>
        </w:rPr>
        <w:t>, 130 00 Praha 3</w:t>
      </w:r>
      <w:bookmarkEnd w:id="0"/>
    </w:p>
    <w:p w14:paraId="78D6368F" w14:textId="0F1C36AB" w:rsidR="00E24120" w:rsidRPr="00FE468B" w:rsidRDefault="00E24120" w:rsidP="00667726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b/>
          <w:bCs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Krajský pozemkový úřad </w:t>
      </w:r>
      <w:r w:rsidR="00FE468B" w:rsidRPr="00CC6A12">
        <w:rPr>
          <w:rFonts w:cs="Arial"/>
          <w:b/>
          <w:bCs/>
          <w:snapToGrid w:val="0"/>
          <w:szCs w:val="24"/>
        </w:rPr>
        <w:t>pro Jihomoravský kraj</w:t>
      </w:r>
    </w:p>
    <w:p w14:paraId="4CF8149E" w14:textId="393AFCFC" w:rsidR="00E24120" w:rsidRPr="007249BD" w:rsidRDefault="00E24120" w:rsidP="00667726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bCs/>
          <w:szCs w:val="24"/>
        </w:rPr>
      </w:pPr>
      <w:r w:rsidRPr="007249BD">
        <w:rPr>
          <w:rFonts w:cs="Arial"/>
          <w:bCs/>
          <w:szCs w:val="24"/>
        </w:rPr>
        <w:t>Adresa:</w:t>
      </w:r>
      <w:r w:rsidR="00CC6A12" w:rsidRPr="007249BD">
        <w:rPr>
          <w:rFonts w:cs="Arial"/>
          <w:bCs/>
          <w:szCs w:val="24"/>
        </w:rPr>
        <w:t xml:space="preserve"> Hroznová 227/17, 603 00 Brno</w:t>
      </w:r>
    </w:p>
    <w:p w14:paraId="643BD739" w14:textId="5BEB37C5" w:rsidR="00E24120" w:rsidRPr="00E24120" w:rsidRDefault="00E24120" w:rsidP="00667726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Pobočka </w:t>
      </w:r>
      <w:r w:rsidR="00CC6A12">
        <w:rPr>
          <w:rFonts w:cs="Arial"/>
          <w:b/>
          <w:szCs w:val="24"/>
        </w:rPr>
        <w:t>Blansko</w:t>
      </w:r>
    </w:p>
    <w:p w14:paraId="66BCA023" w14:textId="171F45C4" w:rsidR="00E24120" w:rsidRPr="007249BD" w:rsidRDefault="00E24120" w:rsidP="00667726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bCs/>
          <w:szCs w:val="24"/>
        </w:rPr>
      </w:pPr>
      <w:r w:rsidRPr="007249BD">
        <w:rPr>
          <w:rFonts w:cs="Arial"/>
          <w:bCs/>
          <w:szCs w:val="24"/>
        </w:rPr>
        <w:t>Adresa:</w:t>
      </w:r>
      <w:r w:rsidR="00CC6A12" w:rsidRPr="007249BD">
        <w:rPr>
          <w:rFonts w:cs="Arial"/>
          <w:bCs/>
          <w:szCs w:val="24"/>
        </w:rPr>
        <w:t xml:space="preserve"> Poříčí 1569/18, 678 01</w:t>
      </w:r>
    </w:p>
    <w:p w14:paraId="6D585746" w14:textId="743F4AD1" w:rsidR="00E24120" w:rsidRPr="00E24120" w:rsidRDefault="00206A4E" w:rsidP="00667726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Z</w:t>
      </w:r>
      <w:r w:rsidR="00E24120" w:rsidRPr="00E24120">
        <w:rPr>
          <w:rFonts w:eastAsia="Lucida Sans Unicode" w:cs="Arial"/>
          <w:szCs w:val="24"/>
        </w:rPr>
        <w:t xml:space="preserve">astoupený: </w:t>
      </w:r>
      <w:r w:rsidR="00CC6A12">
        <w:rPr>
          <w:rFonts w:eastAsia="Lucida Sans Unicode" w:cs="Arial"/>
          <w:szCs w:val="24"/>
        </w:rPr>
        <w:t>JUDr. Ivan</w:t>
      </w:r>
      <w:r w:rsidR="007249BD">
        <w:rPr>
          <w:rFonts w:eastAsia="Lucida Sans Unicode" w:cs="Arial"/>
          <w:szCs w:val="24"/>
        </w:rPr>
        <w:t>ou</w:t>
      </w:r>
      <w:r w:rsidR="00CC6A12">
        <w:rPr>
          <w:rFonts w:eastAsia="Lucida Sans Unicode" w:cs="Arial"/>
          <w:szCs w:val="24"/>
        </w:rPr>
        <w:t xml:space="preserve"> Antlov</w:t>
      </w:r>
      <w:r w:rsidR="007249BD">
        <w:rPr>
          <w:rFonts w:eastAsia="Lucida Sans Unicode" w:cs="Arial"/>
          <w:szCs w:val="24"/>
        </w:rPr>
        <w:t>ou</w:t>
      </w:r>
      <w:r w:rsidR="00CC6A12">
        <w:rPr>
          <w:rFonts w:eastAsia="Lucida Sans Unicode" w:cs="Arial"/>
          <w:szCs w:val="24"/>
        </w:rPr>
        <w:t>, vedoucí pobočky Blansko</w:t>
      </w:r>
    </w:p>
    <w:p w14:paraId="7118FC3B" w14:textId="1E0F2ABC" w:rsidR="00E24120" w:rsidRPr="00E24120" w:rsidRDefault="00206A4E" w:rsidP="00667726">
      <w:pPr>
        <w:widowControl w:val="0"/>
        <w:tabs>
          <w:tab w:val="left" w:pos="4678"/>
        </w:tabs>
        <w:suppressAutoHyphens/>
        <w:spacing w:before="0" w:after="0" w:line="240" w:lineRule="auto"/>
        <w:ind w:left="4678" w:hanging="4678"/>
        <w:jc w:val="both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V</w:t>
      </w:r>
      <w:r w:rsidR="00E24120" w:rsidRPr="00E24120">
        <w:rPr>
          <w:rFonts w:eastAsia="Lucida Sans Unicode" w:cs="Arial"/>
          <w:szCs w:val="24"/>
        </w:rPr>
        <w:t>e smluvních záležitostech oprávněn</w:t>
      </w:r>
      <w:r w:rsidR="007249BD">
        <w:rPr>
          <w:rFonts w:eastAsia="Lucida Sans Unicode" w:cs="Arial"/>
          <w:szCs w:val="24"/>
        </w:rPr>
        <w:t>a</w:t>
      </w:r>
      <w:r w:rsidR="00E24120" w:rsidRPr="00E24120">
        <w:rPr>
          <w:rFonts w:eastAsia="Lucida Sans Unicode" w:cs="Arial"/>
          <w:szCs w:val="24"/>
        </w:rPr>
        <w:t xml:space="preserve"> jednat:</w:t>
      </w:r>
      <w:r w:rsidR="00E24120" w:rsidRPr="00E24120">
        <w:rPr>
          <w:rFonts w:eastAsia="Lucida Sans Unicode" w:cs="Arial"/>
          <w:szCs w:val="24"/>
        </w:rPr>
        <w:tab/>
      </w:r>
      <w:r w:rsidR="00CC6A12">
        <w:rPr>
          <w:rFonts w:eastAsia="Lucida Sans Unicode" w:cs="Arial"/>
          <w:szCs w:val="24"/>
        </w:rPr>
        <w:t>JUDr. Ivana Antlová</w:t>
      </w:r>
    </w:p>
    <w:p w14:paraId="66916189" w14:textId="46E73C26" w:rsidR="00E24120" w:rsidRPr="00E24120" w:rsidRDefault="00206A4E" w:rsidP="00667726">
      <w:pPr>
        <w:widowControl w:val="0"/>
        <w:tabs>
          <w:tab w:val="left" w:pos="4678"/>
        </w:tabs>
        <w:suppressAutoHyphens/>
        <w:spacing w:before="0" w:after="0" w:line="240" w:lineRule="auto"/>
        <w:ind w:left="4678" w:hanging="4678"/>
        <w:jc w:val="both"/>
        <w:rPr>
          <w:rFonts w:eastAsia="Lucida Sans Unicode" w:cs="Arial"/>
          <w:snapToGrid w:val="0"/>
          <w:szCs w:val="24"/>
        </w:rPr>
      </w:pPr>
      <w:r>
        <w:rPr>
          <w:rFonts w:eastAsia="Lucida Sans Unicode" w:cs="Arial"/>
          <w:szCs w:val="24"/>
        </w:rPr>
        <w:t>V</w:t>
      </w:r>
      <w:r w:rsidR="00E24120" w:rsidRPr="00E24120">
        <w:rPr>
          <w:rFonts w:eastAsia="Lucida Sans Unicode" w:cs="Arial"/>
          <w:szCs w:val="24"/>
        </w:rPr>
        <w:t xml:space="preserve"> </w:t>
      </w:r>
      <w:r w:rsidR="00E24120" w:rsidRPr="00E24120">
        <w:rPr>
          <w:rFonts w:eastAsia="Lucida Sans Unicode" w:cs="Arial"/>
          <w:snapToGrid w:val="0"/>
          <w:szCs w:val="24"/>
        </w:rPr>
        <w:t>technických záležitostech oprávněn</w:t>
      </w:r>
      <w:r w:rsidR="007249BD">
        <w:rPr>
          <w:rFonts w:eastAsia="Lucida Sans Unicode" w:cs="Arial"/>
          <w:snapToGrid w:val="0"/>
          <w:szCs w:val="24"/>
        </w:rPr>
        <w:t>a</w:t>
      </w:r>
      <w:r w:rsidR="00E24120" w:rsidRPr="00E24120">
        <w:rPr>
          <w:rFonts w:eastAsia="Lucida Sans Unicode" w:cs="Arial"/>
          <w:snapToGrid w:val="0"/>
          <w:szCs w:val="24"/>
        </w:rPr>
        <w:t xml:space="preserve"> jednat:</w:t>
      </w:r>
      <w:r w:rsidR="00E24120" w:rsidRPr="00E24120">
        <w:rPr>
          <w:rFonts w:eastAsia="Lucida Sans Unicode" w:cs="Arial"/>
          <w:snapToGrid w:val="0"/>
          <w:szCs w:val="24"/>
        </w:rPr>
        <w:tab/>
      </w:r>
      <w:r w:rsidR="00CC6A12">
        <w:rPr>
          <w:rFonts w:eastAsia="Lucida Sans Unicode" w:cs="Arial"/>
          <w:snapToGrid w:val="0"/>
          <w:szCs w:val="24"/>
        </w:rPr>
        <w:t>Ing. Zdenka Hebelková</w:t>
      </w:r>
      <w:r w:rsidR="00E24120" w:rsidRPr="00E24120">
        <w:rPr>
          <w:rFonts w:eastAsia="Lucida Sans Unicode" w:cs="Arial"/>
          <w:szCs w:val="24"/>
        </w:rPr>
        <w:t xml:space="preserve"> </w:t>
      </w:r>
    </w:p>
    <w:p w14:paraId="2A7769CA" w14:textId="04D5715D" w:rsidR="00E24120" w:rsidRPr="00E24120" w:rsidRDefault="00E24120" w:rsidP="0066772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Tel.:</w:t>
      </w:r>
      <w:r w:rsidRPr="00E24120">
        <w:rPr>
          <w:rFonts w:eastAsia="Lucida Sans Unicode" w:cs="Arial"/>
          <w:szCs w:val="24"/>
        </w:rPr>
        <w:tab/>
        <w:t>+420</w:t>
      </w:r>
      <w:r w:rsidR="00CC6A12">
        <w:rPr>
          <w:rFonts w:eastAsia="Lucida Sans Unicode" w:cs="Arial"/>
          <w:szCs w:val="24"/>
        </w:rPr>
        <w:t> 725 765 796</w:t>
      </w:r>
    </w:p>
    <w:p w14:paraId="42222A26" w14:textId="0B6ABBF4" w:rsidR="00E24120" w:rsidRPr="00E24120" w:rsidRDefault="00E24120" w:rsidP="0066772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E-mail:</w:t>
      </w:r>
      <w:r w:rsidRPr="00E24120">
        <w:rPr>
          <w:rFonts w:eastAsia="Lucida Sans Unicode" w:cs="Arial"/>
          <w:szCs w:val="24"/>
        </w:rPr>
        <w:tab/>
      </w:r>
      <w:r w:rsidR="00CC6A12">
        <w:rPr>
          <w:rFonts w:eastAsia="Lucida Sans Unicode" w:cs="Arial"/>
          <w:szCs w:val="24"/>
        </w:rPr>
        <w:t>zdenka.hebelkova</w:t>
      </w:r>
      <w:r w:rsidRPr="00E24120">
        <w:rPr>
          <w:rFonts w:eastAsia="Lucida Sans Unicode" w:cs="Arial"/>
          <w:szCs w:val="24"/>
        </w:rPr>
        <w:t>@spu</w:t>
      </w:r>
      <w:r w:rsidR="00BE1A2A">
        <w:rPr>
          <w:rFonts w:eastAsia="Lucida Sans Unicode" w:cs="Arial"/>
          <w:szCs w:val="24"/>
        </w:rPr>
        <w:t>.gov</w:t>
      </w:r>
      <w:r w:rsidRPr="00E24120">
        <w:rPr>
          <w:rFonts w:eastAsia="Lucida Sans Unicode" w:cs="Arial"/>
          <w:szCs w:val="24"/>
        </w:rPr>
        <w:t>.cz</w:t>
      </w:r>
    </w:p>
    <w:p w14:paraId="33B7BD63" w14:textId="18B937D7" w:rsidR="00E24120" w:rsidRPr="00E24120" w:rsidRDefault="00E24120" w:rsidP="0066772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149FEF6D" w:rsidR="00E24120" w:rsidRPr="00E24120" w:rsidRDefault="00E24120" w:rsidP="0066772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56B0E48A" w:rsidR="00E24120" w:rsidRPr="00E24120" w:rsidRDefault="00E24120" w:rsidP="0066772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5B3C67F6" w:rsidR="00E24120" w:rsidRPr="00E24120" w:rsidRDefault="00E24120" w:rsidP="0066772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376D1C70" w:rsidR="00E24120" w:rsidRPr="00E24120" w:rsidRDefault="00E24120" w:rsidP="0066772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667726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667726">
      <w:pPr>
        <w:tabs>
          <w:tab w:val="left" w:pos="4253"/>
        </w:tabs>
        <w:spacing w:before="0" w:after="0" w:line="240" w:lineRule="auto"/>
        <w:jc w:val="both"/>
        <w:rPr>
          <w:rFonts w:cs="Arial"/>
          <w:bCs/>
          <w:szCs w:val="24"/>
        </w:rPr>
      </w:pPr>
    </w:p>
    <w:p w14:paraId="6FB062A0" w14:textId="2068D383" w:rsidR="00E24120" w:rsidRPr="00667726" w:rsidRDefault="00667726" w:rsidP="00667726">
      <w:pPr>
        <w:spacing w:before="0" w:after="0" w:line="240" w:lineRule="auto"/>
        <w:rPr>
          <w:rFonts w:cs="Arial"/>
          <w:bCs/>
          <w:szCs w:val="24"/>
        </w:rPr>
      </w:pPr>
      <w:r w:rsidRPr="00667726">
        <w:rPr>
          <w:rFonts w:cs="Arial"/>
          <w:bCs/>
          <w:szCs w:val="24"/>
        </w:rPr>
        <w:t>a</w:t>
      </w:r>
    </w:p>
    <w:p w14:paraId="0C6F639F" w14:textId="77777777" w:rsidR="00667726" w:rsidRPr="00E24120" w:rsidRDefault="00667726" w:rsidP="00667726">
      <w:pPr>
        <w:spacing w:before="0" w:after="0" w:line="240" w:lineRule="auto"/>
        <w:rPr>
          <w:rFonts w:cs="Arial"/>
          <w:b/>
          <w:szCs w:val="24"/>
        </w:rPr>
      </w:pPr>
    </w:p>
    <w:p w14:paraId="2C26387C" w14:textId="77777777" w:rsidR="0088136D" w:rsidRDefault="00E24120" w:rsidP="00667726">
      <w:pPr>
        <w:tabs>
          <w:tab w:val="left" w:pos="4253"/>
        </w:tabs>
        <w:spacing w:before="0" w:after="0" w:line="240" w:lineRule="auto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  <w:r w:rsidR="0088136D">
        <w:rPr>
          <w:rFonts w:cs="Arial"/>
          <w:b/>
          <w:szCs w:val="24"/>
        </w:rPr>
        <w:t xml:space="preserve"> </w:t>
      </w:r>
    </w:p>
    <w:p w14:paraId="5CC48710" w14:textId="4DC22585" w:rsidR="00E24120" w:rsidRPr="00E24120" w:rsidRDefault="0088136D" w:rsidP="00667726">
      <w:pPr>
        <w:tabs>
          <w:tab w:val="left" w:pos="4253"/>
        </w:tabs>
        <w:spacing w:before="0" w:after="0" w:line="24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AGERIS s.r.o.</w:t>
      </w:r>
    </w:p>
    <w:p w14:paraId="5DB18FEB" w14:textId="61444AFB" w:rsidR="00E24120" w:rsidRPr="00E24120" w:rsidRDefault="00E24120" w:rsidP="00667726">
      <w:pPr>
        <w:tabs>
          <w:tab w:val="left" w:pos="4253"/>
        </w:tabs>
        <w:spacing w:before="0" w:after="0" w:line="240" w:lineRule="auto"/>
        <w:jc w:val="both"/>
        <w:rPr>
          <w:rFonts w:cs="Arial"/>
          <w:b/>
          <w:szCs w:val="24"/>
        </w:rPr>
      </w:pPr>
      <w:r w:rsidRPr="007249BD">
        <w:rPr>
          <w:rFonts w:cs="Arial"/>
          <w:bCs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88136D">
        <w:rPr>
          <w:rFonts w:cs="Arial"/>
          <w:bCs/>
          <w:szCs w:val="24"/>
        </w:rPr>
        <w:t>Jeřábkova 1848/5, 602 00 Brno</w:t>
      </w:r>
    </w:p>
    <w:p w14:paraId="7FEB2147" w14:textId="64BA6E74" w:rsidR="00E24120" w:rsidRDefault="00206A4E" w:rsidP="00667726">
      <w:pPr>
        <w:tabs>
          <w:tab w:val="left" w:pos="4253"/>
        </w:tabs>
        <w:spacing w:before="0" w:after="0" w:line="240" w:lineRule="auto"/>
        <w:jc w:val="both"/>
        <w:rPr>
          <w:rFonts w:cs="Arial"/>
          <w:i/>
          <w:szCs w:val="24"/>
        </w:rPr>
      </w:pPr>
      <w:r>
        <w:rPr>
          <w:rFonts w:cs="Arial"/>
          <w:szCs w:val="24"/>
        </w:rPr>
        <w:t>Z</w:t>
      </w:r>
      <w:r w:rsidR="00E24120" w:rsidRPr="00E24120">
        <w:rPr>
          <w:rFonts w:cs="Arial"/>
          <w:szCs w:val="24"/>
        </w:rPr>
        <w:t xml:space="preserve">astoupený: </w:t>
      </w:r>
      <w:r w:rsidR="0088136D">
        <w:rPr>
          <w:rFonts w:cs="Arial"/>
          <w:szCs w:val="24"/>
        </w:rPr>
        <w:t>RNDr. Josefem Glosem, jednatelem</w:t>
      </w:r>
    </w:p>
    <w:p w14:paraId="41DCAE95" w14:textId="1227E337" w:rsidR="00206A4E" w:rsidRPr="00E24120" w:rsidRDefault="00206A4E" w:rsidP="00667726">
      <w:pPr>
        <w:tabs>
          <w:tab w:val="left" w:pos="284"/>
          <w:tab w:val="left" w:pos="4678"/>
        </w:tabs>
        <w:spacing w:before="0" w:after="0" w:line="240" w:lineRule="auto"/>
        <w:ind w:right="-284"/>
        <w:rPr>
          <w:rFonts w:cs="Arial"/>
          <w:szCs w:val="24"/>
        </w:rPr>
      </w:pPr>
      <w:r>
        <w:rPr>
          <w:rFonts w:cs="Arial"/>
          <w:szCs w:val="24"/>
        </w:rPr>
        <w:t>V</w:t>
      </w:r>
      <w:r w:rsidRPr="00E24120">
        <w:rPr>
          <w:rFonts w:cs="Arial"/>
          <w:szCs w:val="24"/>
        </w:rPr>
        <w:t> technických záležitostech je oprávněn</w:t>
      </w:r>
      <w:r w:rsidR="007249BD">
        <w:rPr>
          <w:rFonts w:cs="Arial"/>
          <w:szCs w:val="24"/>
        </w:rPr>
        <w:t>a</w:t>
      </w:r>
      <w:r w:rsidRPr="00E24120">
        <w:rPr>
          <w:rFonts w:cs="Arial"/>
          <w:szCs w:val="24"/>
        </w:rPr>
        <w:t xml:space="preserve"> jednat:</w:t>
      </w:r>
      <w:r w:rsidRPr="00E24120">
        <w:rPr>
          <w:rFonts w:cs="Arial"/>
          <w:szCs w:val="24"/>
        </w:rPr>
        <w:tab/>
      </w:r>
      <w:proofErr w:type="spellStart"/>
      <w:r w:rsidR="000F07F5">
        <w:rPr>
          <w:rFonts w:cs="Arial"/>
          <w:szCs w:val="24"/>
        </w:rPr>
        <w:t>xxx</w:t>
      </w:r>
      <w:proofErr w:type="spellEnd"/>
    </w:p>
    <w:p w14:paraId="7A68AB1B" w14:textId="671973A3" w:rsidR="00E24120" w:rsidRPr="00E24120" w:rsidRDefault="00E24120" w:rsidP="00667726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Tel.:</w:t>
      </w:r>
      <w:r w:rsidRPr="00E24120">
        <w:rPr>
          <w:rFonts w:cs="Arial"/>
          <w:szCs w:val="24"/>
        </w:rPr>
        <w:tab/>
      </w:r>
      <w:r w:rsidR="007249BD">
        <w:rPr>
          <w:rFonts w:cs="Arial"/>
          <w:szCs w:val="24"/>
        </w:rPr>
        <w:tab/>
      </w:r>
      <w:proofErr w:type="spellStart"/>
      <w:r w:rsidR="000F07F5">
        <w:rPr>
          <w:rFonts w:cs="Arial"/>
          <w:szCs w:val="24"/>
        </w:rPr>
        <w:t>xxx</w:t>
      </w:r>
      <w:proofErr w:type="spellEnd"/>
    </w:p>
    <w:p w14:paraId="1C793700" w14:textId="5B59378D" w:rsidR="00E24120" w:rsidRPr="00E24120" w:rsidRDefault="00E24120" w:rsidP="00667726">
      <w:pPr>
        <w:tabs>
          <w:tab w:val="left" w:pos="284"/>
          <w:tab w:val="left" w:pos="4678"/>
        </w:tabs>
        <w:spacing w:before="0" w:after="0" w:line="240" w:lineRule="auto"/>
        <w:ind w:right="-110"/>
        <w:jc w:val="both"/>
        <w:rPr>
          <w:rFonts w:cs="Arial"/>
          <w:bCs/>
          <w:snapToGrid w:val="0"/>
          <w:szCs w:val="24"/>
        </w:rPr>
      </w:pPr>
      <w:r w:rsidRPr="00E24120">
        <w:rPr>
          <w:rFonts w:cs="Arial"/>
          <w:szCs w:val="24"/>
        </w:rPr>
        <w:t>E-mail:</w:t>
      </w:r>
      <w:r w:rsidRPr="00E24120">
        <w:rPr>
          <w:rFonts w:cs="Arial"/>
          <w:szCs w:val="24"/>
        </w:rPr>
        <w:tab/>
      </w:r>
      <w:r w:rsidR="007249BD">
        <w:rPr>
          <w:rFonts w:cs="Arial"/>
          <w:szCs w:val="24"/>
        </w:rPr>
        <w:tab/>
      </w:r>
      <w:proofErr w:type="spellStart"/>
      <w:r w:rsidR="000F07F5">
        <w:rPr>
          <w:rFonts w:cs="Arial"/>
          <w:szCs w:val="24"/>
        </w:rPr>
        <w:t>xxx</w:t>
      </w:r>
      <w:proofErr w:type="spellEnd"/>
    </w:p>
    <w:p w14:paraId="713FCF24" w14:textId="0B562603" w:rsidR="00E24120" w:rsidRPr="00E24120" w:rsidRDefault="00E24120" w:rsidP="00667726">
      <w:pPr>
        <w:tabs>
          <w:tab w:val="left" w:pos="284"/>
          <w:tab w:val="left" w:pos="4678"/>
        </w:tabs>
        <w:spacing w:before="0" w:after="0" w:line="240" w:lineRule="auto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napToGrid w:val="0"/>
          <w:szCs w:val="24"/>
        </w:rPr>
        <w:t>ID DS:</w:t>
      </w:r>
      <w:r w:rsidRPr="00E24120">
        <w:rPr>
          <w:rFonts w:cs="Arial"/>
          <w:bCs/>
          <w:snapToGrid w:val="0"/>
          <w:szCs w:val="24"/>
        </w:rPr>
        <w:tab/>
      </w:r>
      <w:r w:rsidR="007249BD">
        <w:rPr>
          <w:rFonts w:cs="Arial"/>
          <w:bCs/>
          <w:snapToGrid w:val="0"/>
          <w:szCs w:val="24"/>
        </w:rPr>
        <w:tab/>
      </w:r>
      <w:r w:rsidR="0088136D">
        <w:rPr>
          <w:rFonts w:cs="Arial"/>
          <w:bCs/>
          <w:snapToGrid w:val="0"/>
          <w:szCs w:val="24"/>
        </w:rPr>
        <w:t>zr6jqnz</w:t>
      </w:r>
    </w:p>
    <w:p w14:paraId="574076F6" w14:textId="02FCE702" w:rsidR="00E24120" w:rsidRPr="00E24120" w:rsidRDefault="00E24120" w:rsidP="00667726">
      <w:pPr>
        <w:tabs>
          <w:tab w:val="left" w:pos="284"/>
          <w:tab w:val="left" w:pos="4678"/>
        </w:tabs>
        <w:spacing w:before="0" w:after="0" w:line="240" w:lineRule="auto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Bankovní spojení:</w:t>
      </w:r>
      <w:r w:rsidRPr="00E24120">
        <w:rPr>
          <w:rFonts w:cs="Arial"/>
          <w:szCs w:val="24"/>
        </w:rPr>
        <w:tab/>
      </w:r>
      <w:r w:rsidR="007249BD">
        <w:rPr>
          <w:rFonts w:cs="Arial"/>
          <w:szCs w:val="24"/>
        </w:rPr>
        <w:tab/>
      </w:r>
      <w:r w:rsidR="0088136D" w:rsidRPr="0088136D">
        <w:rPr>
          <w:rFonts w:cs="Arial"/>
          <w:snapToGrid w:val="0"/>
          <w:szCs w:val="24"/>
        </w:rPr>
        <w:t>ČSOB a.s.</w:t>
      </w:r>
    </w:p>
    <w:p w14:paraId="5F20A7A3" w14:textId="3B36E7C2" w:rsidR="00E24120" w:rsidRPr="0088136D" w:rsidRDefault="00E24120" w:rsidP="00667726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Číslo účtu:</w:t>
      </w:r>
      <w:r w:rsidRPr="00E24120">
        <w:rPr>
          <w:rFonts w:cs="Arial"/>
          <w:szCs w:val="24"/>
        </w:rPr>
        <w:tab/>
      </w:r>
      <w:r w:rsidR="007249BD">
        <w:rPr>
          <w:rFonts w:cs="Arial"/>
          <w:szCs w:val="24"/>
        </w:rPr>
        <w:tab/>
      </w:r>
      <w:r w:rsidR="0088136D" w:rsidRPr="0088136D">
        <w:rPr>
          <w:rFonts w:cs="Arial"/>
          <w:snapToGrid w:val="0"/>
          <w:szCs w:val="24"/>
        </w:rPr>
        <w:t>382293143/0300</w:t>
      </w:r>
    </w:p>
    <w:p w14:paraId="02CC041E" w14:textId="1D988297" w:rsidR="00E24120" w:rsidRPr="00E24120" w:rsidRDefault="00E24120" w:rsidP="00667726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IČO:</w:t>
      </w:r>
      <w:r w:rsidRPr="00E24120">
        <w:rPr>
          <w:rFonts w:cs="Arial"/>
          <w:szCs w:val="24"/>
        </w:rPr>
        <w:tab/>
      </w:r>
      <w:r w:rsidR="007249BD">
        <w:rPr>
          <w:rFonts w:cs="Arial"/>
          <w:szCs w:val="24"/>
        </w:rPr>
        <w:tab/>
      </w:r>
      <w:r w:rsidR="0088136D">
        <w:rPr>
          <w:rFonts w:cs="Arial"/>
          <w:szCs w:val="24"/>
        </w:rPr>
        <w:t>255 76 992</w:t>
      </w:r>
    </w:p>
    <w:p w14:paraId="67C69597" w14:textId="0A75FF94" w:rsidR="00E24120" w:rsidRPr="0088136D" w:rsidRDefault="00E24120" w:rsidP="00667726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DIČ:</w:t>
      </w:r>
      <w:r w:rsidRPr="00E24120">
        <w:rPr>
          <w:rFonts w:cs="Arial"/>
          <w:szCs w:val="24"/>
        </w:rPr>
        <w:tab/>
      </w:r>
      <w:r w:rsidR="007249BD">
        <w:rPr>
          <w:rFonts w:cs="Arial"/>
          <w:szCs w:val="24"/>
        </w:rPr>
        <w:tab/>
      </w:r>
      <w:r w:rsidR="0088136D">
        <w:rPr>
          <w:rFonts w:cs="Arial"/>
          <w:szCs w:val="24"/>
        </w:rPr>
        <w:t xml:space="preserve">CZ25576992 </w:t>
      </w:r>
      <w:r w:rsidR="007249BD">
        <w:rPr>
          <w:rFonts w:cs="Arial"/>
          <w:szCs w:val="24"/>
        </w:rPr>
        <w:t>(</w:t>
      </w:r>
      <w:r w:rsidR="0088136D" w:rsidRPr="0088136D">
        <w:rPr>
          <w:rFonts w:cs="Arial"/>
          <w:szCs w:val="24"/>
        </w:rPr>
        <w:t xml:space="preserve">je </w:t>
      </w:r>
      <w:r w:rsidRPr="0088136D">
        <w:rPr>
          <w:rFonts w:cs="Arial"/>
          <w:snapToGrid w:val="0"/>
          <w:szCs w:val="24"/>
        </w:rPr>
        <w:t>plátcem DPH</w:t>
      </w:r>
      <w:r w:rsidR="007249BD">
        <w:rPr>
          <w:rFonts w:cs="Arial"/>
          <w:snapToGrid w:val="0"/>
          <w:szCs w:val="24"/>
        </w:rPr>
        <w:t>)</w:t>
      </w:r>
    </w:p>
    <w:p w14:paraId="48659F85" w14:textId="3DE740E2" w:rsidR="00E24120" w:rsidRPr="00E24120" w:rsidRDefault="00E24120" w:rsidP="00667726">
      <w:pPr>
        <w:spacing w:before="0" w:after="0" w:line="240" w:lineRule="auto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u </w:t>
      </w:r>
      <w:r w:rsidR="0088136D">
        <w:rPr>
          <w:rFonts w:cs="Arial"/>
          <w:szCs w:val="24"/>
        </w:rPr>
        <w:t>Krajského soudu v Brně,</w:t>
      </w:r>
      <w:r w:rsidRPr="00E24120">
        <w:rPr>
          <w:rFonts w:cs="Arial"/>
          <w:szCs w:val="24"/>
        </w:rPr>
        <w:t xml:space="preserve"> oddíl </w:t>
      </w:r>
      <w:r w:rsidR="0088136D">
        <w:rPr>
          <w:rFonts w:cs="Arial"/>
          <w:szCs w:val="24"/>
        </w:rPr>
        <w:t>C</w:t>
      </w:r>
      <w:r w:rsidRPr="00E24120">
        <w:rPr>
          <w:rFonts w:cs="Arial"/>
          <w:szCs w:val="24"/>
        </w:rPr>
        <w:t xml:space="preserve">, vložka </w:t>
      </w:r>
      <w:r w:rsidR="0088136D">
        <w:rPr>
          <w:rFonts w:cs="Arial"/>
          <w:szCs w:val="24"/>
        </w:rPr>
        <w:t>35034</w:t>
      </w:r>
      <w:r w:rsidRPr="00E24120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667726">
      <w:pPr>
        <w:tabs>
          <w:tab w:val="left" w:pos="2127"/>
          <w:tab w:val="left" w:pos="4800"/>
        </w:tabs>
        <w:spacing w:before="0" w:after="0" w:line="240" w:lineRule="auto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667726">
      <w:pPr>
        <w:spacing w:before="0" w:after="0" w:line="240" w:lineRule="auto"/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667726">
      <w:pPr>
        <w:spacing w:before="0" w:after="0" w:line="240" w:lineRule="auto"/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Default="00E24120" w:rsidP="00667726">
      <w:pPr>
        <w:tabs>
          <w:tab w:val="left" w:pos="2127"/>
          <w:tab w:val="left" w:pos="4800"/>
        </w:tabs>
        <w:spacing w:before="0" w:after="0" w:line="240" w:lineRule="auto"/>
        <w:jc w:val="both"/>
        <w:rPr>
          <w:rFonts w:cs="Arial"/>
          <w:snapToGrid w:val="0"/>
          <w:szCs w:val="22"/>
        </w:rPr>
      </w:pPr>
    </w:p>
    <w:p w14:paraId="0971DC75" w14:textId="77777777" w:rsidR="00667726" w:rsidRDefault="00667726" w:rsidP="00667726">
      <w:pPr>
        <w:tabs>
          <w:tab w:val="left" w:pos="2127"/>
          <w:tab w:val="left" w:pos="4800"/>
        </w:tabs>
        <w:spacing w:before="0" w:after="0" w:line="240" w:lineRule="auto"/>
        <w:jc w:val="both"/>
        <w:rPr>
          <w:rFonts w:cs="Arial"/>
          <w:snapToGrid w:val="0"/>
          <w:szCs w:val="22"/>
        </w:rPr>
      </w:pPr>
    </w:p>
    <w:p w14:paraId="4569FDDC" w14:textId="77777777" w:rsidR="0074285E" w:rsidRDefault="0074285E" w:rsidP="00667726">
      <w:pPr>
        <w:tabs>
          <w:tab w:val="left" w:pos="2127"/>
          <w:tab w:val="left" w:pos="4800"/>
        </w:tabs>
        <w:spacing w:before="0" w:after="0" w:line="240" w:lineRule="auto"/>
        <w:jc w:val="both"/>
        <w:rPr>
          <w:rFonts w:cs="Arial"/>
          <w:snapToGrid w:val="0"/>
          <w:szCs w:val="22"/>
        </w:rPr>
      </w:pPr>
    </w:p>
    <w:p w14:paraId="4B797524" w14:textId="77777777" w:rsidR="0074285E" w:rsidRDefault="0074285E" w:rsidP="00667726">
      <w:pPr>
        <w:tabs>
          <w:tab w:val="left" w:pos="2127"/>
          <w:tab w:val="left" w:pos="4800"/>
        </w:tabs>
        <w:spacing w:before="0" w:after="0" w:line="240" w:lineRule="auto"/>
        <w:jc w:val="both"/>
        <w:rPr>
          <w:rFonts w:cs="Arial"/>
          <w:snapToGrid w:val="0"/>
          <w:szCs w:val="22"/>
        </w:rPr>
      </w:pPr>
    </w:p>
    <w:p w14:paraId="5DFC14F7" w14:textId="77777777" w:rsidR="0074285E" w:rsidRPr="00E24120" w:rsidRDefault="0074285E" w:rsidP="00667726">
      <w:pPr>
        <w:tabs>
          <w:tab w:val="left" w:pos="2127"/>
          <w:tab w:val="left" w:pos="4800"/>
        </w:tabs>
        <w:spacing w:before="0" w:after="0" w:line="240" w:lineRule="auto"/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667726">
      <w:pPr>
        <w:pStyle w:val="l-L1"/>
        <w:spacing w:before="0" w:after="0" w:line="240" w:lineRule="auto"/>
      </w:pPr>
      <w:r w:rsidRPr="00DE43B6">
        <w:t xml:space="preserve">Předmět </w:t>
      </w:r>
      <w:r w:rsidR="000B10BB">
        <w:t>a účel smlouvy</w:t>
      </w:r>
    </w:p>
    <w:p w14:paraId="3B20F0A0" w14:textId="4E390D86" w:rsidR="002A2CF6" w:rsidRDefault="00B83F26" w:rsidP="00667726">
      <w:pPr>
        <w:pStyle w:val="l-L2"/>
        <w:numPr>
          <w:ilvl w:val="0"/>
          <w:numId w:val="15"/>
        </w:numPr>
        <w:spacing w:before="0" w:after="0" w:line="240" w:lineRule="auto"/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 projektovou dokumentací.</w:t>
      </w:r>
    </w:p>
    <w:p w14:paraId="2840043D" w14:textId="3016C9C6" w:rsidR="000B3316" w:rsidRPr="002A2CF6" w:rsidRDefault="2EDF0124" w:rsidP="00667726">
      <w:pPr>
        <w:pStyle w:val="l-L2"/>
        <w:numPr>
          <w:ilvl w:val="0"/>
          <w:numId w:val="15"/>
        </w:numPr>
        <w:spacing w:before="0" w:after="0" w:line="240" w:lineRule="auto"/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</w:t>
      </w:r>
      <w:r w:rsidR="00D519F9">
        <w:t xml:space="preserve"> </w:t>
      </w:r>
      <w:r w:rsidR="003F1777" w:rsidRPr="003F1777">
        <w:t>výsadeb</w:t>
      </w:r>
      <w:r w:rsidR="0D761B7A" w:rsidRPr="002A2CF6">
        <w:t xml:space="preserve">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667726">
      <w:pPr>
        <w:pStyle w:val="l-L2"/>
        <w:numPr>
          <w:ilvl w:val="0"/>
          <w:numId w:val="15"/>
        </w:numPr>
        <w:spacing w:before="0" w:after="0" w:line="240" w:lineRule="auto"/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33004B18" w:rsidR="009B22A4" w:rsidRDefault="009B22A4" w:rsidP="00667726">
      <w:pPr>
        <w:pStyle w:val="l-L2"/>
        <w:tabs>
          <w:tab w:val="left" w:pos="851"/>
          <w:tab w:val="left" w:pos="2268"/>
        </w:tabs>
        <w:spacing w:before="0" w:after="0" w:line="240" w:lineRule="auto"/>
        <w:ind w:left="357"/>
        <w:rPr>
          <w:rStyle w:val="l-L2Char"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r w:rsidR="00CC6A12">
        <w:rPr>
          <w:rStyle w:val="l-L2Char"/>
          <w:rFonts w:cs="Arial"/>
          <w:szCs w:val="22"/>
        </w:rPr>
        <w:t xml:space="preserve"> </w:t>
      </w:r>
      <w:r w:rsidR="003F1777" w:rsidRPr="00544B47">
        <w:rPr>
          <w:rStyle w:val="l-L2Char"/>
          <w:rFonts w:cs="Arial"/>
          <w:b/>
          <w:bCs/>
          <w:szCs w:val="22"/>
        </w:rPr>
        <w:t xml:space="preserve">Výsadba IP24, IP25, IP26 </w:t>
      </w:r>
      <w:r w:rsidR="002B6087" w:rsidRPr="00544B47">
        <w:rPr>
          <w:rStyle w:val="l-L2Char"/>
          <w:rFonts w:cs="Arial"/>
          <w:b/>
          <w:bCs/>
          <w:szCs w:val="22"/>
        </w:rPr>
        <w:t xml:space="preserve">a část LBK36 v k. </w:t>
      </w:r>
      <w:proofErr w:type="spellStart"/>
      <w:r w:rsidR="002B6087" w:rsidRPr="00544B47">
        <w:rPr>
          <w:rStyle w:val="l-L2Char"/>
          <w:rFonts w:cs="Arial"/>
          <w:b/>
          <w:bCs/>
          <w:szCs w:val="22"/>
        </w:rPr>
        <w:t>ú.</w:t>
      </w:r>
      <w:proofErr w:type="spellEnd"/>
      <w:r w:rsidR="002B6087" w:rsidRPr="00544B47">
        <w:rPr>
          <w:rStyle w:val="l-L2Char"/>
          <w:rFonts w:cs="Arial"/>
          <w:b/>
          <w:bCs/>
          <w:szCs w:val="22"/>
        </w:rPr>
        <w:t xml:space="preserve"> </w:t>
      </w:r>
      <w:proofErr w:type="spellStart"/>
      <w:r w:rsidR="002B6087" w:rsidRPr="00544B47">
        <w:rPr>
          <w:rStyle w:val="l-L2Char"/>
          <w:rFonts w:cs="Arial"/>
          <w:b/>
          <w:bCs/>
          <w:szCs w:val="22"/>
        </w:rPr>
        <w:t>Babolky</w:t>
      </w:r>
      <w:proofErr w:type="spellEnd"/>
    </w:p>
    <w:p w14:paraId="500349FE" w14:textId="086A9930" w:rsidR="009B22A4" w:rsidRDefault="009B22A4" w:rsidP="00667726">
      <w:pPr>
        <w:pStyle w:val="l-L2"/>
        <w:tabs>
          <w:tab w:val="left" w:pos="851"/>
          <w:tab w:val="left" w:pos="2268"/>
        </w:tabs>
        <w:spacing w:before="0" w:after="0" w:line="240" w:lineRule="auto"/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 w:rsidR="00CC6A12">
        <w:rPr>
          <w:rStyle w:val="l-L2Char"/>
          <w:rFonts w:cs="Arial"/>
          <w:szCs w:val="22"/>
        </w:rPr>
        <w:t xml:space="preserve">katastrální území </w:t>
      </w:r>
      <w:proofErr w:type="spellStart"/>
      <w:r w:rsidR="003F1777">
        <w:rPr>
          <w:rStyle w:val="l-L2Char"/>
          <w:rFonts w:cs="Arial"/>
          <w:szCs w:val="22"/>
        </w:rPr>
        <w:t>Babolky</w:t>
      </w:r>
      <w:proofErr w:type="spellEnd"/>
    </w:p>
    <w:p w14:paraId="6460A1F7" w14:textId="383E4C93" w:rsidR="009B22A4" w:rsidRDefault="009B22A4" w:rsidP="00667726">
      <w:pPr>
        <w:pStyle w:val="l-L2"/>
        <w:tabs>
          <w:tab w:val="left" w:pos="851"/>
          <w:tab w:val="left" w:pos="2268"/>
        </w:tabs>
        <w:spacing w:before="0" w:after="0" w:line="240" w:lineRule="auto"/>
        <w:ind w:left="357"/>
        <w:rPr>
          <w:rStyle w:val="l-L2Char"/>
          <w:rFonts w:cs="Arial"/>
          <w:szCs w:val="22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Popis stavby:</w:t>
      </w:r>
      <w:r w:rsidR="00911160" w:rsidRPr="005C59DC">
        <w:rPr>
          <w:rStyle w:val="l-L2Char"/>
          <w:rFonts w:cs="Arial"/>
          <w:szCs w:val="22"/>
        </w:rPr>
        <w:tab/>
      </w:r>
    </w:p>
    <w:p w14:paraId="4A57339D" w14:textId="66EBE870" w:rsidR="003F1777" w:rsidRPr="000B2063" w:rsidRDefault="003F1777" w:rsidP="00544B47">
      <w:pPr>
        <w:pStyle w:val="Odstavecseseznamem"/>
        <w:numPr>
          <w:ilvl w:val="0"/>
          <w:numId w:val="17"/>
        </w:numPr>
        <w:spacing w:before="0" w:after="0" w:line="240" w:lineRule="auto"/>
        <w:ind w:left="1418" w:hanging="567"/>
        <w:jc w:val="both"/>
        <w:rPr>
          <w:rFonts w:cs="Arial"/>
          <w:szCs w:val="22"/>
        </w:rPr>
      </w:pPr>
      <w:bookmarkStart w:id="1" w:name="_Hlk161911955"/>
      <w:r w:rsidRPr="00544B47">
        <w:rPr>
          <w:rFonts w:cs="Arial"/>
          <w:b/>
          <w:bCs/>
          <w:szCs w:val="22"/>
        </w:rPr>
        <w:t>SO 01 Interakční prvek IP24,</w:t>
      </w:r>
      <w:r w:rsidRPr="000B2063">
        <w:rPr>
          <w:rFonts w:cs="Arial"/>
          <w:szCs w:val="22"/>
        </w:rPr>
        <w:t xml:space="preserve"> včetně následné péče - nově navržený interakční prvek na pozemku p.</w:t>
      </w:r>
      <w:r w:rsidR="00B459A4">
        <w:rPr>
          <w:rFonts w:cs="Arial"/>
          <w:szCs w:val="22"/>
        </w:rPr>
        <w:t xml:space="preserve"> </w:t>
      </w:r>
      <w:r w:rsidRPr="000B2063">
        <w:rPr>
          <w:rFonts w:cs="Arial"/>
          <w:szCs w:val="22"/>
        </w:rPr>
        <w:t>č. 757</w:t>
      </w:r>
      <w:r>
        <w:rPr>
          <w:rFonts w:cs="Arial"/>
          <w:szCs w:val="22"/>
        </w:rPr>
        <w:t xml:space="preserve"> v k.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Babolky</w:t>
      </w:r>
      <w:proofErr w:type="spellEnd"/>
      <w:r w:rsidRPr="000B2063">
        <w:rPr>
          <w:rFonts w:cs="Arial"/>
          <w:szCs w:val="22"/>
        </w:rPr>
        <w:t>, o výměře 2148 m</w:t>
      </w:r>
      <w:r w:rsidRPr="003F1777">
        <w:rPr>
          <w:rFonts w:cs="Arial"/>
          <w:szCs w:val="22"/>
          <w:vertAlign w:val="superscript"/>
        </w:rPr>
        <w:t>2</w:t>
      </w:r>
      <w:r w:rsidRPr="000B2063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Na pozemku bude vysázeno 34 stromů, 66 keřů, zatravněná plocha činí 1544 m</w:t>
      </w:r>
      <w:r w:rsidRPr="003F1777"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 xml:space="preserve">. Výsadba bude v oplocenkách. </w:t>
      </w:r>
    </w:p>
    <w:p w14:paraId="27C964CF" w14:textId="0340F432" w:rsidR="003F1777" w:rsidRPr="000B2063" w:rsidRDefault="003F1777" w:rsidP="00544B47">
      <w:pPr>
        <w:pStyle w:val="Odstavecseseznamem"/>
        <w:numPr>
          <w:ilvl w:val="0"/>
          <w:numId w:val="17"/>
        </w:numPr>
        <w:spacing w:before="240" w:after="0" w:line="240" w:lineRule="auto"/>
        <w:ind w:left="1418" w:hanging="567"/>
        <w:jc w:val="both"/>
        <w:rPr>
          <w:rFonts w:cs="Arial"/>
          <w:szCs w:val="22"/>
        </w:rPr>
      </w:pPr>
      <w:r w:rsidRPr="00544B47">
        <w:rPr>
          <w:rFonts w:cs="Arial"/>
          <w:b/>
          <w:bCs/>
          <w:szCs w:val="22"/>
        </w:rPr>
        <w:t>SO 02 Interakční prvek IP25,</w:t>
      </w:r>
      <w:r w:rsidRPr="000B2063">
        <w:rPr>
          <w:rFonts w:cs="Arial"/>
          <w:szCs w:val="22"/>
        </w:rPr>
        <w:t xml:space="preserve"> včetně následné péče - nově navržený interakční prvek na pozemku p.</w:t>
      </w:r>
      <w:r w:rsidR="00B459A4">
        <w:rPr>
          <w:rFonts w:cs="Arial"/>
          <w:szCs w:val="22"/>
        </w:rPr>
        <w:t xml:space="preserve"> </w:t>
      </w:r>
      <w:r w:rsidRPr="000B2063">
        <w:rPr>
          <w:rFonts w:cs="Arial"/>
          <w:szCs w:val="22"/>
        </w:rPr>
        <w:t>č. 759</w:t>
      </w:r>
      <w:r>
        <w:rPr>
          <w:rFonts w:cs="Arial"/>
          <w:szCs w:val="22"/>
        </w:rPr>
        <w:t xml:space="preserve"> v k.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Babolky</w:t>
      </w:r>
      <w:proofErr w:type="spellEnd"/>
      <w:r w:rsidRPr="000B2063">
        <w:rPr>
          <w:rFonts w:cs="Arial"/>
          <w:szCs w:val="22"/>
        </w:rPr>
        <w:t>, o výměře 1759 m</w:t>
      </w:r>
      <w:r w:rsidRPr="003F1777">
        <w:rPr>
          <w:rFonts w:cs="Arial"/>
          <w:szCs w:val="22"/>
          <w:vertAlign w:val="superscript"/>
        </w:rPr>
        <w:t>2</w:t>
      </w:r>
      <w:r w:rsidRPr="000B2063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Na pozemku bude vysázeno 28 stromů, 57 keřů, zatravněná plocha činí 1214 m</w:t>
      </w:r>
      <w:r w:rsidRPr="003F1777"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>.</w:t>
      </w:r>
    </w:p>
    <w:p w14:paraId="6F9BABA1" w14:textId="6DE4DE07" w:rsidR="003F1777" w:rsidRPr="000B2063" w:rsidRDefault="003F1777" w:rsidP="00544B47">
      <w:pPr>
        <w:pStyle w:val="Odstavecseseznamem"/>
        <w:numPr>
          <w:ilvl w:val="0"/>
          <w:numId w:val="17"/>
        </w:numPr>
        <w:spacing w:before="240" w:after="0" w:line="240" w:lineRule="auto"/>
        <w:ind w:left="1418" w:hanging="567"/>
        <w:jc w:val="both"/>
        <w:rPr>
          <w:rFonts w:cs="Arial"/>
          <w:szCs w:val="22"/>
        </w:rPr>
      </w:pPr>
      <w:r w:rsidRPr="00544B47">
        <w:rPr>
          <w:rFonts w:cs="Arial"/>
          <w:b/>
          <w:bCs/>
          <w:szCs w:val="22"/>
        </w:rPr>
        <w:t>SO 03 Interakční prvek IP26,</w:t>
      </w:r>
      <w:r w:rsidRPr="000B2063">
        <w:rPr>
          <w:rFonts w:cs="Arial"/>
          <w:szCs w:val="22"/>
        </w:rPr>
        <w:t xml:space="preserve"> včetně následné péče - nově navržený interakční prvek na pozemku p.</w:t>
      </w:r>
      <w:r w:rsidR="00B459A4">
        <w:rPr>
          <w:rFonts w:cs="Arial"/>
          <w:szCs w:val="22"/>
        </w:rPr>
        <w:t xml:space="preserve"> </w:t>
      </w:r>
      <w:r w:rsidRPr="000B2063">
        <w:rPr>
          <w:rFonts w:cs="Arial"/>
          <w:szCs w:val="22"/>
        </w:rPr>
        <w:t>č. 761</w:t>
      </w:r>
      <w:r>
        <w:rPr>
          <w:rFonts w:cs="Arial"/>
          <w:szCs w:val="22"/>
        </w:rPr>
        <w:t xml:space="preserve"> v k.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Babolky</w:t>
      </w:r>
      <w:proofErr w:type="spellEnd"/>
      <w:r w:rsidRPr="000B2063">
        <w:rPr>
          <w:rFonts w:cs="Arial"/>
          <w:szCs w:val="22"/>
        </w:rPr>
        <w:t>, o výměře 1375 m</w:t>
      </w:r>
      <w:r w:rsidRPr="003F1777">
        <w:rPr>
          <w:rFonts w:cs="Arial"/>
          <w:szCs w:val="22"/>
          <w:vertAlign w:val="superscript"/>
        </w:rPr>
        <w:t>2</w:t>
      </w:r>
      <w:r w:rsidRPr="000B2063">
        <w:rPr>
          <w:rFonts w:cs="Arial"/>
          <w:szCs w:val="22"/>
        </w:rPr>
        <w:t xml:space="preserve">. </w:t>
      </w:r>
      <w:r w:rsidR="00B459A4">
        <w:rPr>
          <w:rFonts w:cs="Arial"/>
          <w:szCs w:val="22"/>
        </w:rPr>
        <w:t>Na pozemku bude vysázeno 23 stromů, 56 keřů, zatravněná plocha činí 965 m</w:t>
      </w:r>
      <w:r w:rsidR="00B459A4" w:rsidRPr="00B459A4">
        <w:rPr>
          <w:rFonts w:cs="Arial"/>
          <w:szCs w:val="22"/>
          <w:vertAlign w:val="superscript"/>
        </w:rPr>
        <w:t>2</w:t>
      </w:r>
      <w:r w:rsidR="00B459A4">
        <w:rPr>
          <w:rFonts w:cs="Arial"/>
          <w:szCs w:val="22"/>
        </w:rPr>
        <w:t>.</w:t>
      </w:r>
    </w:p>
    <w:p w14:paraId="19169217" w14:textId="3FFB280D" w:rsidR="003F1777" w:rsidRPr="000B2063" w:rsidRDefault="003F1777" w:rsidP="00544B47">
      <w:pPr>
        <w:pStyle w:val="Odstavecseseznamem"/>
        <w:numPr>
          <w:ilvl w:val="0"/>
          <w:numId w:val="17"/>
        </w:numPr>
        <w:spacing w:before="240" w:after="0" w:line="240" w:lineRule="auto"/>
        <w:ind w:left="1418" w:hanging="567"/>
        <w:jc w:val="both"/>
        <w:rPr>
          <w:rFonts w:cs="Arial"/>
          <w:szCs w:val="22"/>
        </w:rPr>
      </w:pPr>
      <w:r w:rsidRPr="00544B47">
        <w:rPr>
          <w:rFonts w:cs="Arial"/>
          <w:b/>
          <w:bCs/>
          <w:szCs w:val="22"/>
        </w:rPr>
        <w:t>SO 04 Biokoridor LBK36</w:t>
      </w:r>
      <w:r w:rsidR="00544B47">
        <w:rPr>
          <w:rFonts w:cs="Arial"/>
          <w:b/>
          <w:bCs/>
          <w:szCs w:val="22"/>
        </w:rPr>
        <w:t xml:space="preserve"> -</w:t>
      </w:r>
      <w:r w:rsidRPr="00544B47">
        <w:rPr>
          <w:rFonts w:cs="Arial"/>
          <w:b/>
          <w:bCs/>
          <w:szCs w:val="22"/>
        </w:rPr>
        <w:t xml:space="preserve"> část,</w:t>
      </w:r>
      <w:r w:rsidRPr="000B2063">
        <w:rPr>
          <w:rFonts w:cs="Arial"/>
          <w:szCs w:val="22"/>
        </w:rPr>
        <w:t xml:space="preserve"> včetně následné péče - část biokoridoru na</w:t>
      </w:r>
      <w:r w:rsidR="00544B47">
        <w:rPr>
          <w:rFonts w:cs="Arial"/>
          <w:szCs w:val="22"/>
        </w:rPr>
        <w:t> </w:t>
      </w:r>
      <w:r w:rsidRPr="000B2063">
        <w:rPr>
          <w:rFonts w:cs="Arial"/>
          <w:szCs w:val="22"/>
        </w:rPr>
        <w:t xml:space="preserve">pozemcích </w:t>
      </w:r>
      <w:r>
        <w:rPr>
          <w:rFonts w:cs="Arial"/>
          <w:szCs w:val="22"/>
        </w:rPr>
        <w:t>p.</w:t>
      </w:r>
      <w:r w:rsidR="00B459A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č.</w:t>
      </w:r>
      <w:r w:rsidRPr="000B2063">
        <w:rPr>
          <w:rFonts w:cs="Arial"/>
          <w:szCs w:val="22"/>
        </w:rPr>
        <w:t xml:space="preserve"> 754 o výměře 4983 m</w:t>
      </w:r>
      <w:r w:rsidRPr="003F1777">
        <w:rPr>
          <w:rFonts w:cs="Arial"/>
          <w:szCs w:val="22"/>
          <w:vertAlign w:val="superscript"/>
        </w:rPr>
        <w:t>2</w:t>
      </w:r>
      <w:r w:rsidRPr="000B2063">
        <w:rPr>
          <w:rFonts w:cs="Arial"/>
          <w:szCs w:val="22"/>
        </w:rPr>
        <w:t xml:space="preserve"> a p.</w:t>
      </w:r>
      <w:r w:rsidR="00B459A4">
        <w:rPr>
          <w:rFonts w:cs="Arial"/>
          <w:szCs w:val="22"/>
        </w:rPr>
        <w:t xml:space="preserve"> </w:t>
      </w:r>
      <w:r w:rsidRPr="000B2063">
        <w:rPr>
          <w:rFonts w:cs="Arial"/>
          <w:szCs w:val="22"/>
        </w:rPr>
        <w:t>č. 751 o výměře 515 m</w:t>
      </w:r>
      <w:r w:rsidRPr="003F1777">
        <w:rPr>
          <w:rFonts w:cs="Arial"/>
          <w:szCs w:val="22"/>
          <w:vertAlign w:val="superscript"/>
        </w:rPr>
        <w:t>2</w:t>
      </w:r>
      <w:r w:rsidR="00B459A4">
        <w:rPr>
          <w:rFonts w:cs="Arial"/>
          <w:szCs w:val="22"/>
        </w:rPr>
        <w:t>. Na</w:t>
      </w:r>
      <w:r w:rsidR="00544B47">
        <w:rPr>
          <w:rFonts w:cs="Arial"/>
          <w:szCs w:val="22"/>
        </w:rPr>
        <w:t> </w:t>
      </w:r>
      <w:r w:rsidR="00B459A4">
        <w:rPr>
          <w:rFonts w:cs="Arial"/>
          <w:szCs w:val="22"/>
        </w:rPr>
        <w:t>pozemcích bude vysázeno 36 stromů, 190 keřů, zatravněná plocha činí 2175 m</w:t>
      </w:r>
      <w:r w:rsidR="00B459A4" w:rsidRPr="00B459A4">
        <w:rPr>
          <w:rFonts w:cs="Arial"/>
          <w:szCs w:val="22"/>
          <w:vertAlign w:val="superscript"/>
        </w:rPr>
        <w:t>2</w:t>
      </w:r>
    </w:p>
    <w:bookmarkEnd w:id="1"/>
    <w:p w14:paraId="28F9E596" w14:textId="7C8376D6" w:rsidR="00911160" w:rsidRPr="009B22A4" w:rsidRDefault="00911160" w:rsidP="00667726">
      <w:pPr>
        <w:pStyle w:val="l-L2"/>
        <w:spacing w:before="0" w:after="0" w:line="240" w:lineRule="auto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Default="00397219" w:rsidP="00667726">
      <w:pPr>
        <w:pStyle w:val="l-L2"/>
        <w:spacing w:before="0" w:after="0" w:line="240" w:lineRule="auto"/>
        <w:rPr>
          <w:rStyle w:val="l-L2Char"/>
        </w:rPr>
      </w:pPr>
    </w:p>
    <w:p w14:paraId="230B9B72" w14:textId="77777777" w:rsidR="00667726" w:rsidRPr="00397219" w:rsidRDefault="00667726" w:rsidP="00667726">
      <w:pPr>
        <w:pStyle w:val="l-L2"/>
        <w:spacing w:before="0" w:after="0" w:line="240" w:lineRule="auto"/>
        <w:rPr>
          <w:rStyle w:val="l-L2Char"/>
        </w:rPr>
      </w:pPr>
    </w:p>
    <w:p w14:paraId="41B2CF88" w14:textId="6A40D70F" w:rsidR="00531C6F" w:rsidRPr="00F32916" w:rsidRDefault="00B83F26" w:rsidP="00667726">
      <w:pPr>
        <w:pStyle w:val="l-L1"/>
        <w:spacing w:before="0" w:after="0" w:line="240" w:lineRule="auto"/>
      </w:pPr>
      <w:r w:rsidRPr="00D53952">
        <w:t>Specifikace díla</w:t>
      </w:r>
    </w:p>
    <w:p w14:paraId="6DC07CF4" w14:textId="7E1C0AE1" w:rsidR="00B83F26" w:rsidRPr="00654BF5" w:rsidRDefault="00B83F26" w:rsidP="00667726">
      <w:pPr>
        <w:pStyle w:val="l-L2"/>
        <w:numPr>
          <w:ilvl w:val="0"/>
          <w:numId w:val="13"/>
        </w:numPr>
        <w:spacing w:before="0" w:after="0" w:line="240" w:lineRule="auto"/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7DC8A4AB" w:rsidR="00B83F26" w:rsidRPr="00D519F9" w:rsidRDefault="00B83F26" w:rsidP="00667726">
      <w:pPr>
        <w:pStyle w:val="l-L2"/>
        <w:numPr>
          <w:ilvl w:val="0"/>
          <w:numId w:val="13"/>
        </w:numPr>
        <w:spacing w:before="0" w:after="0" w:line="240" w:lineRule="auto"/>
      </w:pPr>
      <w:r w:rsidRPr="00D519F9">
        <w:t>Zhotovitel se zavazuje, že dle ustanovení §</w:t>
      </w:r>
      <w:r w:rsidR="00554450" w:rsidRPr="00D519F9">
        <w:t> </w:t>
      </w:r>
      <w:r w:rsidR="00AC32B2" w:rsidRPr="00D519F9">
        <w:t>161</w:t>
      </w:r>
      <w:r w:rsidRPr="00D519F9">
        <w:t xml:space="preserve"> odst.</w:t>
      </w:r>
      <w:r w:rsidR="00554450" w:rsidRPr="00D519F9">
        <w:t> </w:t>
      </w:r>
      <w:r w:rsidR="00AC32B2" w:rsidRPr="00D519F9">
        <w:t>2</w:t>
      </w:r>
      <w:r w:rsidRPr="00D519F9">
        <w:t xml:space="preserve"> </w:t>
      </w:r>
      <w:r w:rsidR="00896610" w:rsidRPr="00D519F9">
        <w:t>SZ</w:t>
      </w:r>
      <w:r w:rsidR="0035249E" w:rsidRPr="00D519F9">
        <w:t xml:space="preserve"> </w:t>
      </w:r>
      <w:r w:rsidRPr="00D519F9">
        <w:t>bude vykonávat dozor</w:t>
      </w:r>
      <w:r w:rsidR="004E62D6" w:rsidRPr="00D519F9">
        <w:t xml:space="preserve"> projektanta</w:t>
      </w:r>
      <w:r w:rsidRPr="00D519F9">
        <w:t xml:space="preserve"> nad souladem zhotovované stavby specifikované v čl.</w:t>
      </w:r>
      <w:r w:rsidR="00554450" w:rsidRPr="00D519F9">
        <w:t> </w:t>
      </w:r>
      <w:r w:rsidRPr="00D519F9">
        <w:t>I. odst.</w:t>
      </w:r>
      <w:r w:rsidR="00554450" w:rsidRPr="00D519F9">
        <w:t> </w:t>
      </w:r>
      <w:r w:rsidR="007D089F" w:rsidRPr="00D519F9">
        <w:t>3</w:t>
      </w:r>
      <w:r w:rsidR="00994F06" w:rsidRPr="00D519F9">
        <w:t>.</w:t>
      </w:r>
      <w:r w:rsidRPr="00D519F9">
        <w:t xml:space="preserve"> této smlouvy s projektovou dokumentací po dobu výstavby</w:t>
      </w:r>
      <w:r w:rsidR="00015DD0" w:rsidRPr="00D519F9">
        <w:t xml:space="preserve"> (dále jen „plnění“)</w:t>
      </w:r>
      <w:r w:rsidRPr="00D519F9">
        <w:t xml:space="preserve">, a to zejména </w:t>
      </w:r>
      <w:r w:rsidR="00206E65" w:rsidRPr="00D519F9">
        <w:t xml:space="preserve">v rozsahu </w:t>
      </w:r>
      <w:r w:rsidRPr="00D519F9">
        <w:t>níže specifikovan</w:t>
      </w:r>
      <w:r w:rsidR="00206E65" w:rsidRPr="00D519F9">
        <w:t>ých činností</w:t>
      </w:r>
      <w:r w:rsidRPr="00D519F9">
        <w:t>:</w:t>
      </w:r>
    </w:p>
    <w:p w14:paraId="212AF404" w14:textId="4EB793EC" w:rsidR="00B83F26" w:rsidRPr="00D519F9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D519F9">
        <w:t xml:space="preserve">účastní se </w:t>
      </w:r>
      <w:r w:rsidR="002B171C" w:rsidRPr="00D519F9">
        <w:t xml:space="preserve">protokolárního </w:t>
      </w:r>
      <w:r w:rsidRPr="00D519F9">
        <w:t>předání staveniště zhotovitelem stavby specifikované v čl.</w:t>
      </w:r>
      <w:r w:rsidR="00D46FFD" w:rsidRPr="00D519F9">
        <w:t> </w:t>
      </w:r>
      <w:r w:rsidRPr="00D519F9">
        <w:t>I. odst.</w:t>
      </w:r>
      <w:r w:rsidR="00D46FFD" w:rsidRPr="00D519F9">
        <w:t> </w:t>
      </w:r>
      <w:r w:rsidR="007D089F" w:rsidRPr="00D519F9">
        <w:t>3</w:t>
      </w:r>
      <w:r w:rsidR="00994F06" w:rsidRPr="00D519F9">
        <w:t>.</w:t>
      </w:r>
      <w:r w:rsidRPr="00D519F9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72D48D74" w:rsidR="00B83F26" w:rsidRPr="00D519F9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D519F9">
        <w:t>dohlíží na soulad zhotovované stavby s projektovou dokumentací, která je podkladem pro</w:t>
      </w:r>
      <w:r w:rsidR="00630C5C">
        <w:t> </w:t>
      </w:r>
      <w:r w:rsidRPr="00D519F9">
        <w:t>jeho činnost, sleduje a kontroluje postup výstavby ve vztahu k</w:t>
      </w:r>
      <w:r w:rsidR="002B171C" w:rsidRPr="00D519F9">
        <w:t xml:space="preserve"> této </w:t>
      </w:r>
      <w:r w:rsidRPr="00D519F9">
        <w:t>dokumentaci,</w:t>
      </w:r>
    </w:p>
    <w:p w14:paraId="34CBD067" w14:textId="77777777" w:rsidR="00EF1A5F" w:rsidRPr="00D519F9" w:rsidRDefault="00EF1A5F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D519F9">
        <w:t>sleduje postup výstavby z technického hlediska a z hlediska časového plánu výstavby</w:t>
      </w:r>
    </w:p>
    <w:p w14:paraId="0A06C75A" w14:textId="2C2DBA57" w:rsidR="00B83F26" w:rsidRPr="00D519F9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D519F9">
        <w:t>účastní se bezodkladně na výzvu objednatele či zhotovitele stavby</w:t>
      </w:r>
      <w:r w:rsidR="00EF1A5F" w:rsidRPr="00D519F9">
        <w:t xml:space="preserve"> kontrolních dnů, zásadních zkoušek </w:t>
      </w:r>
      <w:r w:rsidRPr="00D519F9">
        <w:t>a měření a vydává stanoviska k jejich výsledkům</w:t>
      </w:r>
      <w:r w:rsidR="001F43CE" w:rsidRPr="00D519F9">
        <w:t>,</w:t>
      </w:r>
    </w:p>
    <w:p w14:paraId="411A898F" w14:textId="4DB36825" w:rsidR="00B83F26" w:rsidRPr="00D519F9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D519F9">
        <w:t>podává nutná vysvětlení k dokumentaci stavby, která je podkladem pro výkon autorského dozoru a spolupracuje při odstraňování důsledků nedostatků, zjištěných v</w:t>
      </w:r>
      <w:r w:rsidR="005F7D43" w:rsidRPr="00D519F9">
        <w:t> </w:t>
      </w:r>
      <w:r w:rsidRPr="00D519F9">
        <w:t>této</w:t>
      </w:r>
      <w:r w:rsidR="005F7D43" w:rsidRPr="00D519F9">
        <w:t> </w:t>
      </w:r>
      <w:r w:rsidRPr="00D519F9">
        <w:t>dokumentaci,</w:t>
      </w:r>
    </w:p>
    <w:p w14:paraId="321BFFD4" w14:textId="18991988" w:rsidR="00EF1A5F" w:rsidRPr="00D519F9" w:rsidRDefault="00EF1A5F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D519F9">
        <w:t>podává vyjádření k požadavkům na větší množství výrobků a výkonů oproti projektové dokumentaci</w:t>
      </w:r>
      <w:r w:rsidR="002B171C" w:rsidRPr="00D519F9">
        <w:t>,</w:t>
      </w:r>
    </w:p>
    <w:p w14:paraId="7732296D" w14:textId="77777777" w:rsidR="00B83F26" w:rsidRPr="00D519F9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D519F9">
        <w:t>navrhuje změny a odchylky ke zlepšení řešení projektu, vznikající ve fázi realizace projektu,</w:t>
      </w:r>
    </w:p>
    <w:p w14:paraId="5A6C2A64" w14:textId="71525705" w:rsidR="00B83F26" w:rsidRPr="00D519F9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D519F9">
        <w:lastRenderedPageBreak/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D519F9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D519F9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12C971F4" w:rsidR="00B83F26" w:rsidRPr="00D519F9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D519F9">
        <w:t>spolupracuje</w:t>
      </w:r>
      <w:r w:rsidR="00EF1A5F" w:rsidRPr="00D519F9">
        <w:t xml:space="preserve"> </w:t>
      </w:r>
      <w:r w:rsidRPr="00D519F9">
        <w:t>s ostatními partnery</w:t>
      </w:r>
      <w:r w:rsidR="00EF1A5F" w:rsidRPr="00D519F9">
        <w:t xml:space="preserve"> </w:t>
      </w:r>
      <w:r w:rsidRPr="00D519F9">
        <w:t>(objednatel, zhotovitel</w:t>
      </w:r>
      <w:r w:rsidR="00EF1A5F" w:rsidRPr="00D519F9">
        <w:t xml:space="preserve"> </w:t>
      </w:r>
      <w:r w:rsidRPr="00D519F9">
        <w:t>stavby,</w:t>
      </w:r>
      <w:r w:rsidR="00EF1A5F" w:rsidRPr="00D519F9">
        <w:t xml:space="preserve"> </w:t>
      </w:r>
      <w:r w:rsidRPr="00D519F9">
        <w:t>při operativním řešení problémů vzniklých na</w:t>
      </w:r>
      <w:r w:rsidR="005F7D43" w:rsidRPr="00D519F9">
        <w:t> </w:t>
      </w:r>
      <w:r w:rsidRPr="00D519F9">
        <w:t>stavbě,</w:t>
      </w:r>
    </w:p>
    <w:p w14:paraId="4AE0A441" w14:textId="69B9F7E5" w:rsidR="00B83F26" w:rsidRPr="00D519F9" w:rsidRDefault="00B83F26" w:rsidP="00667726">
      <w:pPr>
        <w:pStyle w:val="l-L2"/>
        <w:numPr>
          <w:ilvl w:val="1"/>
          <w:numId w:val="14"/>
        </w:numPr>
        <w:spacing w:before="0" w:after="0" w:line="240" w:lineRule="auto"/>
        <w:rPr>
          <w:strike/>
        </w:rPr>
      </w:pPr>
      <w:r w:rsidRPr="00D519F9">
        <w:t xml:space="preserve">sleduje dodržování podmínek pro stavbu tak, jak jsou určeny </w:t>
      </w:r>
      <w:r w:rsidR="002B171C" w:rsidRPr="00D519F9">
        <w:t xml:space="preserve">ve </w:t>
      </w:r>
      <w:r w:rsidRPr="00D519F9">
        <w:t>stanovis</w:t>
      </w:r>
      <w:r w:rsidR="002B171C" w:rsidRPr="00D519F9">
        <w:t>cích</w:t>
      </w:r>
      <w:r w:rsidRPr="00D519F9">
        <w:t xml:space="preserve"> dotčených účastníků výstavby, </w:t>
      </w:r>
    </w:p>
    <w:p w14:paraId="270A2C94" w14:textId="1232E2F1" w:rsidR="00B83F26" w:rsidRPr="00D519F9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D519F9">
        <w:t>svá zjištění, požadavky a návrhy zaznamenává do stavebního deníku,</w:t>
      </w:r>
    </w:p>
    <w:p w14:paraId="4C5CF0DF" w14:textId="52C2F9C8" w:rsidR="00B83F26" w:rsidRPr="00D519F9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D519F9">
        <w:t>aktivně se zúčastní přebírání stavby objednatelem od zhotovitele stavby specifikované v čl.</w:t>
      </w:r>
      <w:r w:rsidR="00281042" w:rsidRPr="00D519F9">
        <w:t> </w:t>
      </w:r>
      <w:r w:rsidRPr="00D519F9">
        <w:t>I. odst.</w:t>
      </w:r>
      <w:r w:rsidR="00281042" w:rsidRPr="00D519F9">
        <w:t> </w:t>
      </w:r>
      <w:r w:rsidR="007D089F" w:rsidRPr="00D519F9">
        <w:t>3</w:t>
      </w:r>
      <w:r w:rsidR="00994F06" w:rsidRPr="00D519F9">
        <w:t>.</w:t>
      </w:r>
      <w:r w:rsidRPr="00D519F9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 w:rsidRPr="00D519F9">
        <w:t> </w:t>
      </w:r>
      <w:r w:rsidRPr="00D519F9">
        <w:t>nalezených vadách a nedodělcích a jeho předání objednateli,</w:t>
      </w:r>
    </w:p>
    <w:p w14:paraId="24918350" w14:textId="36F25FEA" w:rsidR="00B83F26" w:rsidRPr="00D519F9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D519F9">
        <w:t>aktivně se účastní</w:t>
      </w:r>
      <w:r w:rsidR="00D519F9" w:rsidRPr="00D519F9">
        <w:t xml:space="preserve"> kontrolních dnů:</w:t>
      </w:r>
    </w:p>
    <w:p w14:paraId="1446499A" w14:textId="4853D654" w:rsidR="00D519F9" w:rsidRPr="00D519F9" w:rsidRDefault="00D519F9" w:rsidP="00D519F9">
      <w:pPr>
        <w:pStyle w:val="l-L2"/>
        <w:numPr>
          <w:ilvl w:val="0"/>
          <w:numId w:val="18"/>
        </w:numPr>
        <w:spacing w:before="0" w:after="0" w:line="240" w:lineRule="auto"/>
      </w:pPr>
      <w:r w:rsidRPr="00D519F9">
        <w:t>vytyčení porostu určeného ke kácení v části LBK36</w:t>
      </w:r>
    </w:p>
    <w:p w14:paraId="1247D08E" w14:textId="69691CB6" w:rsidR="00D519F9" w:rsidRPr="00D519F9" w:rsidRDefault="00D519F9" w:rsidP="00D519F9">
      <w:pPr>
        <w:pStyle w:val="l-L2"/>
        <w:numPr>
          <w:ilvl w:val="0"/>
          <w:numId w:val="18"/>
        </w:numPr>
        <w:spacing w:before="0" w:after="0" w:line="240" w:lineRule="auto"/>
      </w:pPr>
      <w:r w:rsidRPr="00D519F9">
        <w:t>po provedení přípravy půdy před výsadbou</w:t>
      </w:r>
    </w:p>
    <w:p w14:paraId="2E67A622" w14:textId="2ED74629" w:rsidR="00D519F9" w:rsidRPr="00D519F9" w:rsidRDefault="00D519F9" w:rsidP="00D519F9">
      <w:pPr>
        <w:pStyle w:val="l-L2"/>
        <w:numPr>
          <w:ilvl w:val="0"/>
          <w:numId w:val="18"/>
        </w:numPr>
        <w:spacing w:before="0" w:after="0" w:line="240" w:lineRule="auto"/>
      </w:pPr>
      <w:r w:rsidRPr="00D519F9">
        <w:t>po umístění oplocenek</w:t>
      </w:r>
    </w:p>
    <w:p w14:paraId="31D64136" w14:textId="053BAF0C" w:rsidR="00D519F9" w:rsidRPr="00D519F9" w:rsidRDefault="00D519F9" w:rsidP="00D519F9">
      <w:pPr>
        <w:pStyle w:val="l-L2"/>
        <w:numPr>
          <w:ilvl w:val="0"/>
          <w:numId w:val="18"/>
        </w:numPr>
        <w:spacing w:before="0" w:after="0" w:line="240" w:lineRule="auto"/>
      </w:pPr>
      <w:r w:rsidRPr="00D519F9">
        <w:t>kontrola sazenic před výsadbou</w:t>
      </w:r>
    </w:p>
    <w:p w14:paraId="536BACA3" w14:textId="28EE4CCE" w:rsidR="00D519F9" w:rsidRPr="00D519F9" w:rsidRDefault="00D519F9" w:rsidP="00D519F9">
      <w:pPr>
        <w:pStyle w:val="l-L2"/>
        <w:numPr>
          <w:ilvl w:val="0"/>
          <w:numId w:val="18"/>
        </w:numPr>
        <w:spacing w:before="0" w:after="0" w:line="240" w:lineRule="auto"/>
      </w:pPr>
      <w:r w:rsidRPr="00D519F9">
        <w:t>kontrola sazenic po výsadbě (uvázání, ochrana, zastřižení)</w:t>
      </w:r>
    </w:p>
    <w:p w14:paraId="381BF5BC" w14:textId="388A3105" w:rsidR="00D519F9" w:rsidRPr="00D519F9" w:rsidRDefault="00D519F9" w:rsidP="00D519F9">
      <w:pPr>
        <w:pStyle w:val="l-L2"/>
        <w:numPr>
          <w:ilvl w:val="0"/>
          <w:numId w:val="18"/>
        </w:numPr>
        <w:spacing w:before="0" w:after="0" w:line="240" w:lineRule="auto"/>
      </w:pPr>
      <w:r w:rsidRPr="00D519F9">
        <w:t>převzetí výsadeb před prováděním následné péče</w:t>
      </w:r>
    </w:p>
    <w:p w14:paraId="7D6767E7" w14:textId="77777777" w:rsidR="00B83F26" w:rsidRPr="00D519F9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D519F9">
        <w:t>odsouhlasení dokumentace skutečného provedení stavby,</w:t>
      </w:r>
    </w:p>
    <w:p w14:paraId="030A12F1" w14:textId="147632D8" w:rsidR="00B83F26" w:rsidRPr="00D519F9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D519F9">
        <w:t>po dokončení stavby zhotovitel vyhotoví zprávu o souladu zhotovené stavby s ověřenou projektovou dokumentací.</w:t>
      </w:r>
    </w:p>
    <w:p w14:paraId="05642B71" w14:textId="49A76442" w:rsidR="003C6AA3" w:rsidRPr="00D519F9" w:rsidRDefault="00B83F26" w:rsidP="00667726">
      <w:pPr>
        <w:pStyle w:val="l-L2"/>
        <w:numPr>
          <w:ilvl w:val="0"/>
          <w:numId w:val="13"/>
        </w:numPr>
        <w:spacing w:before="0" w:after="0" w:line="240" w:lineRule="auto"/>
      </w:pPr>
      <w:r w:rsidRPr="00D519F9">
        <w:t xml:space="preserve">Datum a čas výkonu dozoru </w:t>
      </w:r>
      <w:r w:rsidR="004E62D6" w:rsidRPr="00D519F9">
        <w:t xml:space="preserve">projektanta </w:t>
      </w:r>
      <w:r w:rsidRPr="00D519F9">
        <w:t>na stavbě zaznamenává zhotovitel do stavebního deníku.</w:t>
      </w:r>
    </w:p>
    <w:p w14:paraId="07F13F8E" w14:textId="32FD1B92" w:rsidR="003C6AA3" w:rsidRDefault="00B83F26" w:rsidP="00667726">
      <w:pPr>
        <w:pStyle w:val="l-L2"/>
        <w:numPr>
          <w:ilvl w:val="0"/>
          <w:numId w:val="13"/>
        </w:numPr>
        <w:spacing w:before="0" w:after="0" w:line="240" w:lineRule="auto"/>
      </w:pPr>
      <w:r w:rsidRPr="00D519F9">
        <w:t xml:space="preserve">Součástí výkonu dozoru </w:t>
      </w:r>
      <w:r w:rsidR="004E62D6" w:rsidRPr="00D519F9">
        <w:t xml:space="preserve">projektanta </w:t>
      </w:r>
      <w:r w:rsidR="003511BE" w:rsidRPr="00D519F9">
        <w:t xml:space="preserve">je </w:t>
      </w:r>
      <w:r w:rsidRPr="00D519F9">
        <w:t>provád</w:t>
      </w:r>
      <w:r w:rsidR="00B705C1" w:rsidRPr="00D519F9">
        <w:t>ě</w:t>
      </w:r>
      <w:r w:rsidRPr="00D519F9">
        <w:t xml:space="preserve">ní </w:t>
      </w:r>
      <w:r w:rsidR="002B171C" w:rsidRPr="00D519F9">
        <w:t xml:space="preserve">nezbytných </w:t>
      </w:r>
      <w:r w:rsidR="00EC3260" w:rsidRPr="00D519F9">
        <w:t xml:space="preserve">drobných </w:t>
      </w:r>
      <w:r w:rsidR="003511BE" w:rsidRPr="00D519F9">
        <w:t xml:space="preserve">úprav </w:t>
      </w:r>
      <w:r w:rsidRPr="00D519F9">
        <w:t>v projektové dokumentaci,</w:t>
      </w:r>
      <w:r w:rsidR="008A1D16" w:rsidRPr="00D519F9">
        <w:t xml:space="preserve"> které musí být schváleny objednatelem</w:t>
      </w:r>
      <w:r w:rsidR="008A1D16" w:rsidRPr="00D53952">
        <w:t>.</w:t>
      </w:r>
    </w:p>
    <w:p w14:paraId="4289D21C" w14:textId="319245DE" w:rsidR="003C6AA3" w:rsidRDefault="00EC3260" w:rsidP="00667726">
      <w:pPr>
        <w:pStyle w:val="l-L2"/>
        <w:numPr>
          <w:ilvl w:val="0"/>
          <w:numId w:val="13"/>
        </w:numPr>
        <w:spacing w:before="0" w:after="0" w:line="240" w:lineRule="auto"/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2" w:name="_Hlk16163141"/>
    </w:p>
    <w:p w14:paraId="5F732522" w14:textId="213C3EC2" w:rsidR="009C6A12" w:rsidRPr="009C6A12" w:rsidRDefault="009B4D42" w:rsidP="00667726">
      <w:pPr>
        <w:pStyle w:val="l-L2"/>
        <w:numPr>
          <w:ilvl w:val="0"/>
          <w:numId w:val="13"/>
        </w:numPr>
        <w:spacing w:before="0" w:after="0" w:line="240" w:lineRule="auto"/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Pr="00602491">
        <w:rPr>
          <w:i/>
          <w:iCs/>
        </w:rPr>
        <w:t>výběrového</w:t>
      </w:r>
      <w:r w:rsidRPr="00602491">
        <w:t xml:space="preserve"> ř</w:t>
      </w:r>
      <w:r w:rsidRPr="00397219">
        <w:t>ízení veřejné zakáz</w:t>
      </w:r>
      <w:r w:rsidR="002E2A05" w:rsidRPr="00397219">
        <w:t>ky</w:t>
      </w:r>
      <w:r w:rsidRPr="00397219">
        <w:t xml:space="preserve"> na realizaci </w:t>
      </w:r>
      <w:r w:rsidR="000A31FE">
        <w:t xml:space="preserve">výsadeb </w:t>
      </w:r>
      <w:r w:rsidR="00602491">
        <w:t>„</w:t>
      </w:r>
      <w:r w:rsidR="000A31FE">
        <w:rPr>
          <w:rStyle w:val="l-L2Char"/>
          <w:rFonts w:cs="Arial"/>
          <w:szCs w:val="22"/>
        </w:rPr>
        <w:t xml:space="preserve">Výsadba IP24, IP25, IP26 v k. </w:t>
      </w:r>
      <w:proofErr w:type="spellStart"/>
      <w:r w:rsidR="000A31FE">
        <w:rPr>
          <w:rStyle w:val="l-L2Char"/>
          <w:rFonts w:cs="Arial"/>
          <w:szCs w:val="22"/>
        </w:rPr>
        <w:t>ú.</w:t>
      </w:r>
      <w:proofErr w:type="spellEnd"/>
      <w:r w:rsidR="000A31FE">
        <w:rPr>
          <w:rStyle w:val="l-L2Char"/>
          <w:rFonts w:cs="Arial"/>
          <w:szCs w:val="22"/>
        </w:rPr>
        <w:t xml:space="preserve"> </w:t>
      </w:r>
      <w:proofErr w:type="spellStart"/>
      <w:r w:rsidR="000A31FE">
        <w:rPr>
          <w:rStyle w:val="l-L2Char"/>
          <w:rFonts w:cs="Arial"/>
          <w:szCs w:val="22"/>
        </w:rPr>
        <w:t>Babolky</w:t>
      </w:r>
      <w:proofErr w:type="spellEnd"/>
      <w:r w:rsidR="00602491">
        <w:t>“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2"/>
    </w:p>
    <w:p w14:paraId="116546FA" w14:textId="77777777" w:rsidR="00667726" w:rsidRDefault="00667726" w:rsidP="00667726">
      <w:pPr>
        <w:pStyle w:val="l-L2"/>
        <w:spacing w:before="0" w:after="0" w:line="240" w:lineRule="auto"/>
      </w:pPr>
    </w:p>
    <w:p w14:paraId="1EF1005C" w14:textId="77777777" w:rsidR="001B0E12" w:rsidRDefault="001B0E12" w:rsidP="00667726">
      <w:pPr>
        <w:pStyle w:val="l-L2"/>
        <w:spacing w:before="0" w:after="0" w:line="240" w:lineRule="auto"/>
      </w:pPr>
    </w:p>
    <w:p w14:paraId="395FEFEA" w14:textId="0E67C728" w:rsidR="00B83F26" w:rsidRPr="00D53952" w:rsidRDefault="00B83F26" w:rsidP="00667726">
      <w:pPr>
        <w:pStyle w:val="l-L1"/>
        <w:spacing w:before="0" w:after="0" w:line="240" w:lineRule="auto"/>
      </w:pPr>
      <w:r w:rsidRPr="00D53952">
        <w:t>Doba plnění</w:t>
      </w:r>
    </w:p>
    <w:p w14:paraId="49FFD507" w14:textId="4D276070" w:rsidR="00015DD0" w:rsidRDefault="00B83F26" w:rsidP="00667726">
      <w:pPr>
        <w:pStyle w:val="l-L2"/>
        <w:numPr>
          <w:ilvl w:val="0"/>
          <w:numId w:val="12"/>
        </w:numPr>
        <w:spacing w:before="0" w:after="0" w:line="240" w:lineRule="auto"/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</w:t>
      </w:r>
      <w:r w:rsidR="000A31FE">
        <w:t>až</w:t>
      </w:r>
      <w:r w:rsidR="00630C5C">
        <w:t> </w:t>
      </w:r>
      <w:r w:rsidR="000A31FE">
        <w:t>do doby odstranění vad a nedodělků zjištěných při předání dokončených výsadeb</w:t>
      </w:r>
      <w:r w:rsidR="00716FB1">
        <w:t>. V</w:t>
      </w:r>
      <w:r w:rsidR="00630C5C">
        <w:t> 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>zjištění vad nebo nedodělku při</w:t>
      </w:r>
      <w:r w:rsidR="00667726">
        <w:t> </w:t>
      </w:r>
      <w:r w:rsidR="00716FB1">
        <w:t xml:space="preserve">předání stavby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667726">
      <w:pPr>
        <w:pStyle w:val="l-L2"/>
        <w:spacing w:before="0" w:after="0" w:line="240" w:lineRule="auto"/>
      </w:pPr>
    </w:p>
    <w:p w14:paraId="21DD99A8" w14:textId="77777777" w:rsidR="00630C5C" w:rsidRDefault="00630C5C" w:rsidP="00667726">
      <w:pPr>
        <w:pStyle w:val="l-L2"/>
        <w:spacing w:before="0" w:after="0" w:line="240" w:lineRule="auto"/>
      </w:pPr>
    </w:p>
    <w:p w14:paraId="6611D943" w14:textId="492BBC2D" w:rsidR="00015DD0" w:rsidRDefault="002F28FF" w:rsidP="00667726">
      <w:pPr>
        <w:pStyle w:val="l-L1"/>
        <w:spacing w:before="0" w:after="0" w:line="240" w:lineRule="auto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667726">
      <w:pPr>
        <w:pStyle w:val="l-L2"/>
        <w:numPr>
          <w:ilvl w:val="0"/>
          <w:numId w:val="11"/>
        </w:numPr>
        <w:spacing w:before="0" w:after="0" w:line="240" w:lineRule="auto"/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Default="009C6A12" w:rsidP="00667726">
      <w:pPr>
        <w:pStyle w:val="l-L2"/>
        <w:spacing w:before="0" w:after="0" w:line="240" w:lineRule="auto"/>
      </w:pPr>
    </w:p>
    <w:p w14:paraId="0A07C55C" w14:textId="77777777" w:rsidR="001B0E12" w:rsidRDefault="001B0E12" w:rsidP="00667726">
      <w:pPr>
        <w:pStyle w:val="l-L2"/>
        <w:spacing w:before="0" w:after="0" w:line="240" w:lineRule="auto"/>
      </w:pPr>
    </w:p>
    <w:p w14:paraId="1C8ACEE4" w14:textId="771065F2" w:rsidR="00B83F26" w:rsidRDefault="00B83F26" w:rsidP="00667726">
      <w:pPr>
        <w:pStyle w:val="l-L1"/>
        <w:spacing w:before="0" w:after="0" w:line="240" w:lineRule="auto"/>
      </w:pPr>
      <w:r w:rsidRPr="00D53952">
        <w:t>Práva a povinnosti</w:t>
      </w:r>
    </w:p>
    <w:p w14:paraId="1D82CE56" w14:textId="77777777" w:rsidR="00987BFF" w:rsidRPr="00395879" w:rsidRDefault="00B83F26" w:rsidP="00667726">
      <w:pPr>
        <w:pStyle w:val="l-L2"/>
        <w:numPr>
          <w:ilvl w:val="0"/>
          <w:numId w:val="8"/>
        </w:numPr>
        <w:spacing w:before="0" w:after="0" w:line="240" w:lineRule="auto"/>
      </w:pPr>
      <w:r w:rsidRPr="00395879">
        <w:t>Povinnosti objednatele:</w:t>
      </w:r>
    </w:p>
    <w:p w14:paraId="0A0FED5E" w14:textId="4EAE8B76" w:rsidR="00B83F26" w:rsidRPr="00987BFF" w:rsidRDefault="00B83F26" w:rsidP="00667726">
      <w:pPr>
        <w:pStyle w:val="l-L2"/>
        <w:numPr>
          <w:ilvl w:val="1"/>
          <w:numId w:val="10"/>
        </w:numPr>
        <w:spacing w:before="0" w:after="0" w:line="240" w:lineRule="auto"/>
      </w:pPr>
      <w:r w:rsidRPr="00987BFF">
        <w:rPr>
          <w:rFonts w:cs="Arial"/>
          <w:szCs w:val="22"/>
        </w:rPr>
        <w:lastRenderedPageBreak/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667726">
      <w:pPr>
        <w:pStyle w:val="l-L2"/>
        <w:numPr>
          <w:ilvl w:val="1"/>
          <w:numId w:val="10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667726">
      <w:pPr>
        <w:pStyle w:val="l-L2"/>
        <w:numPr>
          <w:ilvl w:val="1"/>
          <w:numId w:val="10"/>
        </w:numPr>
        <w:spacing w:before="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667726">
      <w:pPr>
        <w:pStyle w:val="l-L2"/>
        <w:numPr>
          <w:ilvl w:val="1"/>
          <w:numId w:val="10"/>
        </w:numPr>
        <w:spacing w:before="0" w:after="0" w:line="240" w:lineRule="auto"/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667726">
      <w:pPr>
        <w:pStyle w:val="l-L2"/>
        <w:numPr>
          <w:ilvl w:val="0"/>
          <w:numId w:val="8"/>
        </w:numPr>
        <w:spacing w:before="0" w:after="0" w:line="240" w:lineRule="auto"/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667726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667726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667726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667726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667726">
      <w:pPr>
        <w:pStyle w:val="l-L2"/>
        <w:numPr>
          <w:ilvl w:val="1"/>
          <w:numId w:val="9"/>
        </w:numPr>
        <w:spacing w:before="0" w:after="0" w:line="240" w:lineRule="auto"/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667726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667726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1D45777" w:rsidR="00653A09" w:rsidRDefault="00DC05CC" w:rsidP="00667726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5765A8C5" w:rsidRPr="00602491">
        <w:rPr>
          <w:rFonts w:cs="Arial"/>
          <w:i/>
          <w:iCs/>
        </w:rPr>
        <w:t>výběrovém</w:t>
      </w:r>
      <w:r w:rsidR="00653A09" w:rsidRPr="5170DEB6">
        <w:rPr>
          <w:rFonts w:cs="Arial"/>
        </w:rPr>
        <w:t xml:space="preserve"> řízení na realizaci stavby.</w:t>
      </w:r>
    </w:p>
    <w:p w14:paraId="1EE1C9F0" w14:textId="77777777" w:rsidR="00F16EEB" w:rsidRDefault="00F16EEB" w:rsidP="00667726">
      <w:pPr>
        <w:pStyle w:val="l-L2"/>
        <w:spacing w:before="0" w:after="0" w:line="240" w:lineRule="auto"/>
        <w:rPr>
          <w:rFonts w:cs="Arial"/>
          <w:szCs w:val="22"/>
        </w:rPr>
      </w:pPr>
    </w:p>
    <w:p w14:paraId="6C32292C" w14:textId="77777777" w:rsidR="00667726" w:rsidRPr="00F16EEB" w:rsidRDefault="00667726" w:rsidP="00667726">
      <w:pPr>
        <w:pStyle w:val="l-L2"/>
        <w:spacing w:before="0" w:after="0" w:line="240" w:lineRule="auto"/>
        <w:rPr>
          <w:rFonts w:cs="Arial"/>
          <w:szCs w:val="22"/>
        </w:rPr>
      </w:pPr>
    </w:p>
    <w:p w14:paraId="4B3E1838" w14:textId="77777777" w:rsidR="009C0CA5" w:rsidRPr="00BB4EEA" w:rsidRDefault="009C0CA5" w:rsidP="00667726">
      <w:pPr>
        <w:pStyle w:val="l-L1"/>
        <w:spacing w:before="0" w:after="0" w:line="240" w:lineRule="auto"/>
      </w:pPr>
      <w:r w:rsidRPr="00BB4EEA">
        <w:t>Pojištění zhotovitele</w:t>
      </w:r>
    </w:p>
    <w:p w14:paraId="4B611416" w14:textId="3EC2FC92" w:rsidR="00E75F8D" w:rsidRDefault="009C0CA5" w:rsidP="00667726">
      <w:pPr>
        <w:pStyle w:val="l-L2"/>
        <w:numPr>
          <w:ilvl w:val="0"/>
          <w:numId w:val="7"/>
        </w:numPr>
        <w:spacing w:before="0" w:after="0" w:line="240" w:lineRule="auto"/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0A31FE">
        <w:t>100 000</w:t>
      </w:r>
      <w:r w:rsidR="00C76848">
        <w:t> </w:t>
      </w:r>
      <w:r w:rsidR="00E36A32" w:rsidRPr="00F16EEB">
        <w:t xml:space="preserve">Kč.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Default="00C76848" w:rsidP="00667726">
      <w:pPr>
        <w:pStyle w:val="l-L2"/>
        <w:spacing w:before="0" w:after="0" w:line="240" w:lineRule="auto"/>
      </w:pPr>
    </w:p>
    <w:p w14:paraId="0CFB8C42" w14:textId="77777777" w:rsidR="0074285E" w:rsidRPr="00F16EEB" w:rsidRDefault="0074285E" w:rsidP="00667726">
      <w:pPr>
        <w:pStyle w:val="l-L2"/>
        <w:spacing w:before="0" w:after="0" w:line="240" w:lineRule="auto"/>
      </w:pPr>
    </w:p>
    <w:p w14:paraId="34ECE874" w14:textId="03E37062" w:rsidR="00B83F26" w:rsidRPr="00D53952" w:rsidRDefault="00B83F26" w:rsidP="00667726">
      <w:pPr>
        <w:pStyle w:val="l-L1"/>
        <w:spacing w:before="0" w:after="0" w:line="240" w:lineRule="auto"/>
      </w:pPr>
      <w:r w:rsidRPr="00D53952">
        <w:t xml:space="preserve">Cena předmětu </w:t>
      </w:r>
      <w:r w:rsidR="0085556B" w:rsidRPr="00D53952">
        <w:t>díla</w:t>
      </w:r>
    </w:p>
    <w:p w14:paraId="4FE3AEF2" w14:textId="09D80D17" w:rsidR="005C23CD" w:rsidRDefault="00254993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630C5C">
        <w:t xml:space="preserve">Objednatel se zavazuje zaplatit zhotoviteli za </w:t>
      </w:r>
      <w:r w:rsidR="006C3E38" w:rsidRPr="00630C5C">
        <w:t xml:space="preserve">řádné </w:t>
      </w:r>
      <w:r w:rsidRPr="00630C5C">
        <w:t>provedení díla cenu ve výš</w:t>
      </w:r>
      <w:r w:rsidR="00CE7F49" w:rsidRPr="00630C5C">
        <w:t>i</w:t>
      </w:r>
      <w:r w:rsidR="005C23CD" w:rsidRPr="00630C5C">
        <w:t xml:space="preserve"> </w:t>
      </w:r>
      <w:r w:rsidR="000214CC" w:rsidRPr="00630C5C">
        <w:t>61 262,30 Kč</w:t>
      </w:r>
      <w:r w:rsidRPr="00630C5C">
        <w:t xml:space="preserve"> </w:t>
      </w:r>
      <w:r w:rsidR="000B3EB9" w:rsidRPr="00630C5C">
        <w:t>včetně</w:t>
      </w:r>
      <w:r w:rsidRPr="00630C5C">
        <w:t xml:space="preserve"> DPH </w:t>
      </w:r>
      <w:r w:rsidR="007C5C7F" w:rsidRPr="00630C5C">
        <w:t>(slovy:</w:t>
      </w:r>
      <w:r w:rsidR="00AF083C" w:rsidRPr="00630C5C">
        <w:t xml:space="preserve"> </w:t>
      </w:r>
      <w:proofErr w:type="spellStart"/>
      <w:r w:rsidR="000214CC" w:rsidRPr="00630C5C">
        <w:t>šedesátjedentisícdvěstěšedesátdvakorun</w:t>
      </w:r>
      <w:proofErr w:type="spellEnd"/>
      <w:r w:rsidR="000214CC" w:rsidRPr="00630C5C">
        <w:t xml:space="preserve"> </w:t>
      </w:r>
      <w:r w:rsidR="005C23CD" w:rsidRPr="00630C5C">
        <w:t>českých</w:t>
      </w:r>
      <w:r w:rsidR="00F52DD8" w:rsidRPr="00630C5C">
        <w:t xml:space="preserve"> 30/100</w:t>
      </w:r>
      <w:r w:rsidR="007C5C7F" w:rsidRPr="00630C5C">
        <w:t xml:space="preserve">). Výše </w:t>
      </w:r>
      <w:r w:rsidRPr="00630C5C">
        <w:t xml:space="preserve">ceny díla </w:t>
      </w:r>
      <w:r w:rsidR="007C5C7F" w:rsidRPr="00630C5C">
        <w:t xml:space="preserve">byla stanovena dohodou smluvních stran na základě nabídky </w:t>
      </w:r>
      <w:r w:rsidR="002C491C" w:rsidRPr="00630C5C">
        <w:t xml:space="preserve">zhotovitele </w:t>
      </w:r>
      <w:r w:rsidR="007C5C7F" w:rsidRPr="00630C5C">
        <w:t xml:space="preserve">ze dne </w:t>
      </w:r>
      <w:r w:rsidR="00F52DD8" w:rsidRPr="00630C5C">
        <w:t>12.</w:t>
      </w:r>
      <w:r w:rsidR="00630C5C">
        <w:t xml:space="preserve"> prosince </w:t>
      </w:r>
      <w:r w:rsidR="00F52DD8" w:rsidRPr="00630C5C">
        <w:t>2025</w:t>
      </w:r>
      <w:r w:rsidR="00EC535B" w:rsidRPr="00630C5C">
        <w:t xml:space="preserve">. </w:t>
      </w:r>
      <w:r w:rsidR="007C5C7F" w:rsidRPr="00630C5C">
        <w:t xml:space="preserve">Tato </w:t>
      </w:r>
      <w:r w:rsidRPr="00630C5C">
        <w:t xml:space="preserve">cena </w:t>
      </w:r>
      <w:r w:rsidR="007C5C7F" w:rsidRPr="00630C5C">
        <w:t>je</w:t>
      </w:r>
      <w:r w:rsidR="00A22E65" w:rsidRPr="00630C5C">
        <w:t xml:space="preserve"> konečná</w:t>
      </w:r>
      <w:r w:rsidR="007C5C7F" w:rsidRPr="00630C5C">
        <w:t xml:space="preserve">. </w:t>
      </w:r>
      <w:r w:rsidR="00063376" w:rsidRPr="00630C5C">
        <w:t xml:space="preserve">V ceně jsou zahrnuty veškeré náklady </w:t>
      </w:r>
      <w:r w:rsidR="00630C5C">
        <w:t>zhotovi</w:t>
      </w:r>
      <w:r w:rsidR="00063376" w:rsidRPr="00630C5C">
        <w:t>tele související s</w:t>
      </w:r>
      <w:r w:rsidR="0096742C" w:rsidRPr="00630C5C">
        <w:t> </w:t>
      </w:r>
      <w:r w:rsidR="00063376" w:rsidRPr="00630C5C">
        <w:t>komplexním zajištěním celého předmětu smlouvy</w:t>
      </w:r>
      <w:r w:rsidR="0003533D" w:rsidRPr="00630C5C">
        <w:t>.</w:t>
      </w:r>
      <w:r w:rsidR="007214D7" w:rsidRPr="00630C5C">
        <w:t xml:space="preserve"> Celkovou cenu lze také změnit v souladu se ZZVZ a s ohledem na změnu termínu plnění.</w:t>
      </w:r>
    </w:p>
    <w:p w14:paraId="528736C9" w14:textId="77777777" w:rsidR="0074285E" w:rsidRPr="00630C5C" w:rsidRDefault="0074285E" w:rsidP="0074285E">
      <w:pPr>
        <w:pStyle w:val="l-L2"/>
        <w:spacing w:before="0" w:after="0" w:line="240" w:lineRule="auto"/>
      </w:pP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4158D5" w:rsidRPr="00F52DD8" w14:paraId="6B4E32B7" w14:textId="77777777" w:rsidTr="007440D5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325907" w14:textId="77777777" w:rsidR="004158D5" w:rsidRPr="00F52DD8" w:rsidRDefault="004158D5" w:rsidP="00667726">
            <w:pPr>
              <w:spacing w:before="0" w:after="0" w:line="240" w:lineRule="auto"/>
              <w:rPr>
                <w:i/>
                <w:iCs/>
              </w:rPr>
            </w:pPr>
            <w:bookmarkStart w:id="3" w:name="_Hlk182380004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8E4EB6" w14:textId="77777777" w:rsidR="004158D5" w:rsidRPr="001B0E12" w:rsidRDefault="004158D5" w:rsidP="00667726">
            <w:pPr>
              <w:spacing w:before="0" w:after="0" w:line="240" w:lineRule="auto"/>
            </w:pPr>
            <w:r w:rsidRPr="001B0E12"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6E8EFB" w14:textId="77777777" w:rsidR="004158D5" w:rsidRPr="001B0E12" w:rsidRDefault="004158D5" w:rsidP="00667726">
            <w:pPr>
              <w:spacing w:before="0" w:after="0" w:line="240" w:lineRule="auto"/>
            </w:pPr>
            <w:r w:rsidRPr="001B0E12"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F701E7B" w14:textId="77777777" w:rsidR="004158D5" w:rsidRPr="001B0E12" w:rsidRDefault="004158D5" w:rsidP="00667726">
            <w:pPr>
              <w:spacing w:before="0" w:after="0" w:line="240" w:lineRule="auto"/>
            </w:pPr>
            <w:r w:rsidRPr="001B0E12">
              <w:t>Cena vč. DPH (Kč)</w:t>
            </w:r>
          </w:p>
        </w:tc>
      </w:tr>
      <w:tr w:rsidR="000A31FE" w:rsidRPr="00F52DD8" w14:paraId="20F2B23A" w14:textId="77777777" w:rsidTr="00F52DD8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951C" w14:textId="3DA2CD67" w:rsidR="000A31FE" w:rsidRPr="00F52DD8" w:rsidRDefault="000A31FE" w:rsidP="000A31FE">
            <w:pPr>
              <w:spacing w:before="0" w:after="0" w:line="240" w:lineRule="auto"/>
              <w:rPr>
                <w:i/>
                <w:iCs/>
              </w:rPr>
            </w:pPr>
            <w:r w:rsidRPr="00F52DD8">
              <w:rPr>
                <w:b/>
                <w:bCs/>
              </w:rPr>
              <w:t>IP24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12C1D" w14:textId="0FD6265E" w:rsidR="000A31FE" w:rsidRPr="00F52DD8" w:rsidRDefault="00F52DD8" w:rsidP="00F52DD8">
            <w:pPr>
              <w:spacing w:before="0" w:after="0" w:line="240" w:lineRule="auto"/>
              <w:jc w:val="right"/>
            </w:pPr>
            <w:r w:rsidRPr="00F52DD8">
              <w:t>13 660,00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61F50" w14:textId="2F89EF9D" w:rsidR="000A31FE" w:rsidRPr="00F52DD8" w:rsidRDefault="00F52DD8" w:rsidP="00F52DD8">
            <w:pPr>
              <w:spacing w:before="0" w:after="0" w:line="240" w:lineRule="auto"/>
              <w:jc w:val="right"/>
            </w:pPr>
            <w:r w:rsidRPr="00F52DD8">
              <w:t>2 868,60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5C248B" w14:textId="56EEF1BB" w:rsidR="000A31FE" w:rsidRPr="00F52DD8" w:rsidRDefault="00F52DD8" w:rsidP="00F52DD8">
            <w:pPr>
              <w:spacing w:before="0" w:after="0" w:line="240" w:lineRule="auto"/>
              <w:jc w:val="right"/>
            </w:pPr>
            <w:r w:rsidRPr="00F52DD8">
              <w:t>16 528,60</w:t>
            </w:r>
          </w:p>
        </w:tc>
      </w:tr>
      <w:tr w:rsidR="00544B47" w:rsidRPr="00F52DD8" w14:paraId="5A37E796" w14:textId="77777777" w:rsidTr="00BD21B2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5DB0" w14:textId="29AEAFE7" w:rsidR="00544B47" w:rsidRPr="00F52DD8" w:rsidRDefault="00544B47" w:rsidP="00544B47">
            <w:pPr>
              <w:spacing w:before="0" w:after="0" w:line="240" w:lineRule="auto"/>
              <w:rPr>
                <w:i/>
                <w:iCs/>
              </w:rPr>
            </w:pPr>
            <w:r w:rsidRPr="00F52DD8">
              <w:rPr>
                <w:b/>
                <w:bCs/>
              </w:rPr>
              <w:t>IP25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C0AF3" w14:textId="242AED04" w:rsidR="00544B47" w:rsidRPr="00F52DD8" w:rsidRDefault="00F52DD8" w:rsidP="00F52DD8">
            <w:pPr>
              <w:spacing w:before="0" w:after="0" w:line="240" w:lineRule="auto"/>
              <w:jc w:val="right"/>
            </w:pPr>
            <w:r w:rsidRPr="00F52DD8">
              <w:t>9 860,00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CAFDF" w14:textId="1F2461FF" w:rsidR="00544B47" w:rsidRPr="00F52DD8" w:rsidRDefault="00F52DD8" w:rsidP="00F52DD8">
            <w:pPr>
              <w:spacing w:before="0" w:after="0" w:line="240" w:lineRule="auto"/>
              <w:jc w:val="right"/>
            </w:pPr>
            <w:r w:rsidRPr="00F52DD8">
              <w:t>2 070,60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163BC34" w14:textId="4646890A" w:rsidR="00544B47" w:rsidRPr="00F52DD8" w:rsidRDefault="00F52DD8" w:rsidP="00F52DD8">
            <w:pPr>
              <w:spacing w:before="0" w:after="0" w:line="240" w:lineRule="auto"/>
              <w:jc w:val="right"/>
            </w:pPr>
            <w:r w:rsidRPr="00F52DD8">
              <w:t>11 930,60</w:t>
            </w:r>
          </w:p>
        </w:tc>
      </w:tr>
      <w:tr w:rsidR="00544B47" w:rsidRPr="00F52DD8" w14:paraId="62E775FC" w14:textId="77777777" w:rsidTr="00BD21B2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438B" w14:textId="2D9EEF56" w:rsidR="00544B47" w:rsidRPr="00F52DD8" w:rsidRDefault="00544B47" w:rsidP="00544B47">
            <w:pPr>
              <w:spacing w:before="0" w:after="0" w:line="240" w:lineRule="auto"/>
              <w:rPr>
                <w:i/>
                <w:iCs/>
              </w:rPr>
            </w:pPr>
            <w:r w:rsidRPr="00F52DD8">
              <w:rPr>
                <w:b/>
                <w:bCs/>
              </w:rPr>
              <w:t>IP26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E7AA" w14:textId="259C45F9" w:rsidR="00544B47" w:rsidRPr="00F52DD8" w:rsidRDefault="00F52DD8" w:rsidP="00F52DD8">
            <w:pPr>
              <w:spacing w:before="0" w:after="0" w:line="240" w:lineRule="auto"/>
              <w:jc w:val="right"/>
            </w:pPr>
            <w:r w:rsidRPr="00F52DD8">
              <w:t>10 470,00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83921" w14:textId="343A6D09" w:rsidR="00544B47" w:rsidRPr="00F52DD8" w:rsidRDefault="00F52DD8" w:rsidP="00F52DD8">
            <w:pPr>
              <w:spacing w:before="0" w:after="0" w:line="240" w:lineRule="auto"/>
              <w:jc w:val="right"/>
            </w:pPr>
            <w:r w:rsidRPr="00F52DD8">
              <w:t>2 198,70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8146EB3" w14:textId="1861634F" w:rsidR="00544B47" w:rsidRPr="00F52DD8" w:rsidRDefault="00F52DD8" w:rsidP="00F52DD8">
            <w:pPr>
              <w:spacing w:before="0" w:after="0" w:line="240" w:lineRule="auto"/>
              <w:jc w:val="right"/>
            </w:pPr>
            <w:r w:rsidRPr="00F52DD8">
              <w:t>12 668,70</w:t>
            </w:r>
          </w:p>
        </w:tc>
      </w:tr>
      <w:tr w:rsidR="000A31FE" w:rsidRPr="00F52DD8" w14:paraId="4365B59C" w14:textId="77777777" w:rsidTr="00F52DD8">
        <w:trPr>
          <w:trHeight w:val="7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2AB9" w14:textId="4550757B" w:rsidR="000A31FE" w:rsidRPr="00F52DD8" w:rsidRDefault="000A31FE" w:rsidP="000A31FE">
            <w:pPr>
              <w:spacing w:before="0" w:after="0" w:line="240" w:lineRule="auto"/>
              <w:rPr>
                <w:i/>
                <w:iCs/>
              </w:rPr>
            </w:pPr>
            <w:r w:rsidRPr="00F52DD8">
              <w:rPr>
                <w:b/>
                <w:bCs/>
              </w:rPr>
              <w:t>LBK36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FB1E7" w14:textId="77351874" w:rsidR="000A31FE" w:rsidRPr="00F52DD8" w:rsidRDefault="00F52DD8" w:rsidP="00F52DD8">
            <w:pPr>
              <w:spacing w:before="0" w:after="0" w:line="240" w:lineRule="auto"/>
              <w:jc w:val="right"/>
            </w:pPr>
            <w:r w:rsidRPr="00F52DD8">
              <w:t>16 640,00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8DBB0" w14:textId="152BB6CF" w:rsidR="000A31FE" w:rsidRPr="00F52DD8" w:rsidRDefault="00F52DD8" w:rsidP="00F52DD8">
            <w:pPr>
              <w:spacing w:before="0" w:after="0" w:line="240" w:lineRule="auto"/>
              <w:jc w:val="right"/>
            </w:pPr>
            <w:r w:rsidRPr="00F52DD8">
              <w:t>3 494,40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60B0A7" w14:textId="5BD83811" w:rsidR="000A31FE" w:rsidRPr="00F52DD8" w:rsidRDefault="00F52DD8" w:rsidP="00F52DD8">
            <w:pPr>
              <w:spacing w:before="0" w:after="0" w:line="240" w:lineRule="auto"/>
              <w:jc w:val="right"/>
            </w:pPr>
            <w:r w:rsidRPr="00F52DD8">
              <w:t>20 134,40</w:t>
            </w:r>
          </w:p>
        </w:tc>
      </w:tr>
      <w:tr w:rsidR="000A31FE" w:rsidRPr="00F52DD8" w14:paraId="3AB1A1F2" w14:textId="77777777" w:rsidTr="00F52DD8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FF4EB54" w14:textId="77777777" w:rsidR="000A31FE" w:rsidRPr="00F52DD8" w:rsidRDefault="000A31FE" w:rsidP="00F52DD8">
            <w:pPr>
              <w:spacing w:before="0" w:after="0" w:line="240" w:lineRule="auto"/>
              <w:rPr>
                <w:b/>
                <w:bCs/>
              </w:rPr>
            </w:pPr>
            <w:r w:rsidRPr="00F52DD8">
              <w:rPr>
                <w:b/>
                <w:bCs/>
              </w:rPr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1F4BE32" w14:textId="698A7E76" w:rsidR="000A31FE" w:rsidRPr="00F52DD8" w:rsidRDefault="00F52DD8" w:rsidP="00F52DD8">
            <w:pPr>
              <w:spacing w:before="0" w:after="0" w:line="240" w:lineRule="auto"/>
              <w:jc w:val="right"/>
              <w:rPr>
                <w:b/>
                <w:bCs/>
              </w:rPr>
            </w:pPr>
            <w:r w:rsidRPr="00F52DD8">
              <w:rPr>
                <w:b/>
                <w:bCs/>
              </w:rPr>
              <w:t>50 630,00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531655A" w14:textId="492E232F" w:rsidR="000A31FE" w:rsidRPr="00F52DD8" w:rsidRDefault="00F52DD8" w:rsidP="00F52DD8">
            <w:pPr>
              <w:spacing w:before="0" w:after="0" w:line="240" w:lineRule="auto"/>
              <w:jc w:val="right"/>
              <w:rPr>
                <w:b/>
                <w:bCs/>
              </w:rPr>
            </w:pPr>
            <w:r w:rsidRPr="00F52DD8">
              <w:rPr>
                <w:b/>
                <w:bCs/>
              </w:rPr>
              <w:t>10 632,30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5309D15C" w14:textId="54430736" w:rsidR="000A31FE" w:rsidRPr="00F52DD8" w:rsidRDefault="00F52DD8" w:rsidP="00F52DD8">
            <w:pPr>
              <w:spacing w:before="0" w:after="0" w:line="240" w:lineRule="auto"/>
              <w:jc w:val="right"/>
              <w:rPr>
                <w:b/>
                <w:bCs/>
              </w:rPr>
            </w:pPr>
            <w:r w:rsidRPr="00F52DD8">
              <w:rPr>
                <w:b/>
                <w:bCs/>
              </w:rPr>
              <w:t>61 262,30</w:t>
            </w:r>
          </w:p>
        </w:tc>
      </w:tr>
      <w:bookmarkEnd w:id="3"/>
    </w:tbl>
    <w:p w14:paraId="7FD1B5D1" w14:textId="77777777" w:rsidR="0074285E" w:rsidRDefault="0074285E" w:rsidP="0074285E">
      <w:pPr>
        <w:pStyle w:val="l-L2"/>
        <w:spacing w:before="0" w:after="0" w:line="240" w:lineRule="auto"/>
      </w:pPr>
    </w:p>
    <w:p w14:paraId="2E3897DA" w14:textId="7509460F" w:rsidR="003C6AA3" w:rsidRDefault="00701D8A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3BB84D30" w:rsidR="003C6AA3" w:rsidRDefault="00701D8A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D91927">
        <w:t xml:space="preserve">Faktura bude vystavena po </w:t>
      </w:r>
      <w:r w:rsidR="00C413F2" w:rsidRPr="00D519F9">
        <w:t>převzetí výsadeb od zhotovitele bez vad a nedodělků</w:t>
      </w:r>
      <w:r w:rsidRPr="00D91927">
        <w:t>.</w:t>
      </w:r>
    </w:p>
    <w:p w14:paraId="0815A596" w14:textId="4752DCEB" w:rsidR="003C6AA3" w:rsidRDefault="00BD65E8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DA4B06">
        <w:t>Na faktuře pro objednatele bude zhotovitel uvádět:</w:t>
      </w:r>
    </w:p>
    <w:p w14:paraId="031E5C7A" w14:textId="791B82A4" w:rsidR="000A6E48" w:rsidRPr="00DA4B06" w:rsidRDefault="00FF0932" w:rsidP="00667726">
      <w:pPr>
        <w:pStyle w:val="l-L2"/>
        <w:spacing w:before="0" w:after="0" w:line="240" w:lineRule="auto"/>
        <w:ind w:left="357"/>
      </w:pPr>
      <w:r w:rsidRPr="00DA4B06">
        <w:t>Odběratel: Státní pozemkový úřad, Husinecká 1024/</w:t>
      </w:r>
      <w:proofErr w:type="gramStart"/>
      <w:r w:rsidRPr="00DA4B06">
        <w:t>11a</w:t>
      </w:r>
      <w:proofErr w:type="gramEnd"/>
      <w:r w:rsidRPr="00DA4B06">
        <w:t>, 130 00</w:t>
      </w:r>
      <w:r w:rsidR="00667726">
        <w:t xml:space="preserve"> </w:t>
      </w:r>
      <w:r w:rsidR="00667726" w:rsidRPr="00DA4B06">
        <w:t>Praha 3,</w:t>
      </w:r>
      <w:r w:rsidRPr="00DA4B06">
        <w:t xml:space="preserve"> IČO 01312774.</w:t>
      </w:r>
    </w:p>
    <w:p w14:paraId="4058E53E" w14:textId="6E02B12A" w:rsidR="000A6E48" w:rsidRPr="00DA4B06" w:rsidRDefault="00FF0932" w:rsidP="00667726">
      <w:pPr>
        <w:pStyle w:val="l-L2"/>
        <w:spacing w:before="0" w:after="0" w:line="240" w:lineRule="auto"/>
        <w:ind w:left="357"/>
      </w:pPr>
      <w:r>
        <w:t>Konečný příjemce: Státní pozemkový úřad</w:t>
      </w:r>
      <w:r w:rsidR="00667726">
        <w:t xml:space="preserve">, </w:t>
      </w:r>
      <w:r>
        <w:t>K</w:t>
      </w:r>
      <w:r w:rsidR="00667726">
        <w:t>rajský pozemkový úřad pro Jihomoravský kraj,</w:t>
      </w:r>
      <w:r>
        <w:t xml:space="preserve"> </w:t>
      </w:r>
      <w:r w:rsidR="00667726">
        <w:t>p</w:t>
      </w:r>
      <w:r>
        <w:t xml:space="preserve">obočka </w:t>
      </w:r>
      <w:r w:rsidR="00602491">
        <w:t>Blansko, Poříčí 1569/18, 678 01 Blansko</w:t>
      </w:r>
      <w:r>
        <w:t>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</w:t>
      </w:r>
      <w:r w:rsidR="00667726">
        <w:rPr>
          <w:rFonts w:eastAsia="Arial" w:cs="Arial"/>
          <w:szCs w:val="22"/>
        </w:rPr>
        <w:t> </w:t>
      </w:r>
      <w:r w:rsidR="58558F23" w:rsidRPr="000A7219">
        <w:rPr>
          <w:rFonts w:eastAsia="Arial" w:cs="Arial"/>
          <w:szCs w:val="22"/>
        </w:rPr>
        <w:t>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8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55E0BE62" w:rsidR="009F43E6" w:rsidRPr="009966C5" w:rsidRDefault="009F43E6" w:rsidP="00667726">
      <w:pPr>
        <w:pStyle w:val="l-L2"/>
        <w:numPr>
          <w:ilvl w:val="0"/>
          <w:numId w:val="16"/>
        </w:numPr>
        <w:spacing w:before="0" w:after="0" w:line="240" w:lineRule="auto"/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</w:t>
      </w:r>
      <w:r w:rsidR="009D558B">
        <w:rPr>
          <w:bCs/>
        </w:rPr>
        <w:t> </w:t>
      </w:r>
      <w:r w:rsidRPr="009966C5">
        <w:rPr>
          <w:bCs/>
        </w:rPr>
        <w:t>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8FD5349" w:rsidR="009F43E6" w:rsidRPr="009966C5" w:rsidRDefault="009F43E6" w:rsidP="00667726">
      <w:pPr>
        <w:pStyle w:val="l-L2"/>
        <w:numPr>
          <w:ilvl w:val="0"/>
          <w:numId w:val="16"/>
        </w:numPr>
        <w:spacing w:before="0" w:after="0" w:line="240" w:lineRule="auto"/>
        <w:rPr>
          <w:bCs/>
        </w:rPr>
      </w:pPr>
      <w:r w:rsidRPr="009966C5">
        <w:rPr>
          <w:bCs/>
        </w:rPr>
        <w:t>Zhotovitel je podle ustanovení §</w:t>
      </w:r>
      <w:r w:rsidR="009D558B">
        <w:rPr>
          <w:bCs/>
        </w:rPr>
        <w:t xml:space="preserve"> </w:t>
      </w:r>
      <w:r w:rsidRPr="009966C5">
        <w:rPr>
          <w:bCs/>
        </w:rPr>
        <w:t>2 písm.</w:t>
      </w:r>
      <w:r w:rsidR="009D558B">
        <w:rPr>
          <w:bCs/>
        </w:rPr>
        <w:t xml:space="preserve"> </w:t>
      </w:r>
      <w:r w:rsidRPr="009966C5">
        <w:rPr>
          <w:bCs/>
        </w:rPr>
        <w:t>e) zákona č.</w:t>
      </w:r>
      <w:r w:rsidR="009D558B">
        <w:rPr>
          <w:bCs/>
        </w:rPr>
        <w:t xml:space="preserve"> 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Default="0089381F" w:rsidP="00667726">
      <w:pPr>
        <w:pStyle w:val="l-L2"/>
        <w:spacing w:before="0" w:after="0" w:line="240" w:lineRule="auto"/>
      </w:pPr>
    </w:p>
    <w:p w14:paraId="3712FAF6" w14:textId="77777777" w:rsidR="00667726" w:rsidRPr="00D91927" w:rsidRDefault="00667726" w:rsidP="00667726">
      <w:pPr>
        <w:pStyle w:val="l-L2"/>
        <w:spacing w:before="0" w:after="0" w:line="240" w:lineRule="auto"/>
      </w:pPr>
    </w:p>
    <w:p w14:paraId="7BEDCDE7" w14:textId="7F7D51C2" w:rsidR="003620AC" w:rsidRPr="00D53952" w:rsidRDefault="003620AC" w:rsidP="00667726">
      <w:pPr>
        <w:pStyle w:val="l-L1"/>
        <w:spacing w:before="0" w:after="0" w:line="240" w:lineRule="auto"/>
      </w:pPr>
      <w:r w:rsidRPr="00D53952">
        <w:t>Smluvní pokuty a sankce</w:t>
      </w:r>
    </w:p>
    <w:p w14:paraId="6D0106EF" w14:textId="006325A9" w:rsidR="003620AC" w:rsidRPr="001C168E" w:rsidRDefault="003620AC" w:rsidP="00667726">
      <w:pPr>
        <w:pStyle w:val="l-L2"/>
        <w:numPr>
          <w:ilvl w:val="0"/>
          <w:numId w:val="5"/>
        </w:numPr>
        <w:spacing w:before="0" w:after="0" w:line="240" w:lineRule="auto"/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667726">
      <w:pPr>
        <w:pStyle w:val="l-L2"/>
        <w:numPr>
          <w:ilvl w:val="0"/>
          <w:numId w:val="5"/>
        </w:numPr>
        <w:spacing w:before="0" w:after="0" w:line="240" w:lineRule="auto"/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667726">
      <w:pPr>
        <w:pStyle w:val="l-L2"/>
        <w:numPr>
          <w:ilvl w:val="0"/>
          <w:numId w:val="5"/>
        </w:numPr>
        <w:spacing w:before="0" w:after="0" w:line="240" w:lineRule="auto"/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667726">
      <w:pPr>
        <w:pStyle w:val="l-L2"/>
        <w:numPr>
          <w:ilvl w:val="0"/>
          <w:numId w:val="5"/>
        </w:numPr>
        <w:spacing w:before="0" w:after="0" w:line="240" w:lineRule="auto"/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</w:t>
      </w:r>
      <w:r w:rsidRPr="001C168E">
        <w:lastRenderedPageBreak/>
        <w:t xml:space="preserve">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667726">
      <w:pPr>
        <w:pStyle w:val="l-L2"/>
        <w:spacing w:before="0" w:after="0" w:line="240" w:lineRule="auto"/>
      </w:pPr>
    </w:p>
    <w:p w14:paraId="4EAAFC05" w14:textId="77777777" w:rsidR="00863567" w:rsidRDefault="00863567" w:rsidP="00667726">
      <w:pPr>
        <w:pStyle w:val="l-L2"/>
        <w:spacing w:before="0" w:after="0" w:line="240" w:lineRule="auto"/>
      </w:pPr>
    </w:p>
    <w:p w14:paraId="605A530E" w14:textId="56D71DC7" w:rsidR="003620AC" w:rsidRPr="00D53952" w:rsidRDefault="003620AC" w:rsidP="00667726">
      <w:pPr>
        <w:pStyle w:val="l-L1"/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667726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667726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6D8FCEC8" w:rsidR="003620AC" w:rsidRDefault="003620AC" w:rsidP="00667726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>Objednatel si vyhrazuje právo na odstoupení od smlouvy ve vztahu k plnění v případě, že</w:t>
      </w:r>
      <w:r w:rsidR="009D558B">
        <w:t> </w:t>
      </w:r>
      <w:r w:rsidRPr="00D12D68">
        <w:t xml:space="preserve">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602491">
        <w:t>31.</w:t>
      </w:r>
      <w:r w:rsidR="009D558B">
        <w:t xml:space="preserve"> prosince </w:t>
      </w:r>
      <w:r w:rsidR="00602491">
        <w:t>2026</w:t>
      </w:r>
      <w:r w:rsidRPr="00D12D68">
        <w:t>.</w:t>
      </w:r>
    </w:p>
    <w:p w14:paraId="7E15ABA8" w14:textId="77777777" w:rsidR="00212DC4" w:rsidRPr="009966C5" w:rsidRDefault="00212DC4" w:rsidP="00667726">
      <w:pPr>
        <w:pStyle w:val="l-L2"/>
        <w:numPr>
          <w:ilvl w:val="0"/>
          <w:numId w:val="4"/>
        </w:numPr>
        <w:spacing w:before="0" w:after="0" w:line="240" w:lineRule="auto"/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667726">
      <w:pPr>
        <w:pStyle w:val="l-L2"/>
        <w:numPr>
          <w:ilvl w:val="0"/>
          <w:numId w:val="4"/>
        </w:numPr>
        <w:spacing w:before="0" w:after="0" w:line="240" w:lineRule="auto"/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667726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667726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>Smlouva může být ukončena dohodou smluvních stran.</w:t>
      </w:r>
    </w:p>
    <w:p w14:paraId="5B50A7CA" w14:textId="77777777" w:rsidR="003620AC" w:rsidRDefault="003620AC" w:rsidP="00667726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Default="00D12D68" w:rsidP="00667726">
      <w:pPr>
        <w:pStyle w:val="l-L2"/>
        <w:spacing w:before="0" w:after="0" w:line="240" w:lineRule="auto"/>
      </w:pPr>
    </w:p>
    <w:p w14:paraId="759B70D4" w14:textId="77777777" w:rsidR="008B1117" w:rsidRPr="00D12D68" w:rsidRDefault="008B1117" w:rsidP="00667726">
      <w:pPr>
        <w:pStyle w:val="l-L2"/>
        <w:spacing w:before="0" w:after="0" w:line="240" w:lineRule="auto"/>
      </w:pPr>
    </w:p>
    <w:p w14:paraId="42518E4D" w14:textId="57E0EB93" w:rsidR="00B83F26" w:rsidRPr="00BC3C0B" w:rsidRDefault="00BC3C0B" w:rsidP="00667726">
      <w:pPr>
        <w:pStyle w:val="l-L1"/>
        <w:spacing w:before="0" w:after="0" w:line="240" w:lineRule="auto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8B1117" w:rsidRDefault="00E64472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8B1117">
        <w:t>Smluvní strany jsou si plně vědomy zákonné povinnosti u</w:t>
      </w:r>
      <w:r w:rsidR="003C703B" w:rsidRPr="008B1117">
        <w:t>veřejnit dle zákona č.</w:t>
      </w:r>
      <w:r w:rsidR="00A2459C" w:rsidRPr="008B1117">
        <w:t> </w:t>
      </w:r>
      <w:r w:rsidR="003C703B" w:rsidRPr="008B1117">
        <w:t>340/2015 Sb., o zvláštních podmínkách účinnosti některých smluv, uveřejňování těchto smluv a o registru smluv (zákon o registru smluv)</w:t>
      </w:r>
      <w:r w:rsidRPr="008B1117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7336FF" w:rsidRDefault="000571AA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Zhotovitel dále výslovně prohlašuje a bere na vědomí, že tato smlouva nepředstavuje jeho obchodní tajemství ani neobsahuje jeho důvěrné informace</w:t>
      </w:r>
      <w:r w:rsidR="001C5582">
        <w:t xml:space="preserve"> </w:t>
      </w:r>
      <w:r w:rsidR="001C5582" w:rsidRPr="007336FF">
        <w:t>a souhlasí s tím, aby tato smlouva, včetně veškerých změn a dodatků, byla v plném rozsahu</w:t>
      </w:r>
      <w:r w:rsidRPr="007336FF">
        <w:t xml:space="preserve"> </w:t>
      </w:r>
      <w:r w:rsidR="001C5582" w:rsidRPr="007336FF">
        <w:t>uv</w:t>
      </w:r>
      <w:r w:rsidR="00E7616C" w:rsidRPr="007336FF">
        <w:t xml:space="preserve">eřejněna </w:t>
      </w:r>
      <w:r w:rsidRPr="007336FF">
        <w:t>v registru smluv.</w:t>
      </w:r>
    </w:p>
    <w:p w14:paraId="16BED5EE" w14:textId="0AFD09D9" w:rsidR="00824479" w:rsidRPr="00BC3C0B" w:rsidRDefault="00616346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 xml:space="preserve"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</w:t>
      </w:r>
      <w:r w:rsidRPr="00BC3C0B">
        <w:lastRenderedPageBreak/>
        <w:t>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58A3E59" w:rsidR="000571AA" w:rsidRPr="00BC3C0B" w:rsidRDefault="000571AA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</w:t>
      </w:r>
      <w:r w:rsidR="007336FF">
        <w:t> </w:t>
      </w:r>
      <w:r w:rsidRPr="00BC3C0B">
        <w:t>zákona č.</w:t>
      </w:r>
      <w:r w:rsidR="00A2459C">
        <w:t> </w:t>
      </w:r>
      <w:r w:rsidRPr="00BC3C0B">
        <w:t>110/2019 Sb.</w:t>
      </w:r>
      <w:r w:rsidR="00863567">
        <w:t>,</w:t>
      </w:r>
      <w:r w:rsidR="00863567" w:rsidRPr="00BC3C0B">
        <w:t xml:space="preserve"> o zpracování osobních údajů</w:t>
      </w:r>
      <w:r w:rsidR="00863567">
        <w:t>, ve znění pozdějších předpisů,</w:t>
      </w:r>
      <w:r w:rsidR="00863567" w:rsidRPr="00BC3C0B">
        <w:t xml:space="preserve"> </w:t>
      </w:r>
      <w:r w:rsidRPr="00BC3C0B">
        <w:t>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863567">
        <w:t>o</w:t>
      </w:r>
      <w:r w:rsidR="006160AE">
        <w:t>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7336FF" w:rsidRDefault="0076345A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Smlouva nabývá platnosti dnem podpisu smluvních stran</w:t>
      </w:r>
      <w:r w:rsidR="00035616">
        <w:t xml:space="preserve"> </w:t>
      </w:r>
      <w:r w:rsidR="00035616" w:rsidRPr="007336FF">
        <w:t>a účinnosti dnem jejího uveřejnění v</w:t>
      </w:r>
      <w:r w:rsidRPr="007336FF">
        <w:t xml:space="preserve"> registru smluv dle </w:t>
      </w:r>
      <w:proofErr w:type="spellStart"/>
      <w:r w:rsidRPr="007336FF">
        <w:t>ust</w:t>
      </w:r>
      <w:proofErr w:type="spellEnd"/>
      <w:r w:rsidRPr="007336FF">
        <w:t>. §</w:t>
      </w:r>
      <w:r w:rsidR="00281042" w:rsidRPr="007336FF">
        <w:t> </w:t>
      </w:r>
      <w:r w:rsidRPr="007336FF">
        <w:t>6 odst.</w:t>
      </w:r>
      <w:r w:rsidR="00281042" w:rsidRPr="007336FF">
        <w:t> </w:t>
      </w:r>
      <w:r w:rsidRPr="007336FF">
        <w:t>1 zákona o registru smluv.</w:t>
      </w:r>
    </w:p>
    <w:p w14:paraId="0EA3CAA4" w14:textId="77777777" w:rsidR="0076345A" w:rsidRPr="00BC3C0B" w:rsidRDefault="0076345A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2B8ED1DD" w:rsidR="0074285E" w:rsidRDefault="002540F0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2115D8BA" w14:textId="77777777" w:rsidR="0074285E" w:rsidRDefault="0074285E">
      <w:pPr>
        <w:spacing w:before="0" w:after="0" w:line="240" w:lineRule="auto"/>
        <w:contextualSpacing w:val="0"/>
        <w:rPr>
          <w:szCs w:val="24"/>
        </w:rPr>
      </w:pPr>
      <w:r>
        <w:br w:type="page"/>
      </w:r>
    </w:p>
    <w:p w14:paraId="2C03DF00" w14:textId="77777777" w:rsidR="002540F0" w:rsidRDefault="002540F0" w:rsidP="0074285E">
      <w:pPr>
        <w:pStyle w:val="l-L2"/>
        <w:spacing w:before="0" w:after="0" w:line="240" w:lineRule="auto"/>
      </w:pPr>
    </w:p>
    <w:p w14:paraId="42889E18" w14:textId="77777777" w:rsidR="0074285E" w:rsidRPr="00BC3C0B" w:rsidRDefault="0074285E" w:rsidP="0074285E">
      <w:pPr>
        <w:pStyle w:val="l-L2"/>
        <w:spacing w:before="0" w:after="0" w:line="240" w:lineRule="auto"/>
      </w:pPr>
    </w:p>
    <w:p w14:paraId="781D2280" w14:textId="6AF714C8" w:rsidR="0076345A" w:rsidRDefault="007C577B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667726">
      <w:pPr>
        <w:pStyle w:val="l-L2"/>
        <w:spacing w:before="0" w:after="0" w:line="240" w:lineRule="auto"/>
      </w:pPr>
    </w:p>
    <w:p w14:paraId="4A17A44D" w14:textId="16BAA396" w:rsidR="00654BF5" w:rsidRPr="00654BF5" w:rsidRDefault="00654BF5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>V</w:t>
      </w:r>
      <w:r w:rsidR="00F11E47">
        <w:rPr>
          <w:rFonts w:cs="Arial"/>
          <w:szCs w:val="24"/>
        </w:rPr>
        <w:t xml:space="preserve"> Blansku,</w:t>
      </w:r>
      <w:r w:rsidRPr="00654BF5">
        <w:rPr>
          <w:rFonts w:cs="Arial"/>
          <w:szCs w:val="24"/>
        </w:rPr>
        <w:t xml:space="preserve"> dne</w:t>
      </w:r>
      <w:r w:rsidR="00F11E47">
        <w:rPr>
          <w:rFonts w:cs="Arial"/>
          <w:szCs w:val="24"/>
        </w:rPr>
        <w:t xml:space="preserve"> </w:t>
      </w:r>
      <w:r w:rsidR="005462AC">
        <w:rPr>
          <w:rFonts w:cs="Arial"/>
          <w:szCs w:val="24"/>
        </w:rPr>
        <w:t>19. prosince 2025</w:t>
      </w:r>
      <w:r w:rsidRPr="00654BF5">
        <w:rPr>
          <w:rFonts w:cs="Arial"/>
          <w:szCs w:val="24"/>
        </w:rPr>
        <w:tab/>
        <w:t>V</w:t>
      </w:r>
      <w:r w:rsidR="00F52DD8">
        <w:rPr>
          <w:rFonts w:cs="Arial"/>
          <w:szCs w:val="24"/>
        </w:rPr>
        <w:t xml:space="preserve"> Brně,</w:t>
      </w:r>
      <w:r w:rsidRPr="00654BF5">
        <w:rPr>
          <w:rFonts w:cs="Arial"/>
          <w:szCs w:val="24"/>
        </w:rPr>
        <w:t xml:space="preserve"> dne</w:t>
      </w:r>
      <w:r w:rsidR="00F11E47">
        <w:rPr>
          <w:rFonts w:cs="Arial"/>
          <w:szCs w:val="24"/>
        </w:rPr>
        <w:t xml:space="preserve"> </w:t>
      </w:r>
      <w:r w:rsidR="005462AC">
        <w:rPr>
          <w:rFonts w:cs="Arial"/>
          <w:szCs w:val="24"/>
        </w:rPr>
        <w:t>19. prosince 2025</w:t>
      </w:r>
    </w:p>
    <w:p w14:paraId="0944B062" w14:textId="77777777" w:rsidR="00F11E47" w:rsidRDefault="00F11E47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</w:p>
    <w:p w14:paraId="5D679251" w14:textId="77777777" w:rsidR="0074285E" w:rsidRDefault="0074285E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</w:p>
    <w:p w14:paraId="673006B4" w14:textId="77777777" w:rsidR="0074285E" w:rsidRDefault="0074285E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</w:p>
    <w:p w14:paraId="5A012C8E" w14:textId="77777777" w:rsidR="0074285E" w:rsidRDefault="0074285E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</w:p>
    <w:p w14:paraId="64E1C3FB" w14:textId="77777777" w:rsidR="0074285E" w:rsidRDefault="0074285E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</w:p>
    <w:p w14:paraId="5DC999DC" w14:textId="77777777" w:rsidR="0074285E" w:rsidRDefault="0074285E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</w:p>
    <w:p w14:paraId="26B273F5" w14:textId="2253BE74" w:rsidR="00F11E47" w:rsidRPr="00F11E47" w:rsidRDefault="00F11E47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i/>
          <w:iCs/>
          <w:sz w:val="20"/>
        </w:rPr>
      </w:pPr>
      <w:r w:rsidRPr="00F11E47">
        <w:rPr>
          <w:rFonts w:cs="Arial"/>
          <w:i/>
          <w:iCs/>
          <w:sz w:val="20"/>
        </w:rPr>
        <w:t>„elektronicky podepsáno“</w:t>
      </w:r>
    </w:p>
    <w:p w14:paraId="4158FBC4" w14:textId="77777777" w:rsidR="00F11E47" w:rsidRPr="00654BF5" w:rsidRDefault="00F11E47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</w:p>
    <w:p w14:paraId="0F99EA03" w14:textId="34202194" w:rsidR="00654BF5" w:rsidRPr="00654BF5" w:rsidRDefault="00654BF5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0E5B9C10" w14:textId="5C4D538A" w:rsidR="00602491" w:rsidRDefault="00602491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JUDr. Ivana Antlová</w:t>
      </w:r>
      <w:r w:rsidR="00F11E47">
        <w:rPr>
          <w:rFonts w:cs="Arial"/>
          <w:szCs w:val="24"/>
        </w:rPr>
        <w:tab/>
      </w:r>
      <w:r w:rsidR="00F52DD8">
        <w:rPr>
          <w:rFonts w:cs="Arial"/>
          <w:szCs w:val="24"/>
        </w:rPr>
        <w:t>RNDr. Josef Glos</w:t>
      </w:r>
    </w:p>
    <w:p w14:paraId="0D6F049E" w14:textId="444E46AB" w:rsidR="00602491" w:rsidRDefault="00602491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vedoucí pobočky Blansko</w:t>
      </w:r>
      <w:r w:rsidR="00F11E47">
        <w:rPr>
          <w:rFonts w:cs="Arial"/>
          <w:szCs w:val="24"/>
        </w:rPr>
        <w:tab/>
      </w:r>
      <w:r w:rsidR="00F52DD8">
        <w:rPr>
          <w:rFonts w:cs="Arial"/>
          <w:szCs w:val="24"/>
        </w:rPr>
        <w:t>jednatel společnosti</w:t>
      </w:r>
    </w:p>
    <w:p w14:paraId="471BDC27" w14:textId="55D7357A" w:rsidR="00602491" w:rsidRDefault="00602491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Státní pozemkový úřad</w:t>
      </w:r>
      <w:r w:rsidR="00F11E47">
        <w:rPr>
          <w:rFonts w:cs="Arial"/>
          <w:szCs w:val="24"/>
        </w:rPr>
        <w:tab/>
      </w:r>
      <w:r w:rsidR="00F52DD8">
        <w:rPr>
          <w:rFonts w:cs="Arial"/>
          <w:szCs w:val="24"/>
        </w:rPr>
        <w:t>AGERIS s.r.o.</w:t>
      </w:r>
    </w:p>
    <w:p w14:paraId="1EB32F29" w14:textId="7CFA485F" w:rsidR="00654BF5" w:rsidRPr="00654BF5" w:rsidRDefault="00F11E47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(o</w:t>
      </w:r>
      <w:r w:rsidR="00654BF5" w:rsidRPr="00654BF5">
        <w:rPr>
          <w:rFonts w:cs="Arial"/>
          <w:szCs w:val="24"/>
        </w:rPr>
        <w:t>bjednatel</w:t>
      </w:r>
      <w:r>
        <w:rPr>
          <w:rFonts w:cs="Arial"/>
          <w:szCs w:val="24"/>
        </w:rPr>
        <w:t>)</w:t>
      </w:r>
      <w:r w:rsidR="00654BF5" w:rsidRPr="00654BF5">
        <w:rPr>
          <w:rFonts w:cs="Arial"/>
          <w:szCs w:val="24"/>
        </w:rPr>
        <w:tab/>
      </w:r>
      <w:r>
        <w:rPr>
          <w:rFonts w:cs="Arial"/>
          <w:szCs w:val="24"/>
        </w:rPr>
        <w:t>(z</w:t>
      </w:r>
      <w:r w:rsidR="00654BF5" w:rsidRPr="00654BF5">
        <w:rPr>
          <w:rFonts w:cs="Arial"/>
          <w:szCs w:val="24"/>
        </w:rPr>
        <w:t>hotovitel</w:t>
      </w:r>
      <w:r>
        <w:rPr>
          <w:rFonts w:cs="Arial"/>
          <w:szCs w:val="24"/>
        </w:rPr>
        <w:t>)</w:t>
      </w:r>
    </w:p>
    <w:sectPr w:rsidR="00654BF5" w:rsidRPr="00654BF5" w:rsidSect="008915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667726" w:rsidRDefault="00B94C77" w:rsidP="00DB5561">
    <w:pPr>
      <w:jc w:val="center"/>
      <w:rPr>
        <w:sz w:val="16"/>
        <w:szCs w:val="16"/>
      </w:rPr>
    </w:pPr>
    <w:r w:rsidRPr="00667726">
      <w:rPr>
        <w:sz w:val="16"/>
        <w:szCs w:val="16"/>
      </w:rPr>
      <w:fldChar w:fldCharType="begin"/>
    </w:r>
    <w:r w:rsidRPr="00667726">
      <w:rPr>
        <w:sz w:val="16"/>
        <w:szCs w:val="16"/>
      </w:rPr>
      <w:instrText xml:space="preserve"> PAGE   \* MERGEFORMAT </w:instrText>
    </w:r>
    <w:r w:rsidRPr="00667726">
      <w:rPr>
        <w:sz w:val="16"/>
        <w:szCs w:val="16"/>
      </w:rPr>
      <w:fldChar w:fldCharType="separate"/>
    </w:r>
    <w:r w:rsidRPr="00667726">
      <w:rPr>
        <w:noProof/>
        <w:sz w:val="16"/>
        <w:szCs w:val="16"/>
      </w:rPr>
      <w:t>2</w:t>
    </w:r>
    <w:r w:rsidRPr="00667726">
      <w:rPr>
        <w:sz w:val="16"/>
        <w:szCs w:val="16"/>
      </w:rPr>
      <w:fldChar w:fldCharType="end"/>
    </w:r>
    <w:r w:rsidRPr="00667726">
      <w:rPr>
        <w:sz w:val="16"/>
        <w:szCs w:val="16"/>
      </w:rPr>
      <w:t>/</w:t>
    </w:r>
    <w:r w:rsidR="00F11E47" w:rsidRPr="00667726">
      <w:rPr>
        <w:sz w:val="16"/>
        <w:szCs w:val="16"/>
      </w:rPr>
      <w:fldChar w:fldCharType="begin"/>
    </w:r>
    <w:r w:rsidR="00F11E47" w:rsidRPr="00667726">
      <w:rPr>
        <w:sz w:val="16"/>
        <w:szCs w:val="16"/>
      </w:rPr>
      <w:instrText>NUMPAGES   \* MERGEFORMAT</w:instrText>
    </w:r>
    <w:r w:rsidR="00F11E47" w:rsidRPr="00667726">
      <w:rPr>
        <w:sz w:val="16"/>
        <w:szCs w:val="16"/>
      </w:rPr>
      <w:fldChar w:fldCharType="separate"/>
    </w:r>
    <w:r w:rsidRPr="00667726">
      <w:rPr>
        <w:noProof/>
        <w:sz w:val="16"/>
        <w:szCs w:val="16"/>
      </w:rPr>
      <w:t>9</w:t>
    </w:r>
    <w:r w:rsidR="00F11E47" w:rsidRPr="00667726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7B33" w14:textId="793B864F" w:rsidR="00667726" w:rsidRPr="00667726" w:rsidRDefault="00667726" w:rsidP="00667726">
    <w:pPr>
      <w:spacing w:before="0" w:after="0" w:line="240" w:lineRule="auto"/>
      <w:jc w:val="right"/>
      <w:rPr>
        <w:sz w:val="16"/>
        <w:szCs w:val="16"/>
      </w:rPr>
    </w:pPr>
    <w:r w:rsidRPr="00667726">
      <w:rPr>
        <w:sz w:val="16"/>
        <w:szCs w:val="16"/>
      </w:rPr>
      <w:t>Číslo smlouvy objednatele:</w:t>
    </w:r>
    <w:r w:rsidR="0088136D">
      <w:rPr>
        <w:sz w:val="16"/>
        <w:szCs w:val="16"/>
      </w:rPr>
      <w:t>1267-2025-523202</w:t>
    </w:r>
  </w:p>
  <w:p w14:paraId="335A7A84" w14:textId="77777777" w:rsidR="00CA44BA" w:rsidRDefault="00B94C77" w:rsidP="00667726">
    <w:pPr>
      <w:spacing w:before="0" w:after="0" w:line="240" w:lineRule="auto"/>
      <w:jc w:val="right"/>
      <w:rPr>
        <w:sz w:val="16"/>
        <w:szCs w:val="16"/>
      </w:rPr>
    </w:pPr>
    <w:r w:rsidRPr="00667726">
      <w:rPr>
        <w:sz w:val="16"/>
        <w:szCs w:val="16"/>
      </w:rPr>
      <w:t>Čj. objednatele:</w:t>
    </w:r>
    <w:r w:rsidR="00CA44BA" w:rsidRPr="00CA44BA">
      <w:t xml:space="preserve"> </w:t>
    </w:r>
    <w:r w:rsidR="00CA44BA" w:rsidRPr="00CA44BA">
      <w:rPr>
        <w:sz w:val="16"/>
        <w:szCs w:val="16"/>
      </w:rPr>
      <w:t>SPU 511751/2025</w:t>
    </w:r>
  </w:p>
  <w:p w14:paraId="02637811" w14:textId="28C1F180" w:rsidR="00667726" w:rsidRPr="00667726" w:rsidRDefault="00667726" w:rsidP="00667726">
    <w:pPr>
      <w:spacing w:before="0" w:after="0" w:line="240" w:lineRule="auto"/>
      <w:jc w:val="right"/>
      <w:rPr>
        <w:sz w:val="16"/>
        <w:szCs w:val="16"/>
      </w:rPr>
    </w:pPr>
    <w:r w:rsidRPr="00667726">
      <w:rPr>
        <w:sz w:val="16"/>
        <w:szCs w:val="16"/>
      </w:rPr>
      <w:t>UID:</w:t>
    </w:r>
    <w:r w:rsidR="00CA44BA" w:rsidRPr="00CA44BA">
      <w:t xml:space="preserve"> </w:t>
    </w:r>
    <w:r w:rsidR="00CA44BA" w:rsidRPr="00CA44BA">
      <w:rPr>
        <w:sz w:val="16"/>
        <w:szCs w:val="16"/>
      </w:rPr>
      <w:t>spudms00000016222030</w:t>
    </w:r>
  </w:p>
  <w:p w14:paraId="4BE65E1E" w14:textId="15BD5529" w:rsidR="00B94C77" w:rsidRPr="00667726" w:rsidRDefault="00B94C77" w:rsidP="00667726">
    <w:pPr>
      <w:spacing w:before="0" w:after="0" w:line="240" w:lineRule="auto"/>
      <w:jc w:val="right"/>
      <w:rPr>
        <w:sz w:val="16"/>
        <w:szCs w:val="16"/>
      </w:rPr>
    </w:pPr>
    <w:r w:rsidRPr="00667726">
      <w:rPr>
        <w:sz w:val="16"/>
        <w:szCs w:val="16"/>
      </w:rPr>
      <w:t>Č</w:t>
    </w:r>
    <w:r w:rsidR="00667726" w:rsidRPr="00667726">
      <w:rPr>
        <w:sz w:val="16"/>
        <w:szCs w:val="16"/>
      </w:rPr>
      <w:t>íslo smlouvy</w:t>
    </w:r>
    <w:r w:rsidRPr="00667726">
      <w:rPr>
        <w:sz w:val="16"/>
        <w:szCs w:val="16"/>
      </w:rPr>
      <w:t xml:space="preserve">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883CC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DE27A74"/>
    <w:multiLevelType w:val="hybridMultilevel"/>
    <w:tmpl w:val="6ECC007C"/>
    <w:lvl w:ilvl="0" w:tplc="2E1A1D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41F5320"/>
    <w:multiLevelType w:val="hybridMultilevel"/>
    <w:tmpl w:val="948C3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6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7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153377636">
    <w:abstractNumId w:val="15"/>
  </w:num>
  <w:num w:numId="18" w16cid:durableId="69507980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14CC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245F"/>
    <w:rsid w:val="000929ED"/>
    <w:rsid w:val="00093C5B"/>
    <w:rsid w:val="000A31FE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07F5"/>
    <w:rsid w:val="000F1247"/>
    <w:rsid w:val="00104E9E"/>
    <w:rsid w:val="001068B7"/>
    <w:rsid w:val="00112268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0E12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A4E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25A45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6087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374E5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0C1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3F1777"/>
    <w:rsid w:val="00401DF6"/>
    <w:rsid w:val="0040723A"/>
    <w:rsid w:val="0041434B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1E9F"/>
    <w:rsid w:val="004D6A6C"/>
    <w:rsid w:val="004D73F3"/>
    <w:rsid w:val="004E2267"/>
    <w:rsid w:val="004E62D6"/>
    <w:rsid w:val="004F5ACA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44B47"/>
    <w:rsid w:val="005462A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02491"/>
    <w:rsid w:val="00613E9A"/>
    <w:rsid w:val="006160AE"/>
    <w:rsid w:val="00616346"/>
    <w:rsid w:val="0061794B"/>
    <w:rsid w:val="0062285A"/>
    <w:rsid w:val="00622A24"/>
    <w:rsid w:val="00623772"/>
    <w:rsid w:val="00630C5C"/>
    <w:rsid w:val="006464FF"/>
    <w:rsid w:val="00653A09"/>
    <w:rsid w:val="006543D6"/>
    <w:rsid w:val="00654BF5"/>
    <w:rsid w:val="006642C9"/>
    <w:rsid w:val="006662DA"/>
    <w:rsid w:val="00667726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2C7"/>
    <w:rsid w:val="006F7FB0"/>
    <w:rsid w:val="00701D8A"/>
    <w:rsid w:val="007076A8"/>
    <w:rsid w:val="00716FB1"/>
    <w:rsid w:val="0071726E"/>
    <w:rsid w:val="007214D7"/>
    <w:rsid w:val="00721C31"/>
    <w:rsid w:val="00722150"/>
    <w:rsid w:val="007249BD"/>
    <w:rsid w:val="007261A8"/>
    <w:rsid w:val="00726F14"/>
    <w:rsid w:val="007327EC"/>
    <w:rsid w:val="007336FF"/>
    <w:rsid w:val="00737936"/>
    <w:rsid w:val="00740C5C"/>
    <w:rsid w:val="007421FE"/>
    <w:rsid w:val="0074285E"/>
    <w:rsid w:val="0075149E"/>
    <w:rsid w:val="00752BF7"/>
    <w:rsid w:val="00755332"/>
    <w:rsid w:val="00761350"/>
    <w:rsid w:val="00761ABA"/>
    <w:rsid w:val="007631CC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3567"/>
    <w:rsid w:val="0086490C"/>
    <w:rsid w:val="00865021"/>
    <w:rsid w:val="00865AAA"/>
    <w:rsid w:val="0087716C"/>
    <w:rsid w:val="008779A3"/>
    <w:rsid w:val="00880B3D"/>
    <w:rsid w:val="0088136D"/>
    <w:rsid w:val="00881C52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1117"/>
    <w:rsid w:val="008B33FA"/>
    <w:rsid w:val="008C2C8C"/>
    <w:rsid w:val="008C2F33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4A19"/>
    <w:rsid w:val="009C62BC"/>
    <w:rsid w:val="009C6441"/>
    <w:rsid w:val="009C6A12"/>
    <w:rsid w:val="009C6AEC"/>
    <w:rsid w:val="009D3BAE"/>
    <w:rsid w:val="009D558B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51ABC"/>
    <w:rsid w:val="00A61E0B"/>
    <w:rsid w:val="00A73191"/>
    <w:rsid w:val="00A800E5"/>
    <w:rsid w:val="00A86B4C"/>
    <w:rsid w:val="00A87806"/>
    <w:rsid w:val="00AA313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459A4"/>
    <w:rsid w:val="00B509DF"/>
    <w:rsid w:val="00B520B5"/>
    <w:rsid w:val="00B53EA9"/>
    <w:rsid w:val="00B54C2E"/>
    <w:rsid w:val="00B61357"/>
    <w:rsid w:val="00B62C1A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48C7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13F2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14D6"/>
    <w:rsid w:val="00C8621E"/>
    <w:rsid w:val="00C93356"/>
    <w:rsid w:val="00C93BFE"/>
    <w:rsid w:val="00C94BD3"/>
    <w:rsid w:val="00C95B0E"/>
    <w:rsid w:val="00CA44BA"/>
    <w:rsid w:val="00CA4C8F"/>
    <w:rsid w:val="00CA7572"/>
    <w:rsid w:val="00CB169F"/>
    <w:rsid w:val="00CB3BB5"/>
    <w:rsid w:val="00CB4F7C"/>
    <w:rsid w:val="00CB72CB"/>
    <w:rsid w:val="00CC07D3"/>
    <w:rsid w:val="00CC3E8C"/>
    <w:rsid w:val="00CC45A0"/>
    <w:rsid w:val="00CC6A12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19F9"/>
    <w:rsid w:val="00D53952"/>
    <w:rsid w:val="00D5611A"/>
    <w:rsid w:val="00D56522"/>
    <w:rsid w:val="00D64398"/>
    <w:rsid w:val="00D70B2E"/>
    <w:rsid w:val="00D71B38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E06DC1"/>
    <w:rsid w:val="00E07AA6"/>
    <w:rsid w:val="00E10DE8"/>
    <w:rsid w:val="00E11AED"/>
    <w:rsid w:val="00E12971"/>
    <w:rsid w:val="00E12999"/>
    <w:rsid w:val="00E13CB6"/>
    <w:rsid w:val="00E22802"/>
    <w:rsid w:val="00E24120"/>
    <w:rsid w:val="00E30639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D4A17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1E47"/>
    <w:rsid w:val="00F133C5"/>
    <w:rsid w:val="00F16EEB"/>
    <w:rsid w:val="00F25344"/>
    <w:rsid w:val="00F31B94"/>
    <w:rsid w:val="00F31FC7"/>
    <w:rsid w:val="00F32916"/>
    <w:rsid w:val="00F33FE9"/>
    <w:rsid w:val="00F40881"/>
    <w:rsid w:val="00F45CC4"/>
    <w:rsid w:val="00F52DD8"/>
    <w:rsid w:val="00F60711"/>
    <w:rsid w:val="00F627CD"/>
    <w:rsid w:val="00F64E37"/>
    <w:rsid w:val="00F66E65"/>
    <w:rsid w:val="00F723B6"/>
    <w:rsid w:val="00F815D0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468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paragraph" w:customStyle="1" w:styleId="l5">
    <w:name w:val="l5"/>
    <w:basedOn w:val="Normln"/>
    <w:rsid w:val="003F1777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EFA4E-56FB-4E17-8999-03D52DB8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3396</Words>
  <Characters>20042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2025-12-22T08:35:00Z</dcterms:created>
  <dcterms:modified xsi:type="dcterms:W3CDTF">2025-12-22T08:37:00Z</dcterms:modified>
</cp:coreProperties>
</file>