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A774" w14:textId="77777777" w:rsidR="00E5606E" w:rsidRDefault="00E5606E" w:rsidP="00900A87">
      <w:pPr>
        <w:tabs>
          <w:tab w:val="left" w:pos="1701"/>
        </w:tabs>
        <w:jc w:val="both"/>
        <w:rPr>
          <w:rFonts w:ascii="Arial" w:hAnsi="Arial" w:cs="Arial"/>
          <w:sz w:val="18"/>
          <w:szCs w:val="18"/>
        </w:rPr>
      </w:pPr>
    </w:p>
    <w:p w14:paraId="70A74643" w14:textId="6C97FDED" w:rsidR="00F13F26" w:rsidRDefault="00F13F26" w:rsidP="00900A87">
      <w:pPr>
        <w:tabs>
          <w:tab w:val="left" w:pos="1701"/>
        </w:tabs>
        <w:jc w:val="both"/>
        <w:rPr>
          <w:rFonts w:ascii="Arial" w:hAnsi="Arial" w:cs="Arial"/>
          <w:sz w:val="18"/>
          <w:szCs w:val="18"/>
        </w:rPr>
      </w:pPr>
      <w:r>
        <w:rPr>
          <w:rFonts w:ascii="Arial" w:hAnsi="Arial" w:cs="Arial"/>
          <w:sz w:val="18"/>
          <w:szCs w:val="18"/>
        </w:rPr>
        <w:t>Váš dopis zn.:</w:t>
      </w:r>
    </w:p>
    <w:p w14:paraId="22BF3F02"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3D5344C5" w14:textId="77777777" w:rsidR="00615EAC" w:rsidRDefault="00DA39DD"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pPr>
      <w:r>
        <w:rPr>
          <w:rFonts w:ascii="Arial" w:hAnsi="Arial" w:cs="Arial"/>
          <w:color w:val="404040" w:themeColor="text1" w:themeTint="BF"/>
          <w:sz w:val="22"/>
          <w:szCs w:val="22"/>
        </w:rPr>
        <w:t xml:space="preserve">Chrenek, Toman, Kotrba advokátní   </w:t>
      </w:r>
      <w:r w:rsidR="00615EAC">
        <w:t xml:space="preserve">  </w:t>
      </w:r>
    </w:p>
    <w:p w14:paraId="1DE0FFFA" w14:textId="16D32586" w:rsidR="00E5606E" w:rsidRDefault="00DA39DD"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kancelář</w:t>
      </w:r>
      <w:r w:rsidR="00E5606E">
        <w:rPr>
          <w:rFonts w:ascii="Arial" w:hAnsi="Arial" w:cs="Arial"/>
          <w:color w:val="404040" w:themeColor="text1" w:themeTint="BF"/>
          <w:sz w:val="22"/>
          <w:szCs w:val="22"/>
        </w:rPr>
        <w:t xml:space="preserve"> spol. s r.o.</w:t>
      </w:r>
    </w:p>
    <w:p w14:paraId="5BC8E1E6" w14:textId="6432A61B" w:rsidR="00E5606E" w:rsidRDefault="00615EAC"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Těšnov 1/1059</w:t>
      </w:r>
    </w:p>
    <w:p w14:paraId="448F2AB7" w14:textId="44BFB491"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rPr>
          <w:rFonts w:ascii="Arial" w:hAnsi="Arial" w:cs="Arial"/>
          <w:color w:val="404040" w:themeColor="text1" w:themeTint="BF"/>
          <w:sz w:val="22"/>
          <w:szCs w:val="22"/>
        </w:rPr>
      </w:pPr>
      <w:r>
        <w:rPr>
          <w:rFonts w:ascii="Arial" w:hAnsi="Arial" w:cs="Arial"/>
          <w:color w:val="404040" w:themeColor="text1" w:themeTint="BF"/>
          <w:sz w:val="22"/>
          <w:szCs w:val="22"/>
        </w:rPr>
        <w:t>1</w:t>
      </w:r>
      <w:r w:rsidR="00615EAC">
        <w:rPr>
          <w:rFonts w:ascii="Arial" w:hAnsi="Arial" w:cs="Arial"/>
          <w:color w:val="404040" w:themeColor="text1" w:themeTint="BF"/>
          <w:sz w:val="22"/>
          <w:szCs w:val="22"/>
        </w:rPr>
        <w:t>1</w:t>
      </w:r>
      <w:r>
        <w:rPr>
          <w:rFonts w:ascii="Arial" w:hAnsi="Arial" w:cs="Arial"/>
          <w:color w:val="404040" w:themeColor="text1" w:themeTint="BF"/>
          <w:sz w:val="22"/>
          <w:szCs w:val="22"/>
        </w:rPr>
        <w:t>0 00 Praha</w:t>
      </w:r>
      <w:r w:rsidR="00615EAC">
        <w:rPr>
          <w:rFonts w:ascii="Arial" w:hAnsi="Arial" w:cs="Arial"/>
          <w:color w:val="404040" w:themeColor="text1" w:themeTint="BF"/>
          <w:sz w:val="22"/>
          <w:szCs w:val="22"/>
        </w:rPr>
        <w:t xml:space="preserve"> 1 </w:t>
      </w:r>
    </w:p>
    <w:p w14:paraId="4366997A" w14:textId="77777777" w:rsidR="00E5606E" w:rsidRDefault="00E5606E" w:rsidP="00E5606E">
      <w:pPr>
        <w:framePr w:w="3974" w:h="1966" w:hSpace="144" w:wrap="around" w:vAnchor="text" w:hAnchor="page" w:x="6517" w:y="57"/>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21AC5D8" w14:textId="77777777" w:rsidR="00E5606E" w:rsidRPr="00E14D4A" w:rsidRDefault="00E5606E" w:rsidP="00E5606E">
      <w:pPr>
        <w:framePr w:w="3974" w:h="1966" w:hSpace="144" w:wrap="around" w:vAnchor="text" w:hAnchor="page" w:x="6517" w:y="57"/>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68445930" w14:textId="211D03CA" w:rsidR="00F13F26" w:rsidRDefault="00F13F26" w:rsidP="00900A87">
      <w:pPr>
        <w:tabs>
          <w:tab w:val="left" w:pos="1701"/>
        </w:tabs>
        <w:jc w:val="both"/>
        <w:rPr>
          <w:rFonts w:ascii="Arial" w:hAnsi="Arial" w:cs="Arial"/>
          <w:sz w:val="18"/>
          <w:szCs w:val="18"/>
        </w:rPr>
      </w:pPr>
      <w:r>
        <w:rPr>
          <w:rFonts w:ascii="Arial" w:hAnsi="Arial" w:cs="Arial"/>
          <w:sz w:val="18"/>
          <w:szCs w:val="18"/>
        </w:rPr>
        <w:t>Ze dne:</w:t>
      </w:r>
    </w:p>
    <w:p w14:paraId="76F4334C" w14:textId="5E508366"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Naše značka:</w:t>
      </w:r>
      <w:r w:rsidR="00900A87" w:rsidRPr="00F13F26">
        <w:rPr>
          <w:rFonts w:ascii="Arial" w:hAnsi="Arial" w:cs="Arial"/>
          <w:sz w:val="18"/>
          <w:szCs w:val="18"/>
        </w:rPr>
        <w:tab/>
      </w:r>
      <w:r w:rsidR="00DA39DD" w:rsidRPr="00DA39DD">
        <w:rPr>
          <w:rFonts w:ascii="Arial" w:hAnsi="Arial" w:cs="Arial"/>
          <w:sz w:val="18"/>
          <w:szCs w:val="18"/>
        </w:rPr>
        <w:t>SPU 492627/2025</w:t>
      </w:r>
    </w:p>
    <w:p w14:paraId="0E5A706C" w14:textId="31E76577" w:rsidR="00F13F26" w:rsidRPr="00F13F26" w:rsidRDefault="00F13F26" w:rsidP="00900A87">
      <w:pPr>
        <w:tabs>
          <w:tab w:val="left" w:pos="1701"/>
        </w:tabs>
        <w:jc w:val="both"/>
        <w:rPr>
          <w:rFonts w:ascii="Arial" w:hAnsi="Arial" w:cs="Arial"/>
          <w:sz w:val="18"/>
          <w:szCs w:val="18"/>
        </w:rPr>
      </w:pPr>
      <w:r w:rsidRPr="00F13F26">
        <w:rPr>
          <w:rFonts w:ascii="Arial" w:hAnsi="Arial" w:cs="Arial"/>
          <w:sz w:val="18"/>
          <w:szCs w:val="18"/>
        </w:rPr>
        <w:t>Spis. značka:</w:t>
      </w:r>
      <w:r w:rsidR="00B27E37">
        <w:rPr>
          <w:rFonts w:ascii="Arial" w:hAnsi="Arial" w:cs="Arial"/>
          <w:sz w:val="18"/>
          <w:szCs w:val="18"/>
        </w:rPr>
        <w:tab/>
      </w:r>
      <w:r w:rsidR="00DA39DD" w:rsidRPr="00DA39DD">
        <w:rPr>
          <w:rFonts w:ascii="Arial" w:hAnsi="Arial" w:cs="Arial"/>
          <w:sz w:val="18"/>
          <w:szCs w:val="18"/>
        </w:rPr>
        <w:t>SZ SPU 492459/2025</w:t>
      </w:r>
    </w:p>
    <w:p w14:paraId="4DAFC439" w14:textId="0EFA8444" w:rsidR="003747BF" w:rsidRPr="00F13F26" w:rsidRDefault="00372BE9" w:rsidP="00900A87">
      <w:pPr>
        <w:tabs>
          <w:tab w:val="left" w:pos="1701"/>
        </w:tabs>
        <w:jc w:val="both"/>
        <w:rPr>
          <w:rFonts w:ascii="Arial" w:hAnsi="Arial" w:cs="Arial"/>
          <w:sz w:val="18"/>
          <w:szCs w:val="18"/>
        </w:rPr>
      </w:pPr>
      <w:r w:rsidRPr="00F13F26">
        <w:rPr>
          <w:rFonts w:ascii="Arial" w:hAnsi="Arial" w:cs="Arial"/>
          <w:sz w:val="18"/>
          <w:szCs w:val="18"/>
        </w:rPr>
        <w:t xml:space="preserve">UID: </w:t>
      </w:r>
      <w:r w:rsidRPr="00F13F26">
        <w:rPr>
          <w:rFonts w:ascii="Arial" w:hAnsi="Arial" w:cs="Arial"/>
          <w:sz w:val="18"/>
          <w:szCs w:val="18"/>
        </w:rPr>
        <w:tab/>
      </w:r>
      <w:r w:rsidR="00DA39DD" w:rsidRPr="00DA39DD">
        <w:rPr>
          <w:rFonts w:ascii="Arial" w:hAnsi="Arial" w:cs="Arial"/>
          <w:sz w:val="18"/>
          <w:szCs w:val="18"/>
        </w:rPr>
        <w:t>spuess9805423b</w:t>
      </w:r>
    </w:p>
    <w:p w14:paraId="52A9CEA7" w14:textId="77777777" w:rsidR="00F13F26" w:rsidRPr="00F13F26" w:rsidRDefault="00F13F26" w:rsidP="00900A87">
      <w:pPr>
        <w:tabs>
          <w:tab w:val="left" w:pos="1701"/>
        </w:tabs>
        <w:jc w:val="both"/>
        <w:rPr>
          <w:rFonts w:ascii="Arial" w:hAnsi="Arial" w:cs="Arial"/>
          <w:sz w:val="18"/>
          <w:szCs w:val="18"/>
        </w:rPr>
      </w:pPr>
    </w:p>
    <w:p w14:paraId="6B07A236" w14:textId="196BABC8" w:rsidR="003747BF" w:rsidRPr="00F13F26" w:rsidRDefault="00132076" w:rsidP="00900A87">
      <w:pPr>
        <w:tabs>
          <w:tab w:val="left" w:pos="1701"/>
        </w:tabs>
        <w:jc w:val="both"/>
        <w:rPr>
          <w:rFonts w:ascii="Arial" w:hAnsi="Arial" w:cs="Arial"/>
          <w:sz w:val="18"/>
          <w:szCs w:val="18"/>
        </w:rPr>
      </w:pPr>
      <w:r w:rsidRPr="00F13F26">
        <w:rPr>
          <w:rFonts w:ascii="Arial" w:hAnsi="Arial" w:cs="Arial"/>
          <w:sz w:val="18"/>
          <w:szCs w:val="18"/>
        </w:rPr>
        <w:t xml:space="preserve">Vyřizuje.: </w:t>
      </w:r>
      <w:r w:rsidRPr="00F13F26">
        <w:rPr>
          <w:rFonts w:ascii="Arial" w:hAnsi="Arial" w:cs="Arial"/>
          <w:sz w:val="18"/>
          <w:szCs w:val="18"/>
        </w:rPr>
        <w:tab/>
      </w:r>
      <w:r w:rsidR="00F840B9" w:rsidRPr="00F13F26">
        <w:rPr>
          <w:rFonts w:ascii="Arial" w:hAnsi="Arial" w:cs="Arial"/>
          <w:sz w:val="18"/>
          <w:szCs w:val="18"/>
        </w:rPr>
        <w:t>Mgr. Kateřina Brožková</w:t>
      </w:r>
    </w:p>
    <w:p w14:paraId="1EE6D3DA" w14:textId="47D39A2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Tel.:</w:t>
      </w:r>
      <w:r w:rsidRPr="00F13F26">
        <w:rPr>
          <w:rFonts w:ascii="Arial" w:hAnsi="Arial" w:cs="Arial"/>
          <w:sz w:val="18"/>
          <w:szCs w:val="18"/>
        </w:rPr>
        <w:tab/>
      </w:r>
      <w:r w:rsidR="00CD1383" w:rsidRPr="00F13F26">
        <w:rPr>
          <w:rFonts w:ascii="Arial" w:hAnsi="Arial" w:cs="Arial"/>
          <w:sz w:val="18"/>
          <w:szCs w:val="18"/>
        </w:rPr>
        <w:t xml:space="preserve">729 922 </w:t>
      </w:r>
      <w:r w:rsidR="00F840B9" w:rsidRPr="00F13F26">
        <w:rPr>
          <w:rFonts w:ascii="Arial" w:hAnsi="Arial" w:cs="Arial"/>
          <w:sz w:val="18"/>
          <w:szCs w:val="18"/>
        </w:rPr>
        <w:t>312</w:t>
      </w:r>
    </w:p>
    <w:p w14:paraId="185A0AC5" w14:textId="0727679F"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ID DS:</w:t>
      </w:r>
      <w:r w:rsidRPr="00F13F26">
        <w:rPr>
          <w:rFonts w:ascii="Arial" w:hAnsi="Arial" w:cs="Arial"/>
          <w:sz w:val="18"/>
          <w:szCs w:val="18"/>
        </w:rPr>
        <w:tab/>
        <w:t>z49per3</w:t>
      </w:r>
    </w:p>
    <w:p w14:paraId="515BE05C" w14:textId="6EC70875"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E-mail:</w:t>
      </w:r>
      <w:r w:rsidRPr="00F13F26">
        <w:rPr>
          <w:rFonts w:ascii="Arial" w:hAnsi="Arial" w:cs="Arial"/>
          <w:sz w:val="18"/>
          <w:szCs w:val="18"/>
        </w:rPr>
        <w:tab/>
      </w:r>
      <w:r w:rsidR="00F840B9" w:rsidRPr="00F13F26">
        <w:rPr>
          <w:rFonts w:ascii="Arial" w:hAnsi="Arial" w:cs="Arial"/>
          <w:sz w:val="18"/>
          <w:szCs w:val="18"/>
        </w:rPr>
        <w:t>k</w:t>
      </w:r>
      <w:r w:rsidR="002E239F" w:rsidRPr="00F13F26">
        <w:rPr>
          <w:rFonts w:ascii="Arial" w:hAnsi="Arial" w:cs="Arial"/>
          <w:sz w:val="18"/>
          <w:szCs w:val="18"/>
        </w:rPr>
        <w:t>aterina</w:t>
      </w:r>
      <w:r w:rsidR="00F840B9" w:rsidRPr="00F13F26">
        <w:rPr>
          <w:rFonts w:ascii="Arial" w:hAnsi="Arial" w:cs="Arial"/>
          <w:sz w:val="18"/>
          <w:szCs w:val="18"/>
        </w:rPr>
        <w:t>.brozkova</w:t>
      </w:r>
      <w:r w:rsidR="00132076" w:rsidRPr="00F13F26">
        <w:rPr>
          <w:rFonts w:ascii="Arial" w:hAnsi="Arial" w:cs="Arial"/>
          <w:sz w:val="18"/>
          <w:szCs w:val="18"/>
        </w:rPr>
        <w:t>@</w:t>
      </w:r>
      <w:r w:rsidRPr="00F13F26">
        <w:rPr>
          <w:rFonts w:ascii="Arial" w:hAnsi="Arial" w:cs="Arial"/>
          <w:sz w:val="18"/>
          <w:szCs w:val="18"/>
        </w:rPr>
        <w:t>spu</w:t>
      </w:r>
      <w:r w:rsidR="002E239F" w:rsidRPr="00F13F26">
        <w:rPr>
          <w:rFonts w:ascii="Arial" w:hAnsi="Arial" w:cs="Arial"/>
          <w:sz w:val="18"/>
          <w:szCs w:val="18"/>
        </w:rPr>
        <w:t>.gov</w:t>
      </w:r>
      <w:r w:rsidRPr="00F13F26">
        <w:rPr>
          <w:rFonts w:ascii="Arial" w:hAnsi="Arial" w:cs="Arial"/>
          <w:sz w:val="18"/>
          <w:szCs w:val="18"/>
        </w:rPr>
        <w:t>.cz</w:t>
      </w:r>
    </w:p>
    <w:p w14:paraId="0F68956F" w14:textId="77777777" w:rsidR="00F13F26" w:rsidRDefault="00F13F26" w:rsidP="00900A87">
      <w:pPr>
        <w:tabs>
          <w:tab w:val="left" w:pos="1701"/>
        </w:tabs>
        <w:jc w:val="both"/>
        <w:rPr>
          <w:rFonts w:ascii="Arial" w:hAnsi="Arial" w:cs="Arial"/>
          <w:sz w:val="22"/>
          <w:szCs w:val="22"/>
        </w:rPr>
      </w:pPr>
    </w:p>
    <w:p w14:paraId="416705BF" w14:textId="12D328A1" w:rsidR="003747BF" w:rsidRPr="00F13F26" w:rsidRDefault="003747BF" w:rsidP="00900A87">
      <w:pPr>
        <w:tabs>
          <w:tab w:val="left" w:pos="1701"/>
        </w:tabs>
        <w:jc w:val="both"/>
        <w:rPr>
          <w:rFonts w:ascii="Arial" w:hAnsi="Arial" w:cs="Arial"/>
          <w:sz w:val="18"/>
          <w:szCs w:val="18"/>
        </w:rPr>
      </w:pPr>
      <w:r w:rsidRPr="00F13F26">
        <w:rPr>
          <w:rFonts w:ascii="Arial" w:hAnsi="Arial" w:cs="Arial"/>
          <w:sz w:val="18"/>
          <w:szCs w:val="18"/>
        </w:rPr>
        <w:t>Datum:</w:t>
      </w:r>
      <w:r w:rsidR="00034EA4">
        <w:rPr>
          <w:rFonts w:ascii="Arial" w:hAnsi="Arial" w:cs="Arial"/>
          <w:sz w:val="18"/>
          <w:szCs w:val="18"/>
        </w:rPr>
        <w:tab/>
      </w:r>
      <w:r w:rsidR="00B27E37">
        <w:rPr>
          <w:rFonts w:ascii="Arial" w:hAnsi="Arial" w:cs="Arial"/>
          <w:sz w:val="18"/>
          <w:szCs w:val="18"/>
        </w:rPr>
        <w:t xml:space="preserve">V Praze dne </w:t>
      </w:r>
      <w:r w:rsidR="00615EAC">
        <w:rPr>
          <w:rFonts w:ascii="Arial" w:hAnsi="Arial" w:cs="Arial"/>
          <w:sz w:val="18"/>
          <w:szCs w:val="18"/>
        </w:rPr>
        <w:t>2</w:t>
      </w:r>
      <w:r w:rsidR="00B27E37">
        <w:rPr>
          <w:rFonts w:ascii="Arial" w:hAnsi="Arial" w:cs="Arial"/>
          <w:sz w:val="18"/>
          <w:szCs w:val="18"/>
        </w:rPr>
        <w:t>.1</w:t>
      </w:r>
      <w:r w:rsidR="00615EAC">
        <w:rPr>
          <w:rFonts w:ascii="Arial" w:hAnsi="Arial" w:cs="Arial"/>
          <w:sz w:val="18"/>
          <w:szCs w:val="18"/>
        </w:rPr>
        <w:t>2</w:t>
      </w:r>
      <w:r w:rsidR="00B27E37">
        <w:rPr>
          <w:rFonts w:ascii="Arial" w:hAnsi="Arial" w:cs="Arial"/>
          <w:sz w:val="18"/>
          <w:szCs w:val="18"/>
        </w:rPr>
        <w:t>.2025</w:t>
      </w:r>
      <w:r w:rsidRPr="00F13F26">
        <w:rPr>
          <w:rFonts w:ascii="Arial" w:hAnsi="Arial" w:cs="Arial"/>
          <w:sz w:val="18"/>
          <w:szCs w:val="18"/>
        </w:rPr>
        <w:tab/>
      </w:r>
    </w:p>
    <w:p w14:paraId="20FAF8B2" w14:textId="77777777" w:rsidR="00FA6F6D" w:rsidRDefault="00FA6F6D" w:rsidP="00FE2B98">
      <w:pPr>
        <w:spacing w:after="120"/>
        <w:rPr>
          <w:rFonts w:ascii="Arial" w:hAnsi="Arial" w:cs="Arial"/>
          <w:b/>
          <w:sz w:val="22"/>
          <w:szCs w:val="22"/>
        </w:rPr>
      </w:pPr>
    </w:p>
    <w:p w14:paraId="33892DE7" w14:textId="77777777" w:rsidR="00F44854" w:rsidRDefault="00F44854" w:rsidP="00FE2B98">
      <w:pPr>
        <w:spacing w:after="120"/>
        <w:rPr>
          <w:rFonts w:ascii="Arial" w:hAnsi="Arial" w:cs="Arial"/>
          <w:b/>
          <w:sz w:val="22"/>
          <w:szCs w:val="22"/>
        </w:rPr>
      </w:pPr>
    </w:p>
    <w:p w14:paraId="71CE586A" w14:textId="407715B9"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1024/11a, 130 00 Praha 3 – Žižkov</w:t>
      </w:r>
    </w:p>
    <w:p w14:paraId="376D508A" w14:textId="3A6BE185" w:rsidR="00364153" w:rsidRPr="00FE2B98" w:rsidRDefault="00364153" w:rsidP="00FE2B98">
      <w:pPr>
        <w:tabs>
          <w:tab w:val="left" w:pos="851"/>
        </w:tabs>
        <w:spacing w:after="12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3E2197E8"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r w:rsidR="00615EAC">
        <w:rPr>
          <w:rFonts w:ascii="Arial" w:hAnsi="Arial" w:cs="Arial"/>
          <w:sz w:val="22"/>
          <w:szCs w:val="22"/>
        </w:rPr>
        <w:t>Chrenek, Toman, Kotrba advokátní kancelář</w:t>
      </w:r>
      <w:r w:rsidR="00E5606E">
        <w:rPr>
          <w:rFonts w:ascii="Arial" w:hAnsi="Arial" w:cs="Arial"/>
          <w:sz w:val="22"/>
          <w:szCs w:val="22"/>
        </w:rPr>
        <w:t xml:space="preserve"> spol. s r.o.</w:t>
      </w:r>
    </w:p>
    <w:p w14:paraId="47DE9898" w14:textId="29689D94"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615EAC">
        <w:rPr>
          <w:rFonts w:ascii="Arial" w:hAnsi="Arial" w:cs="Arial"/>
          <w:sz w:val="22"/>
          <w:szCs w:val="22"/>
        </w:rPr>
        <w:t>Těšnov 1/1059</w:t>
      </w:r>
      <w:r w:rsidR="00E5606E">
        <w:rPr>
          <w:rFonts w:ascii="Arial" w:hAnsi="Arial" w:cs="Arial"/>
          <w:sz w:val="22"/>
          <w:szCs w:val="22"/>
        </w:rPr>
        <w:t>, 1</w:t>
      </w:r>
      <w:r w:rsidR="00615EAC">
        <w:rPr>
          <w:rFonts w:ascii="Arial" w:hAnsi="Arial" w:cs="Arial"/>
          <w:sz w:val="22"/>
          <w:szCs w:val="22"/>
        </w:rPr>
        <w:t>1</w:t>
      </w:r>
      <w:r w:rsidR="00E5606E">
        <w:rPr>
          <w:rFonts w:ascii="Arial" w:hAnsi="Arial" w:cs="Arial"/>
          <w:sz w:val="22"/>
          <w:szCs w:val="22"/>
        </w:rPr>
        <w:t xml:space="preserve">0 00 Praha </w:t>
      </w:r>
      <w:r w:rsidR="00615EAC">
        <w:rPr>
          <w:rFonts w:ascii="Arial" w:hAnsi="Arial" w:cs="Arial"/>
          <w:sz w:val="22"/>
          <w:szCs w:val="22"/>
        </w:rPr>
        <w:t>1</w:t>
      </w:r>
    </w:p>
    <w:p w14:paraId="11355129" w14:textId="2A76CEF4" w:rsidR="00FA6F6D" w:rsidRDefault="007262DB" w:rsidP="00EC1B44">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615EAC">
        <w:rPr>
          <w:rFonts w:ascii="Arial" w:hAnsi="Arial" w:cs="Arial"/>
          <w:sz w:val="22"/>
          <w:szCs w:val="22"/>
        </w:rPr>
        <w:t>28505913</w:t>
      </w:r>
    </w:p>
    <w:p w14:paraId="0D3C6563" w14:textId="527FC8A4" w:rsidR="00EC1B44" w:rsidRDefault="00EC1B44" w:rsidP="00EC1B44">
      <w:pPr>
        <w:spacing w:after="120" w:line="264" w:lineRule="auto"/>
        <w:jc w:val="both"/>
        <w:rPr>
          <w:rFonts w:ascii="Arial" w:hAnsi="Arial" w:cs="Arial"/>
          <w:sz w:val="22"/>
          <w:szCs w:val="22"/>
        </w:rPr>
      </w:pPr>
      <w:r w:rsidRPr="00E37A82">
        <w:rPr>
          <w:rFonts w:ascii="Arial" w:hAnsi="Arial" w:cs="Arial"/>
          <w:sz w:val="22"/>
          <w:szCs w:val="22"/>
        </w:rPr>
        <w:t xml:space="preserve">Tímto objednáváme u shora uvedeného poskytovatele zajištění </w:t>
      </w:r>
      <w:r>
        <w:rPr>
          <w:rFonts w:ascii="Arial" w:hAnsi="Arial" w:cs="Arial"/>
          <w:sz w:val="22"/>
          <w:szCs w:val="22"/>
        </w:rPr>
        <w:t xml:space="preserve">školení </w:t>
      </w:r>
      <w:r w:rsidR="00615EAC" w:rsidRPr="00615EAC">
        <w:rPr>
          <w:rFonts w:ascii="Arial" w:hAnsi="Arial" w:cs="Arial"/>
          <w:sz w:val="22"/>
          <w:szCs w:val="22"/>
        </w:rPr>
        <w:t>Zákon o zadávání veřejných zakázek, prováděcí vyhlášky k zákonu</w:t>
      </w:r>
      <w:r>
        <w:rPr>
          <w:rFonts w:ascii="Arial" w:hAnsi="Arial" w:cs="Arial"/>
          <w:sz w:val="22"/>
          <w:szCs w:val="22"/>
        </w:rPr>
        <w:t xml:space="preserve"> pro zaměstnance Státního pozemkového úřadu. </w:t>
      </w:r>
    </w:p>
    <w:p w14:paraId="610A2F0D" w14:textId="77777777" w:rsidR="00EC1B44" w:rsidRDefault="00EC1B44" w:rsidP="00EC1B44">
      <w:pPr>
        <w:spacing w:after="120" w:line="264" w:lineRule="auto"/>
        <w:jc w:val="both"/>
        <w:rPr>
          <w:rFonts w:ascii="Arial" w:hAnsi="Arial" w:cs="Arial"/>
          <w:sz w:val="22"/>
          <w:szCs w:val="22"/>
        </w:rPr>
      </w:pPr>
      <w:r>
        <w:rPr>
          <w:rFonts w:ascii="Arial" w:hAnsi="Arial" w:cs="Arial"/>
          <w:sz w:val="22"/>
          <w:szCs w:val="22"/>
        </w:rPr>
        <w:t>Předmětem plnění je zajištění vzdělávacích akcí:</w:t>
      </w:r>
    </w:p>
    <w:p w14:paraId="5EBBE661" w14:textId="0BB036AB" w:rsidR="00EC1B44" w:rsidRDefault="00615EAC" w:rsidP="00EC1B44">
      <w:pPr>
        <w:pStyle w:val="Odstavecseseznamem"/>
        <w:numPr>
          <w:ilvl w:val="0"/>
          <w:numId w:val="14"/>
        </w:numPr>
        <w:spacing w:after="120" w:line="264" w:lineRule="auto"/>
        <w:jc w:val="both"/>
        <w:rPr>
          <w:rFonts w:ascii="Arial" w:hAnsi="Arial" w:cs="Arial"/>
          <w:sz w:val="22"/>
          <w:szCs w:val="22"/>
        </w:rPr>
      </w:pPr>
      <w:r w:rsidRPr="00B12D8F">
        <w:rPr>
          <w:rFonts w:ascii="Arial" w:hAnsi="Arial" w:cs="Arial"/>
          <w:b/>
          <w:bCs/>
          <w:sz w:val="22"/>
          <w:szCs w:val="22"/>
        </w:rPr>
        <w:t>Zákon o zadávání veřejných zakázek, prováděcí vyhlášky k zákonu</w:t>
      </w:r>
      <w:r>
        <w:rPr>
          <w:rFonts w:ascii="Arial" w:hAnsi="Arial" w:cs="Arial"/>
          <w:sz w:val="22"/>
          <w:szCs w:val="22"/>
        </w:rPr>
        <w:t xml:space="preserve"> pro zaměstnance, kteří administrují zadávací nebo výběrová řízení</w:t>
      </w:r>
      <w:r w:rsidR="00EC1B44">
        <w:rPr>
          <w:rFonts w:ascii="Arial" w:hAnsi="Arial" w:cs="Arial"/>
          <w:sz w:val="22"/>
          <w:szCs w:val="22"/>
        </w:rPr>
        <w:t>, která bude zahrnovat:</w:t>
      </w:r>
    </w:p>
    <w:p w14:paraId="255C47F8" w14:textId="3920C50C" w:rsidR="00615EAC"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sz w:val="22"/>
          <w:szCs w:val="22"/>
        </w:rPr>
        <w:t>Úvod do práva veřejného zadávání</w:t>
      </w:r>
    </w:p>
    <w:p w14:paraId="053AF43E" w14:textId="1B17FEBC" w:rsidR="00F8718C"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sz w:val="22"/>
          <w:szCs w:val="22"/>
        </w:rPr>
        <w:t>Režimy veřejných zakázek (VZMR, podlimitní, nadlimitní)</w:t>
      </w:r>
      <w:r w:rsidR="00A411E4">
        <w:rPr>
          <w:rFonts w:ascii="Arial" w:hAnsi="Arial" w:cs="Arial"/>
          <w:sz w:val="22"/>
          <w:szCs w:val="22"/>
        </w:rPr>
        <w:t xml:space="preserve"> – zohlednit pravidla SPÚ</w:t>
      </w:r>
    </w:p>
    <w:p w14:paraId="0458B9CA" w14:textId="77777777" w:rsidR="00F8718C"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sz w:val="22"/>
          <w:szCs w:val="22"/>
        </w:rPr>
        <w:t>Průzkum trhu a předběžné tržní konzultace – limity, pravidla</w:t>
      </w:r>
    </w:p>
    <w:p w14:paraId="614ED0A5" w14:textId="5CA6C176" w:rsidR="00F8718C" w:rsidRPr="00F8718C"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color w:val="1E1E1E"/>
          <w:sz w:val="22"/>
          <w:szCs w:val="22"/>
        </w:rPr>
        <w:t>Komunikace zadavatele s dodavateli – písemnost, elektronické nástroje, vysvětlení zadávací dokumentace, lhůty</w:t>
      </w:r>
    </w:p>
    <w:p w14:paraId="17DEB819" w14:textId="02942C5F" w:rsidR="00F8718C"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sz w:val="22"/>
          <w:szCs w:val="22"/>
        </w:rPr>
        <w:t>Další základní instituty veřejného zadávání – objasňování nabídek, vylučování dodavatelů, předkládaní dokladů, komise, dělení</w:t>
      </w:r>
      <w:r>
        <w:rPr>
          <w:rFonts w:ascii="Arial" w:hAnsi="Arial" w:cs="Arial"/>
          <w:sz w:val="22"/>
          <w:szCs w:val="22"/>
        </w:rPr>
        <w:t xml:space="preserve"> </w:t>
      </w:r>
      <w:r w:rsidRPr="00F8718C">
        <w:rPr>
          <w:rFonts w:ascii="Arial" w:hAnsi="Arial" w:cs="Arial"/>
          <w:sz w:val="22"/>
          <w:szCs w:val="22"/>
        </w:rPr>
        <w:t>zakázek</w:t>
      </w:r>
      <w:r>
        <w:rPr>
          <w:rFonts w:ascii="Arial" w:hAnsi="Arial" w:cs="Arial"/>
          <w:sz w:val="22"/>
          <w:szCs w:val="22"/>
        </w:rPr>
        <w:t xml:space="preserve"> </w:t>
      </w:r>
      <w:r w:rsidRPr="00F8718C">
        <w:rPr>
          <w:rFonts w:ascii="Arial" w:hAnsi="Arial" w:cs="Arial"/>
          <w:sz w:val="22"/>
          <w:szCs w:val="22"/>
        </w:rPr>
        <w:t>atd.</w:t>
      </w:r>
    </w:p>
    <w:p w14:paraId="741AD9A1" w14:textId="0ED521D9" w:rsidR="00F8718C"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sz w:val="22"/>
          <w:szCs w:val="22"/>
        </w:rPr>
        <w:t>Počítání a úprava lhůt (VZD, prodloužení lhůt, možnost předsunout lhůtu pro podání námitek o 72 hodin a jeho dopady)</w:t>
      </w:r>
    </w:p>
    <w:p w14:paraId="4E9B2898" w14:textId="7CA9D41E" w:rsidR="00F8718C" w:rsidRPr="00561A80"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sz w:val="22"/>
          <w:szCs w:val="22"/>
        </w:rPr>
        <w:t>Kvalifikace – základní pravidla a přístupy</w:t>
      </w:r>
      <w:r w:rsidR="00561A80">
        <w:rPr>
          <w:rFonts w:ascii="Arial" w:hAnsi="Arial" w:cs="Arial"/>
          <w:sz w:val="22"/>
          <w:szCs w:val="22"/>
        </w:rPr>
        <w:t xml:space="preserve">; </w:t>
      </w:r>
      <w:r w:rsidRPr="00561A80">
        <w:rPr>
          <w:rFonts w:ascii="Arial" w:hAnsi="Arial" w:cs="Arial"/>
          <w:sz w:val="22"/>
          <w:szCs w:val="22"/>
        </w:rPr>
        <w:t>Hodnocení – základní pravidla a přístupy</w:t>
      </w:r>
    </w:p>
    <w:p w14:paraId="79F5C354" w14:textId="30F7C9B7" w:rsidR="00F8718C"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sz w:val="22"/>
          <w:szCs w:val="22"/>
        </w:rPr>
        <w:t>MNNC</w:t>
      </w:r>
      <w:r w:rsidR="00A411E4">
        <w:rPr>
          <w:rFonts w:ascii="Arial" w:hAnsi="Arial" w:cs="Arial"/>
          <w:sz w:val="22"/>
          <w:szCs w:val="22"/>
        </w:rPr>
        <w:t>;</w:t>
      </w:r>
      <w:r>
        <w:rPr>
          <w:rFonts w:ascii="Arial" w:hAnsi="Arial" w:cs="Arial"/>
          <w:sz w:val="22"/>
          <w:szCs w:val="22"/>
        </w:rPr>
        <w:t xml:space="preserve"> </w:t>
      </w:r>
      <w:r w:rsidRPr="00F8718C">
        <w:rPr>
          <w:rFonts w:ascii="Arial" w:hAnsi="Arial" w:cs="Arial"/>
          <w:sz w:val="22"/>
          <w:szCs w:val="22"/>
        </w:rPr>
        <w:t>Standardní druhy zadávacího řízení, jejich srovnání a specifika</w:t>
      </w:r>
    </w:p>
    <w:p w14:paraId="6C089AB7" w14:textId="0D096525" w:rsidR="00F8718C"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sz w:val="22"/>
          <w:szCs w:val="22"/>
        </w:rPr>
        <w:t>Námitkové řízení a řízení před ÚOHS</w:t>
      </w:r>
    </w:p>
    <w:p w14:paraId="797B3E94" w14:textId="22E00587" w:rsidR="00F8718C"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sz w:val="22"/>
          <w:szCs w:val="22"/>
        </w:rPr>
        <w:t>Contract management a limity změn závazku ze smlouvy dle § 222 ZZVZ</w:t>
      </w:r>
    </w:p>
    <w:p w14:paraId="3DDEDD43" w14:textId="13E7A35C" w:rsidR="00F8718C" w:rsidRDefault="00F8718C" w:rsidP="00561A80">
      <w:pPr>
        <w:pStyle w:val="Odstavecseseznamem"/>
        <w:numPr>
          <w:ilvl w:val="0"/>
          <w:numId w:val="19"/>
        </w:numPr>
        <w:spacing w:after="120" w:line="264" w:lineRule="auto"/>
        <w:jc w:val="both"/>
        <w:rPr>
          <w:rFonts w:ascii="Arial" w:hAnsi="Arial" w:cs="Arial"/>
          <w:sz w:val="22"/>
          <w:szCs w:val="22"/>
        </w:rPr>
      </w:pPr>
      <w:r w:rsidRPr="00F8718C">
        <w:rPr>
          <w:rFonts w:ascii="Arial" w:hAnsi="Arial" w:cs="Arial"/>
          <w:sz w:val="22"/>
          <w:szCs w:val="22"/>
        </w:rPr>
        <w:t>Uveřejňovací povinnosti zadavatele a sankce za porušení (neuveřejnění oznámení o výběru, neoznámení uzavřených dodatků)</w:t>
      </w:r>
      <w:r>
        <w:rPr>
          <w:rFonts w:ascii="Arial" w:hAnsi="Arial" w:cs="Arial"/>
          <w:sz w:val="22"/>
          <w:szCs w:val="22"/>
        </w:rPr>
        <w:t xml:space="preserve"> apod.</w:t>
      </w:r>
    </w:p>
    <w:p w14:paraId="2235DE32" w14:textId="42EF9878" w:rsidR="00F8718C" w:rsidRDefault="00F8718C" w:rsidP="00F44854">
      <w:pPr>
        <w:pStyle w:val="Odstavecseseznamem"/>
        <w:numPr>
          <w:ilvl w:val="0"/>
          <w:numId w:val="19"/>
        </w:numPr>
        <w:spacing w:after="120" w:line="264" w:lineRule="auto"/>
        <w:ind w:left="1434" w:hanging="357"/>
        <w:jc w:val="both"/>
        <w:rPr>
          <w:rFonts w:ascii="Arial" w:hAnsi="Arial" w:cs="Arial"/>
          <w:sz w:val="22"/>
          <w:szCs w:val="22"/>
        </w:rPr>
      </w:pPr>
      <w:r w:rsidRPr="00F8718C">
        <w:rPr>
          <w:rFonts w:ascii="Arial" w:hAnsi="Arial" w:cs="Arial"/>
          <w:sz w:val="22"/>
          <w:szCs w:val="22"/>
        </w:rPr>
        <w:t>Dotazy, diskuse</w:t>
      </w:r>
    </w:p>
    <w:p w14:paraId="7E2419EE" w14:textId="22FFAE1C" w:rsidR="00B326D0" w:rsidRPr="00B326D0" w:rsidRDefault="00B326D0" w:rsidP="00B326D0">
      <w:pPr>
        <w:spacing w:after="120" w:line="264" w:lineRule="auto"/>
        <w:jc w:val="both"/>
        <w:rPr>
          <w:rFonts w:ascii="Arial" w:hAnsi="Arial" w:cs="Arial"/>
          <w:sz w:val="22"/>
          <w:szCs w:val="22"/>
        </w:rPr>
      </w:pPr>
      <w:r>
        <w:rPr>
          <w:rFonts w:ascii="Arial" w:hAnsi="Arial" w:cs="Arial"/>
          <w:sz w:val="22"/>
          <w:szCs w:val="22"/>
        </w:rPr>
        <w:t xml:space="preserve">Obsah školení </w:t>
      </w:r>
      <w:r w:rsidR="003662E3">
        <w:rPr>
          <w:rFonts w:ascii="Arial" w:hAnsi="Arial" w:cs="Arial"/>
          <w:sz w:val="22"/>
          <w:szCs w:val="22"/>
        </w:rPr>
        <w:t>může být dále doplněn případně upraven dle dohody objednatele s poskytovatelem.</w:t>
      </w:r>
    </w:p>
    <w:p w14:paraId="65BD1844" w14:textId="1A0D35B3" w:rsidR="00F8718C" w:rsidRDefault="00F8718C" w:rsidP="00B12D8F">
      <w:pPr>
        <w:spacing w:line="264" w:lineRule="auto"/>
        <w:jc w:val="both"/>
        <w:rPr>
          <w:rFonts w:ascii="Arial" w:hAnsi="Arial" w:cs="Arial"/>
          <w:sz w:val="22"/>
          <w:szCs w:val="22"/>
        </w:rPr>
      </w:pPr>
      <w:r w:rsidRPr="00F8718C">
        <w:rPr>
          <w:rFonts w:ascii="Arial" w:hAnsi="Arial" w:cs="Arial"/>
          <w:sz w:val="22"/>
          <w:szCs w:val="22"/>
          <w:u w:val="single"/>
        </w:rPr>
        <w:lastRenderedPageBreak/>
        <w:t>Forma vzdělávací akce</w:t>
      </w:r>
      <w:r>
        <w:rPr>
          <w:rFonts w:ascii="Arial" w:hAnsi="Arial" w:cs="Arial"/>
          <w:sz w:val="22"/>
          <w:szCs w:val="22"/>
        </w:rPr>
        <w:t>: 2x on line přes MS TEAMS</w:t>
      </w:r>
    </w:p>
    <w:p w14:paraId="33ED6B65" w14:textId="4ABF5039" w:rsidR="00642E64" w:rsidRDefault="00642E64" w:rsidP="00F44854">
      <w:pPr>
        <w:spacing w:after="60" w:line="264" w:lineRule="auto"/>
        <w:jc w:val="both"/>
        <w:rPr>
          <w:rFonts w:ascii="Arial" w:hAnsi="Arial" w:cs="Arial"/>
          <w:sz w:val="22"/>
          <w:szCs w:val="22"/>
        </w:rPr>
      </w:pPr>
      <w:r w:rsidRPr="00B12D8F">
        <w:rPr>
          <w:rFonts w:ascii="Arial" w:hAnsi="Arial" w:cs="Arial"/>
          <w:sz w:val="22"/>
          <w:szCs w:val="22"/>
          <w:u w:val="single"/>
        </w:rPr>
        <w:t>Celkový počet účastníků</w:t>
      </w:r>
      <w:r>
        <w:rPr>
          <w:rFonts w:ascii="Arial" w:hAnsi="Arial" w:cs="Arial"/>
          <w:sz w:val="22"/>
          <w:szCs w:val="22"/>
        </w:rPr>
        <w:t xml:space="preserve">: cca </w:t>
      </w:r>
      <w:r w:rsidR="00B326D0">
        <w:rPr>
          <w:rFonts w:ascii="Arial" w:hAnsi="Arial" w:cs="Arial"/>
          <w:sz w:val="22"/>
          <w:szCs w:val="22"/>
        </w:rPr>
        <w:t>77</w:t>
      </w:r>
    </w:p>
    <w:p w14:paraId="0E61EC47" w14:textId="11D774B4" w:rsidR="00B12D8F" w:rsidRPr="002E0940" w:rsidRDefault="00B12D8F" w:rsidP="00F44854">
      <w:pPr>
        <w:spacing w:after="60"/>
        <w:jc w:val="both"/>
        <w:rPr>
          <w:rFonts w:ascii="Arial" w:hAnsi="Arial" w:cs="Arial"/>
          <w:sz w:val="22"/>
          <w:szCs w:val="22"/>
        </w:rPr>
      </w:pPr>
      <w:r w:rsidRPr="002E0940">
        <w:rPr>
          <w:rFonts w:ascii="Arial" w:hAnsi="Arial" w:cs="Arial"/>
          <w:sz w:val="22"/>
          <w:szCs w:val="22"/>
          <w:u w:val="single"/>
        </w:rPr>
        <w:t>Časová dotace 1 vzdělávací akce</w:t>
      </w:r>
      <w:r w:rsidRPr="002E0940">
        <w:rPr>
          <w:rFonts w:ascii="Arial" w:hAnsi="Arial" w:cs="Arial"/>
          <w:sz w:val="22"/>
          <w:szCs w:val="22"/>
        </w:rPr>
        <w:t xml:space="preserve">: </w:t>
      </w:r>
      <w:r>
        <w:rPr>
          <w:rFonts w:ascii="Arial" w:hAnsi="Arial" w:cs="Arial"/>
          <w:sz w:val="22"/>
          <w:szCs w:val="22"/>
        </w:rPr>
        <w:t>1 den (6 výukových hodin</w:t>
      </w:r>
      <w:r w:rsidRPr="002E0940">
        <w:rPr>
          <w:rFonts w:ascii="Arial" w:hAnsi="Arial" w:cs="Arial"/>
          <w:sz w:val="22"/>
          <w:szCs w:val="22"/>
        </w:rPr>
        <w:t>, 1 výuková hodina = 45 minut)</w:t>
      </w:r>
    </w:p>
    <w:p w14:paraId="5DB227F3" w14:textId="749AB9D1" w:rsidR="00B12D8F" w:rsidRDefault="00B12D8F" w:rsidP="00F44854">
      <w:pPr>
        <w:spacing w:after="60"/>
        <w:jc w:val="both"/>
        <w:rPr>
          <w:rFonts w:ascii="Arial" w:hAnsi="Arial" w:cs="Arial"/>
          <w:sz w:val="22"/>
          <w:szCs w:val="22"/>
        </w:rPr>
      </w:pPr>
      <w:r w:rsidRPr="002E0940">
        <w:rPr>
          <w:rFonts w:ascii="Arial" w:hAnsi="Arial" w:cs="Arial"/>
          <w:sz w:val="22"/>
          <w:szCs w:val="22"/>
          <w:u w:val="single"/>
        </w:rPr>
        <w:t>Termín</w:t>
      </w:r>
      <w:r w:rsidRPr="002E0940">
        <w:rPr>
          <w:rFonts w:ascii="Arial" w:hAnsi="Arial" w:cs="Arial"/>
          <w:sz w:val="22"/>
          <w:szCs w:val="22"/>
        </w:rPr>
        <w:t xml:space="preserve">: </w:t>
      </w:r>
      <w:r>
        <w:rPr>
          <w:rFonts w:ascii="Arial" w:hAnsi="Arial" w:cs="Arial"/>
          <w:sz w:val="22"/>
          <w:szCs w:val="22"/>
        </w:rPr>
        <w:t>prosinec</w:t>
      </w:r>
      <w:r w:rsidRPr="00576AB9">
        <w:rPr>
          <w:rFonts w:ascii="Arial" w:hAnsi="Arial" w:cs="Arial"/>
          <w:sz w:val="22"/>
          <w:szCs w:val="22"/>
        </w:rPr>
        <w:t xml:space="preserve"> 202</w:t>
      </w:r>
      <w:r>
        <w:rPr>
          <w:rFonts w:ascii="Arial" w:hAnsi="Arial" w:cs="Arial"/>
          <w:sz w:val="22"/>
          <w:szCs w:val="22"/>
        </w:rPr>
        <w:t>5</w:t>
      </w:r>
    </w:p>
    <w:p w14:paraId="3772571B" w14:textId="290C159E" w:rsidR="00B12D8F" w:rsidRDefault="00B12D8F" w:rsidP="00F44854">
      <w:pPr>
        <w:spacing w:after="60"/>
        <w:jc w:val="both"/>
        <w:rPr>
          <w:rFonts w:ascii="Arial" w:hAnsi="Arial" w:cs="Arial"/>
          <w:sz w:val="22"/>
          <w:szCs w:val="22"/>
        </w:rPr>
      </w:pPr>
      <w:r w:rsidRPr="00434508">
        <w:rPr>
          <w:rFonts w:ascii="Arial" w:hAnsi="Arial" w:cs="Arial"/>
          <w:sz w:val="22"/>
          <w:szCs w:val="22"/>
          <w:u w:val="single"/>
        </w:rPr>
        <w:t>Cena za školení zahrnuje</w:t>
      </w:r>
      <w:r w:rsidRPr="004A6E1B">
        <w:rPr>
          <w:rFonts w:ascii="Arial" w:hAnsi="Arial" w:cs="Arial"/>
          <w:sz w:val="22"/>
          <w:szCs w:val="22"/>
        </w:rPr>
        <w:t xml:space="preserve">: </w:t>
      </w:r>
      <w:r>
        <w:rPr>
          <w:rFonts w:ascii="Arial" w:hAnsi="Arial" w:cs="Arial"/>
          <w:sz w:val="22"/>
          <w:szCs w:val="22"/>
        </w:rPr>
        <w:t>p</w:t>
      </w:r>
      <w:r w:rsidRPr="00434508">
        <w:rPr>
          <w:rFonts w:ascii="Arial" w:hAnsi="Arial" w:cs="Arial"/>
          <w:sz w:val="22"/>
          <w:szCs w:val="22"/>
        </w:rPr>
        <w:t>řípravu školení</w:t>
      </w:r>
      <w:r>
        <w:rPr>
          <w:rFonts w:ascii="Arial" w:hAnsi="Arial" w:cs="Arial"/>
          <w:sz w:val="22"/>
          <w:szCs w:val="22"/>
        </w:rPr>
        <w:t>, p</w:t>
      </w:r>
      <w:r w:rsidRPr="00434508">
        <w:rPr>
          <w:rFonts w:ascii="Arial" w:hAnsi="Arial" w:cs="Arial"/>
          <w:sz w:val="22"/>
          <w:szCs w:val="22"/>
        </w:rPr>
        <w:t xml:space="preserve">řípravu materiálů a podkladů pro účastníky – zaslání předem v el. </w:t>
      </w:r>
      <w:r>
        <w:rPr>
          <w:rFonts w:ascii="Arial" w:hAnsi="Arial" w:cs="Arial"/>
          <w:sz w:val="22"/>
          <w:szCs w:val="22"/>
        </w:rPr>
        <w:t>p</w:t>
      </w:r>
      <w:r w:rsidRPr="00434508">
        <w:rPr>
          <w:rFonts w:ascii="Arial" w:hAnsi="Arial" w:cs="Arial"/>
          <w:sz w:val="22"/>
          <w:szCs w:val="22"/>
        </w:rPr>
        <w:t>odobě</w:t>
      </w:r>
      <w:r>
        <w:rPr>
          <w:rFonts w:ascii="Arial" w:hAnsi="Arial" w:cs="Arial"/>
          <w:sz w:val="22"/>
          <w:szCs w:val="22"/>
        </w:rPr>
        <w:t>, z</w:t>
      </w:r>
      <w:r w:rsidRPr="00434508">
        <w:rPr>
          <w:rFonts w:ascii="Arial" w:hAnsi="Arial" w:cs="Arial"/>
          <w:sz w:val="22"/>
          <w:szCs w:val="22"/>
        </w:rPr>
        <w:t>ajištění pozvánky v rámci MS Teams</w:t>
      </w:r>
      <w:r>
        <w:rPr>
          <w:rFonts w:ascii="Arial" w:hAnsi="Arial" w:cs="Arial"/>
          <w:sz w:val="22"/>
          <w:szCs w:val="22"/>
        </w:rPr>
        <w:t>, z</w:t>
      </w:r>
      <w:r w:rsidRPr="00434508">
        <w:rPr>
          <w:rFonts w:ascii="Arial" w:hAnsi="Arial" w:cs="Arial"/>
          <w:sz w:val="22"/>
          <w:szCs w:val="22"/>
        </w:rPr>
        <w:t xml:space="preserve">ajištění </w:t>
      </w:r>
      <w:r>
        <w:rPr>
          <w:rFonts w:ascii="Arial" w:hAnsi="Arial" w:cs="Arial"/>
          <w:sz w:val="22"/>
          <w:szCs w:val="22"/>
        </w:rPr>
        <w:t xml:space="preserve">elektronického </w:t>
      </w:r>
      <w:r w:rsidRPr="00434508">
        <w:rPr>
          <w:rFonts w:ascii="Arial" w:hAnsi="Arial" w:cs="Arial"/>
          <w:sz w:val="22"/>
          <w:szCs w:val="22"/>
        </w:rPr>
        <w:t>záznamu ze školení</w:t>
      </w:r>
      <w:r>
        <w:rPr>
          <w:rFonts w:ascii="Arial" w:hAnsi="Arial" w:cs="Arial"/>
          <w:sz w:val="22"/>
          <w:szCs w:val="22"/>
        </w:rPr>
        <w:t>, n</w:t>
      </w:r>
      <w:r w:rsidRPr="00434508">
        <w:rPr>
          <w:rFonts w:ascii="Arial" w:hAnsi="Arial" w:cs="Arial"/>
          <w:sz w:val="22"/>
          <w:szCs w:val="22"/>
        </w:rPr>
        <w:t>áklady na lektora vč. odborné přípravy</w:t>
      </w:r>
      <w:r>
        <w:rPr>
          <w:rFonts w:ascii="Arial" w:hAnsi="Arial" w:cs="Arial"/>
          <w:sz w:val="22"/>
          <w:szCs w:val="22"/>
        </w:rPr>
        <w:t xml:space="preserve"> a předání stažené prezenční listiny z MS TEAMS objednateli.</w:t>
      </w:r>
    </w:p>
    <w:p w14:paraId="025886A5" w14:textId="7782494A" w:rsidR="00F8718C" w:rsidRPr="00F8718C" w:rsidRDefault="00B12D8F" w:rsidP="00B326D0">
      <w:pPr>
        <w:spacing w:after="240"/>
        <w:jc w:val="both"/>
        <w:rPr>
          <w:rFonts w:ascii="Arial" w:hAnsi="Arial" w:cs="Arial"/>
          <w:sz w:val="22"/>
          <w:szCs w:val="22"/>
        </w:rPr>
      </w:pPr>
      <w:r w:rsidRPr="00B12D8F">
        <w:rPr>
          <w:rFonts w:ascii="Arial" w:hAnsi="Arial" w:cs="Arial"/>
          <w:sz w:val="22"/>
          <w:szCs w:val="22"/>
          <w:u w:val="single"/>
        </w:rPr>
        <w:t>Cena vzdělávací akci činí</w:t>
      </w:r>
      <w:r>
        <w:rPr>
          <w:rFonts w:ascii="Arial" w:hAnsi="Arial" w:cs="Arial"/>
          <w:sz w:val="22"/>
          <w:szCs w:val="22"/>
        </w:rPr>
        <w:t xml:space="preserve">: 118 800 Kč bez DPH, tj. </w:t>
      </w:r>
      <w:r w:rsidRPr="00B12D8F">
        <w:rPr>
          <w:rFonts w:ascii="Arial" w:hAnsi="Arial" w:cs="Arial"/>
          <w:sz w:val="22"/>
          <w:szCs w:val="22"/>
        </w:rPr>
        <w:t>143</w:t>
      </w:r>
      <w:r>
        <w:rPr>
          <w:rFonts w:ascii="Arial" w:hAnsi="Arial" w:cs="Arial"/>
          <w:sz w:val="22"/>
          <w:szCs w:val="22"/>
        </w:rPr>
        <w:t> </w:t>
      </w:r>
      <w:r w:rsidRPr="00B12D8F">
        <w:rPr>
          <w:rFonts w:ascii="Arial" w:hAnsi="Arial" w:cs="Arial"/>
          <w:sz w:val="22"/>
          <w:szCs w:val="22"/>
        </w:rPr>
        <w:t>748</w:t>
      </w:r>
      <w:r>
        <w:rPr>
          <w:rFonts w:ascii="Arial" w:hAnsi="Arial" w:cs="Arial"/>
          <w:sz w:val="22"/>
          <w:szCs w:val="22"/>
        </w:rPr>
        <w:t xml:space="preserve"> Kč s DPH</w:t>
      </w:r>
    </w:p>
    <w:p w14:paraId="58E98D97" w14:textId="714E1228" w:rsidR="00EC1B44" w:rsidRDefault="00B12D8F" w:rsidP="00F44854">
      <w:pPr>
        <w:pStyle w:val="Odstavecseseznamem"/>
        <w:numPr>
          <w:ilvl w:val="0"/>
          <w:numId w:val="14"/>
        </w:numPr>
        <w:spacing w:after="120" w:line="264" w:lineRule="auto"/>
        <w:jc w:val="both"/>
        <w:rPr>
          <w:rFonts w:ascii="Arial" w:hAnsi="Arial" w:cs="Arial"/>
          <w:sz w:val="22"/>
          <w:szCs w:val="22"/>
        </w:rPr>
      </w:pPr>
      <w:r w:rsidRPr="00064246">
        <w:rPr>
          <w:rFonts w:ascii="Arial" w:hAnsi="Arial" w:cs="Arial"/>
          <w:b/>
          <w:bCs/>
          <w:sz w:val="22"/>
          <w:szCs w:val="22"/>
        </w:rPr>
        <w:t>Školení k zákonu o zadávání veřejných zakázek pro metodika veřejných zakázek</w:t>
      </w:r>
      <w:r w:rsidR="00064246">
        <w:rPr>
          <w:rFonts w:ascii="Arial" w:hAnsi="Arial" w:cs="Arial"/>
          <w:sz w:val="22"/>
          <w:szCs w:val="22"/>
        </w:rPr>
        <w:t xml:space="preserve"> </w:t>
      </w:r>
      <w:r w:rsidR="00064246" w:rsidRPr="00064246">
        <w:rPr>
          <w:rFonts w:ascii="Arial" w:hAnsi="Arial" w:cs="Arial"/>
          <w:sz w:val="22"/>
          <w:szCs w:val="22"/>
        </w:rPr>
        <w:t>tedy pro zaměstnance, kteří kromě administrace zadávacích řízení vykonávají metodickou činnost v oblasti veřejných zakázek v rámci SPÚ</w:t>
      </w:r>
      <w:r w:rsidR="00EC1B44" w:rsidRPr="00B02181">
        <w:rPr>
          <w:rFonts w:ascii="Arial" w:hAnsi="Arial" w:cs="Arial"/>
          <w:sz w:val="22"/>
          <w:szCs w:val="22"/>
        </w:rPr>
        <w:t>, která bude zahrnovat:</w:t>
      </w:r>
    </w:p>
    <w:p w14:paraId="15B5C993" w14:textId="77777777" w:rsidR="00064246" w:rsidRPr="00064246" w:rsidRDefault="00064246" w:rsidP="00561A80">
      <w:pPr>
        <w:pStyle w:val="Odstavecseseznamem"/>
        <w:numPr>
          <w:ilvl w:val="0"/>
          <w:numId w:val="20"/>
        </w:numPr>
        <w:spacing w:before="100" w:beforeAutospacing="1" w:after="120" w:line="280" w:lineRule="atLeast"/>
        <w:jc w:val="both"/>
        <w:rPr>
          <w:rFonts w:ascii="Arial" w:hAnsi="Arial" w:cs="Arial"/>
          <w:sz w:val="22"/>
          <w:szCs w:val="22"/>
        </w:rPr>
      </w:pPr>
      <w:r w:rsidRPr="00064246">
        <w:rPr>
          <w:rFonts w:ascii="Arial" w:hAnsi="Arial" w:cs="Arial"/>
          <w:color w:val="1E1E1E"/>
          <w:sz w:val="22"/>
          <w:szCs w:val="22"/>
        </w:rPr>
        <w:t>Průzkum trhu a předběžné tržní konzultace – limity, pravidla, povinnosti</w:t>
      </w:r>
    </w:p>
    <w:p w14:paraId="4784D704" w14:textId="77777777" w:rsidR="00064246" w:rsidRPr="00064246" w:rsidRDefault="00064246" w:rsidP="00561A80">
      <w:pPr>
        <w:pStyle w:val="Odstavecseseznamem"/>
        <w:numPr>
          <w:ilvl w:val="0"/>
          <w:numId w:val="20"/>
        </w:numPr>
        <w:spacing w:before="100" w:beforeAutospacing="1" w:after="120" w:line="280" w:lineRule="atLeast"/>
        <w:jc w:val="both"/>
        <w:rPr>
          <w:rFonts w:ascii="Arial" w:hAnsi="Arial" w:cs="Arial"/>
          <w:sz w:val="22"/>
          <w:szCs w:val="22"/>
        </w:rPr>
      </w:pPr>
      <w:r w:rsidRPr="00064246">
        <w:rPr>
          <w:rFonts w:ascii="Arial" w:hAnsi="Arial" w:cs="Arial"/>
          <w:color w:val="1E1E1E"/>
          <w:sz w:val="22"/>
          <w:szCs w:val="22"/>
        </w:rPr>
        <w:t>Komunikace zadavatele s dodavateli – písemnost, elektronické nástroje, vysvětlení zadávací dokumentace, lhůty</w:t>
      </w:r>
    </w:p>
    <w:p w14:paraId="10F3489E" w14:textId="73EC339C" w:rsidR="00064246" w:rsidRPr="00064246" w:rsidRDefault="00064246" w:rsidP="00561A80">
      <w:pPr>
        <w:pStyle w:val="Odstavecseseznamem"/>
        <w:numPr>
          <w:ilvl w:val="0"/>
          <w:numId w:val="20"/>
        </w:numPr>
        <w:spacing w:before="100" w:beforeAutospacing="1" w:after="120" w:line="280" w:lineRule="atLeast"/>
        <w:jc w:val="both"/>
        <w:rPr>
          <w:rFonts w:ascii="Arial" w:hAnsi="Arial" w:cs="Arial"/>
          <w:sz w:val="22"/>
          <w:szCs w:val="22"/>
        </w:rPr>
      </w:pPr>
      <w:r w:rsidRPr="00064246">
        <w:rPr>
          <w:rFonts w:ascii="Arial" w:hAnsi="Arial" w:cs="Arial"/>
          <w:color w:val="1E1E1E"/>
          <w:sz w:val="22"/>
          <w:szCs w:val="22"/>
        </w:rPr>
        <w:t>Další základní instituty veřejného zadávání – objasňování nabídek, vylučování dodavatelů, předkládaní dokladů, komise, dělení zakázek</w:t>
      </w:r>
    </w:p>
    <w:p w14:paraId="1DD08FA6" w14:textId="0308F90F" w:rsidR="00064246" w:rsidRPr="00064246" w:rsidRDefault="00064246" w:rsidP="00561A80">
      <w:pPr>
        <w:pStyle w:val="Odstavecseseznamem"/>
        <w:numPr>
          <w:ilvl w:val="0"/>
          <w:numId w:val="16"/>
        </w:numPr>
        <w:spacing w:line="264" w:lineRule="auto"/>
        <w:ind w:left="1497" w:hanging="357"/>
        <w:jc w:val="both"/>
        <w:rPr>
          <w:rFonts w:ascii="Arial" w:hAnsi="Arial" w:cs="Arial"/>
          <w:sz w:val="22"/>
          <w:szCs w:val="22"/>
        </w:rPr>
      </w:pPr>
      <w:r w:rsidRPr="00064246">
        <w:rPr>
          <w:rFonts w:ascii="Arial" w:hAnsi="Arial" w:cs="Arial"/>
          <w:sz w:val="22"/>
          <w:szCs w:val="22"/>
        </w:rPr>
        <w:t>Počítání a úprava lhůt (VZD, prodloužení lhůt, možnost předsunout lhůtu pro podání námitek o 72 hodin a jeho dopady)</w:t>
      </w:r>
    </w:p>
    <w:p w14:paraId="652386DA" w14:textId="6F5AC687" w:rsidR="00064246" w:rsidRPr="00064246" w:rsidRDefault="00064246" w:rsidP="00561A80">
      <w:pPr>
        <w:pStyle w:val="Odstavecseseznamem"/>
        <w:numPr>
          <w:ilvl w:val="0"/>
          <w:numId w:val="16"/>
        </w:numPr>
        <w:spacing w:line="264" w:lineRule="auto"/>
        <w:ind w:left="1497" w:hanging="357"/>
        <w:jc w:val="both"/>
        <w:rPr>
          <w:rFonts w:ascii="Arial" w:hAnsi="Arial" w:cs="Arial"/>
          <w:sz w:val="22"/>
          <w:szCs w:val="22"/>
        </w:rPr>
      </w:pPr>
      <w:r w:rsidRPr="00064246">
        <w:rPr>
          <w:rFonts w:ascii="Arial" w:hAnsi="Arial" w:cs="Arial"/>
          <w:sz w:val="22"/>
          <w:szCs w:val="22"/>
        </w:rPr>
        <w:t xml:space="preserve">Kvalifikace </w:t>
      </w:r>
      <w:r w:rsidR="00561A80">
        <w:rPr>
          <w:rFonts w:ascii="Arial" w:hAnsi="Arial" w:cs="Arial"/>
          <w:sz w:val="22"/>
          <w:szCs w:val="22"/>
        </w:rPr>
        <w:t>a hodnocení</w:t>
      </w:r>
      <w:r w:rsidRPr="00064246">
        <w:rPr>
          <w:rFonts w:ascii="Arial" w:hAnsi="Arial" w:cs="Arial"/>
          <w:sz w:val="22"/>
          <w:szCs w:val="22"/>
        </w:rPr>
        <w:t xml:space="preserve"> se zaměřením na problematické aspekty</w:t>
      </w:r>
    </w:p>
    <w:p w14:paraId="5EB971CB" w14:textId="0CD5146E" w:rsidR="00064246" w:rsidRPr="00064246" w:rsidRDefault="00064246" w:rsidP="00561A80">
      <w:pPr>
        <w:pStyle w:val="Odstavecseseznamem"/>
        <w:numPr>
          <w:ilvl w:val="0"/>
          <w:numId w:val="16"/>
        </w:numPr>
        <w:spacing w:line="264" w:lineRule="auto"/>
        <w:ind w:left="1497" w:hanging="357"/>
        <w:jc w:val="both"/>
        <w:rPr>
          <w:rFonts w:ascii="Arial" w:hAnsi="Arial" w:cs="Arial"/>
          <w:sz w:val="22"/>
          <w:szCs w:val="22"/>
        </w:rPr>
      </w:pPr>
      <w:r w:rsidRPr="00064246">
        <w:rPr>
          <w:rFonts w:ascii="Arial" w:hAnsi="Arial" w:cs="Arial"/>
          <w:sz w:val="22"/>
          <w:szCs w:val="22"/>
        </w:rPr>
        <w:t>MNNC a konkrétní vhodné postupy, úskalí</w:t>
      </w:r>
    </w:p>
    <w:p w14:paraId="5DA44748" w14:textId="47B14D5B" w:rsidR="00EC1B44" w:rsidRDefault="00064246" w:rsidP="00561A80">
      <w:pPr>
        <w:pStyle w:val="Odstavecseseznamem"/>
        <w:numPr>
          <w:ilvl w:val="0"/>
          <w:numId w:val="16"/>
        </w:numPr>
        <w:spacing w:after="120" w:line="264" w:lineRule="auto"/>
        <w:ind w:left="1497" w:hanging="357"/>
        <w:jc w:val="both"/>
        <w:rPr>
          <w:rFonts w:ascii="Arial" w:hAnsi="Arial" w:cs="Arial"/>
          <w:sz w:val="22"/>
          <w:szCs w:val="22"/>
        </w:rPr>
      </w:pPr>
      <w:r w:rsidRPr="00064246">
        <w:rPr>
          <w:rFonts w:ascii="Arial" w:hAnsi="Arial" w:cs="Arial"/>
          <w:sz w:val="22"/>
          <w:szCs w:val="22"/>
        </w:rPr>
        <w:t>Vyhrazené změny závazku – zejména změny termínu ve smlouvě</w:t>
      </w:r>
    </w:p>
    <w:p w14:paraId="6C968D84" w14:textId="1291DCC1" w:rsidR="00064246" w:rsidRPr="00064246" w:rsidRDefault="00064246" w:rsidP="00561A80">
      <w:pPr>
        <w:pStyle w:val="Odstavecseseznamem"/>
        <w:numPr>
          <w:ilvl w:val="0"/>
          <w:numId w:val="16"/>
        </w:numPr>
        <w:spacing w:before="100" w:beforeAutospacing="1" w:after="120" w:line="280" w:lineRule="atLeast"/>
        <w:jc w:val="both"/>
        <w:rPr>
          <w:rFonts w:ascii="Arial" w:hAnsi="Arial" w:cs="Arial"/>
          <w:sz w:val="22"/>
          <w:szCs w:val="22"/>
        </w:rPr>
      </w:pPr>
      <w:r w:rsidRPr="00064246">
        <w:rPr>
          <w:rFonts w:ascii="Arial" w:hAnsi="Arial" w:cs="Arial"/>
          <w:color w:val="1E1E1E"/>
          <w:sz w:val="22"/>
          <w:szCs w:val="22"/>
        </w:rPr>
        <w:t xml:space="preserve">Dynamický nákupní systém (DNS) - jak zavést, ale zejména jak zadávat v zavedeném DNS, jak průběžně ověřovat kvalifikaci v DNS: Zvláštní režim námitek; Jak přistupovat k v DNS zavedeným účastníkům, pokud spáchali nějaký přestupek </w:t>
      </w:r>
    </w:p>
    <w:p w14:paraId="7F288829" w14:textId="31C73F6E" w:rsidR="00064246" w:rsidRPr="00064246" w:rsidRDefault="00064246" w:rsidP="00561A80">
      <w:pPr>
        <w:pStyle w:val="Odstavecseseznamem"/>
        <w:numPr>
          <w:ilvl w:val="0"/>
          <w:numId w:val="16"/>
        </w:numPr>
        <w:spacing w:before="100" w:beforeAutospacing="1" w:after="120" w:line="280" w:lineRule="atLeast"/>
        <w:jc w:val="both"/>
        <w:rPr>
          <w:rFonts w:ascii="Arial" w:hAnsi="Arial" w:cs="Arial"/>
          <w:sz w:val="22"/>
          <w:szCs w:val="22"/>
        </w:rPr>
      </w:pPr>
      <w:r w:rsidRPr="00064246">
        <w:rPr>
          <w:rFonts w:ascii="Arial" w:hAnsi="Arial" w:cs="Arial"/>
          <w:color w:val="1E1E1E"/>
          <w:sz w:val="22"/>
          <w:szCs w:val="22"/>
        </w:rPr>
        <w:t xml:space="preserve">Standardní druhy zadávacího řízení, jejich srovnání a specifika </w:t>
      </w:r>
    </w:p>
    <w:p w14:paraId="14E9BF4A" w14:textId="248925B7" w:rsidR="00064246" w:rsidRPr="00064246" w:rsidRDefault="00064246" w:rsidP="00561A80">
      <w:pPr>
        <w:pStyle w:val="Odstavecseseznamem"/>
        <w:numPr>
          <w:ilvl w:val="0"/>
          <w:numId w:val="16"/>
        </w:numPr>
        <w:spacing w:before="100" w:beforeAutospacing="1" w:after="120" w:line="280" w:lineRule="atLeast"/>
        <w:jc w:val="both"/>
        <w:rPr>
          <w:rFonts w:ascii="Arial" w:hAnsi="Arial" w:cs="Arial"/>
          <w:sz w:val="22"/>
          <w:szCs w:val="22"/>
        </w:rPr>
      </w:pPr>
      <w:r w:rsidRPr="00064246">
        <w:rPr>
          <w:rFonts w:ascii="Arial" w:hAnsi="Arial" w:cs="Arial"/>
          <w:color w:val="1E1E1E"/>
          <w:sz w:val="22"/>
          <w:szCs w:val="22"/>
        </w:rPr>
        <w:t>Námitkové řízení a řízení před ÚOHS</w:t>
      </w:r>
    </w:p>
    <w:p w14:paraId="665C2AF5" w14:textId="707D17D9" w:rsidR="00064246" w:rsidRPr="00064246" w:rsidRDefault="00064246" w:rsidP="00561A80">
      <w:pPr>
        <w:pStyle w:val="Odstavecseseznamem"/>
        <w:numPr>
          <w:ilvl w:val="0"/>
          <w:numId w:val="16"/>
        </w:numPr>
        <w:spacing w:before="100" w:beforeAutospacing="1" w:after="120" w:line="280" w:lineRule="atLeast"/>
        <w:jc w:val="both"/>
        <w:rPr>
          <w:rFonts w:ascii="Arial" w:hAnsi="Arial" w:cs="Arial"/>
          <w:sz w:val="22"/>
          <w:szCs w:val="22"/>
        </w:rPr>
      </w:pPr>
      <w:r w:rsidRPr="00064246">
        <w:rPr>
          <w:rFonts w:ascii="Arial" w:hAnsi="Arial" w:cs="Arial"/>
          <w:color w:val="1E1E1E"/>
          <w:sz w:val="22"/>
          <w:szCs w:val="22"/>
        </w:rPr>
        <w:t>Contract management a limity změn závazku ze smlouvy dle § 222 ZZVZ</w:t>
      </w:r>
    </w:p>
    <w:p w14:paraId="78E8F83B" w14:textId="0BC6B7BC" w:rsidR="00064246" w:rsidRPr="00064246" w:rsidRDefault="00064246" w:rsidP="00561A80">
      <w:pPr>
        <w:pStyle w:val="Odstavecseseznamem"/>
        <w:numPr>
          <w:ilvl w:val="0"/>
          <w:numId w:val="16"/>
        </w:numPr>
        <w:spacing w:before="100" w:beforeAutospacing="1" w:after="120" w:line="280" w:lineRule="atLeast"/>
        <w:jc w:val="both"/>
        <w:rPr>
          <w:rFonts w:ascii="Arial" w:hAnsi="Arial" w:cs="Arial"/>
          <w:sz w:val="22"/>
          <w:szCs w:val="22"/>
        </w:rPr>
      </w:pPr>
      <w:r w:rsidRPr="00064246">
        <w:rPr>
          <w:rFonts w:ascii="Arial" w:hAnsi="Arial" w:cs="Arial"/>
          <w:color w:val="1E1E1E"/>
          <w:sz w:val="22"/>
          <w:szCs w:val="22"/>
        </w:rPr>
        <w:t>Uveřejňovací povinnosti zadavatele a sankce za porušení (neuveřejnění oznámení o výběru, neoznámení uzavřených dodatků)</w:t>
      </w:r>
    </w:p>
    <w:p w14:paraId="1FFA0C58" w14:textId="6FA14105" w:rsidR="003662E3" w:rsidRPr="003662E3" w:rsidRDefault="00064246" w:rsidP="00F44854">
      <w:pPr>
        <w:pStyle w:val="Odstavecseseznamem"/>
        <w:numPr>
          <w:ilvl w:val="0"/>
          <w:numId w:val="16"/>
        </w:numPr>
        <w:spacing w:after="120" w:line="280" w:lineRule="atLeast"/>
        <w:ind w:left="1497" w:hanging="357"/>
        <w:jc w:val="both"/>
        <w:rPr>
          <w:rFonts w:ascii="Arial" w:hAnsi="Arial" w:cs="Arial"/>
          <w:sz w:val="22"/>
          <w:szCs w:val="22"/>
        </w:rPr>
      </w:pPr>
      <w:r w:rsidRPr="00064246">
        <w:rPr>
          <w:rFonts w:ascii="Arial" w:hAnsi="Arial" w:cs="Arial"/>
          <w:color w:val="1E1E1E"/>
          <w:sz w:val="22"/>
          <w:szCs w:val="22"/>
        </w:rPr>
        <w:t>Dotazy, diskuse</w:t>
      </w:r>
    </w:p>
    <w:p w14:paraId="29762DF7" w14:textId="33F6E2AA" w:rsidR="003662E3" w:rsidRPr="003662E3" w:rsidRDefault="003662E3" w:rsidP="003662E3">
      <w:pPr>
        <w:spacing w:after="120" w:line="280" w:lineRule="atLeast"/>
        <w:jc w:val="both"/>
        <w:rPr>
          <w:rFonts w:ascii="Arial" w:hAnsi="Arial" w:cs="Arial"/>
          <w:sz w:val="22"/>
          <w:szCs w:val="22"/>
        </w:rPr>
      </w:pPr>
      <w:r>
        <w:rPr>
          <w:rFonts w:ascii="Arial" w:hAnsi="Arial" w:cs="Arial"/>
          <w:sz w:val="22"/>
          <w:szCs w:val="22"/>
        </w:rPr>
        <w:t>Obsah školení může být dále doplněn případně upraven dle dohody objednatele s poskytovatelem.</w:t>
      </w:r>
    </w:p>
    <w:p w14:paraId="348757AE" w14:textId="431CD210" w:rsidR="00B326D0" w:rsidRDefault="00EC1B44" w:rsidP="00F44854">
      <w:pPr>
        <w:spacing w:after="60"/>
        <w:jc w:val="both"/>
        <w:rPr>
          <w:rFonts w:ascii="Arial" w:hAnsi="Arial" w:cs="Arial"/>
          <w:sz w:val="22"/>
          <w:szCs w:val="22"/>
        </w:rPr>
      </w:pPr>
      <w:r w:rsidRPr="002E0940">
        <w:rPr>
          <w:rFonts w:ascii="Arial" w:hAnsi="Arial" w:cs="Arial"/>
          <w:sz w:val="22"/>
          <w:szCs w:val="22"/>
          <w:u w:val="single"/>
        </w:rPr>
        <w:t>Forma vzdělávac</w:t>
      </w:r>
      <w:r>
        <w:rPr>
          <w:rFonts w:ascii="Arial" w:hAnsi="Arial" w:cs="Arial"/>
          <w:sz w:val="22"/>
          <w:szCs w:val="22"/>
          <w:u w:val="single"/>
        </w:rPr>
        <w:t>í</w:t>
      </w:r>
      <w:r w:rsidRPr="002E0940">
        <w:rPr>
          <w:rFonts w:ascii="Arial" w:hAnsi="Arial" w:cs="Arial"/>
          <w:sz w:val="22"/>
          <w:szCs w:val="22"/>
          <w:u w:val="single"/>
        </w:rPr>
        <w:t xml:space="preserve"> akc</w:t>
      </w:r>
      <w:r w:rsidR="00B326D0">
        <w:rPr>
          <w:rFonts w:ascii="Arial" w:hAnsi="Arial" w:cs="Arial"/>
          <w:sz w:val="22"/>
          <w:szCs w:val="22"/>
          <w:u w:val="single"/>
        </w:rPr>
        <w:t>e</w:t>
      </w:r>
      <w:r w:rsidRPr="002E0940">
        <w:rPr>
          <w:rFonts w:ascii="Arial" w:hAnsi="Arial" w:cs="Arial"/>
          <w:sz w:val="22"/>
          <w:szCs w:val="22"/>
        </w:rPr>
        <w:t xml:space="preserve">: </w:t>
      </w:r>
      <w:r>
        <w:rPr>
          <w:rFonts w:ascii="Arial" w:hAnsi="Arial" w:cs="Arial"/>
          <w:sz w:val="22"/>
          <w:szCs w:val="22"/>
        </w:rPr>
        <w:t xml:space="preserve">prezenčně  </w:t>
      </w:r>
    </w:p>
    <w:p w14:paraId="76F66DE8" w14:textId="407187F9" w:rsidR="002B2DEE" w:rsidRPr="002E0940" w:rsidRDefault="00B326D0" w:rsidP="00F44854">
      <w:pPr>
        <w:spacing w:after="60"/>
        <w:jc w:val="both"/>
        <w:rPr>
          <w:rFonts w:ascii="Arial" w:hAnsi="Arial" w:cs="Arial"/>
          <w:sz w:val="22"/>
          <w:szCs w:val="22"/>
        </w:rPr>
      </w:pPr>
      <w:r>
        <w:rPr>
          <w:rFonts w:ascii="Arial" w:hAnsi="Arial" w:cs="Arial"/>
          <w:sz w:val="22"/>
          <w:szCs w:val="22"/>
        </w:rPr>
        <w:t>P</w:t>
      </w:r>
      <w:r w:rsidR="00EC1B44" w:rsidRPr="00861B95">
        <w:rPr>
          <w:rFonts w:ascii="Arial" w:hAnsi="Arial" w:cs="Arial"/>
          <w:sz w:val="22"/>
          <w:szCs w:val="22"/>
          <w:u w:val="single"/>
        </w:rPr>
        <w:t>očet účastníků</w:t>
      </w:r>
      <w:r w:rsidR="00EC1B44">
        <w:rPr>
          <w:rFonts w:ascii="Arial" w:hAnsi="Arial" w:cs="Arial"/>
          <w:sz w:val="22"/>
          <w:szCs w:val="22"/>
        </w:rPr>
        <w:t xml:space="preserve">: </w:t>
      </w:r>
      <w:r w:rsidR="002B2DEE">
        <w:rPr>
          <w:rFonts w:ascii="Arial" w:hAnsi="Arial" w:cs="Arial"/>
          <w:sz w:val="22"/>
          <w:szCs w:val="22"/>
        </w:rPr>
        <w:t xml:space="preserve">cca </w:t>
      </w:r>
      <w:r>
        <w:rPr>
          <w:rFonts w:ascii="Arial" w:hAnsi="Arial" w:cs="Arial"/>
          <w:sz w:val="22"/>
          <w:szCs w:val="22"/>
        </w:rPr>
        <w:t xml:space="preserve">25 </w:t>
      </w:r>
      <w:r w:rsidR="002B2DEE">
        <w:rPr>
          <w:rFonts w:ascii="Arial" w:hAnsi="Arial" w:cs="Arial"/>
          <w:sz w:val="22"/>
          <w:szCs w:val="22"/>
        </w:rPr>
        <w:tab/>
      </w:r>
      <w:r w:rsidR="002B2DEE">
        <w:rPr>
          <w:rFonts w:ascii="Arial" w:hAnsi="Arial" w:cs="Arial"/>
          <w:sz w:val="22"/>
          <w:szCs w:val="22"/>
        </w:rPr>
        <w:tab/>
      </w:r>
    </w:p>
    <w:p w14:paraId="18363F0B" w14:textId="59C60E00" w:rsidR="00EC1B44" w:rsidRPr="002E0940" w:rsidRDefault="00EC1B44" w:rsidP="00F44854">
      <w:pPr>
        <w:spacing w:after="60"/>
        <w:jc w:val="both"/>
        <w:rPr>
          <w:rFonts w:ascii="Arial" w:hAnsi="Arial" w:cs="Arial"/>
          <w:sz w:val="22"/>
          <w:szCs w:val="22"/>
        </w:rPr>
      </w:pPr>
      <w:r w:rsidRPr="002E0940">
        <w:rPr>
          <w:rFonts w:ascii="Arial" w:hAnsi="Arial" w:cs="Arial"/>
          <w:sz w:val="22"/>
          <w:szCs w:val="22"/>
          <w:u w:val="single"/>
        </w:rPr>
        <w:t>Časová dotace vzdělávací akce</w:t>
      </w:r>
      <w:r w:rsidRPr="002E0940">
        <w:rPr>
          <w:rFonts w:ascii="Arial" w:hAnsi="Arial" w:cs="Arial"/>
          <w:sz w:val="22"/>
          <w:szCs w:val="22"/>
        </w:rPr>
        <w:t xml:space="preserve">: </w:t>
      </w:r>
      <w:r>
        <w:rPr>
          <w:rFonts w:ascii="Arial" w:hAnsi="Arial" w:cs="Arial"/>
          <w:sz w:val="22"/>
          <w:szCs w:val="22"/>
        </w:rPr>
        <w:t>1 den (6 výukových hodin</w:t>
      </w:r>
      <w:r w:rsidRPr="002E0940">
        <w:rPr>
          <w:rFonts w:ascii="Arial" w:hAnsi="Arial" w:cs="Arial"/>
          <w:sz w:val="22"/>
          <w:szCs w:val="22"/>
        </w:rPr>
        <w:t>, 1 výuková hodina = 45 minut)</w:t>
      </w:r>
      <w:r w:rsidR="002B2DEE">
        <w:rPr>
          <w:rFonts w:ascii="Arial" w:hAnsi="Arial" w:cs="Arial"/>
          <w:sz w:val="22"/>
          <w:szCs w:val="22"/>
        </w:rPr>
        <w:t xml:space="preserve"> </w:t>
      </w:r>
    </w:p>
    <w:p w14:paraId="741D53FF" w14:textId="4A331F7F" w:rsidR="00EC1B44" w:rsidRDefault="00EC1B44" w:rsidP="00F44854">
      <w:pPr>
        <w:spacing w:after="60"/>
        <w:jc w:val="both"/>
        <w:rPr>
          <w:rFonts w:ascii="Arial" w:hAnsi="Arial" w:cs="Arial"/>
          <w:sz w:val="22"/>
          <w:szCs w:val="22"/>
        </w:rPr>
      </w:pPr>
      <w:r w:rsidRPr="002E0940">
        <w:rPr>
          <w:rFonts w:ascii="Arial" w:hAnsi="Arial" w:cs="Arial"/>
          <w:sz w:val="22"/>
          <w:szCs w:val="22"/>
          <w:u w:val="single"/>
        </w:rPr>
        <w:t xml:space="preserve">Termín </w:t>
      </w:r>
      <w:r>
        <w:rPr>
          <w:rFonts w:ascii="Arial" w:hAnsi="Arial" w:cs="Arial"/>
          <w:sz w:val="22"/>
          <w:szCs w:val="22"/>
          <w:u w:val="single"/>
        </w:rPr>
        <w:t xml:space="preserve">a místo </w:t>
      </w:r>
      <w:r w:rsidRPr="002E0940">
        <w:rPr>
          <w:rFonts w:ascii="Arial" w:hAnsi="Arial" w:cs="Arial"/>
          <w:sz w:val="22"/>
          <w:szCs w:val="22"/>
          <w:u w:val="single"/>
        </w:rPr>
        <w:t>konání</w:t>
      </w:r>
      <w:r w:rsidRPr="002E0940">
        <w:rPr>
          <w:rFonts w:ascii="Arial" w:hAnsi="Arial" w:cs="Arial"/>
          <w:sz w:val="22"/>
          <w:szCs w:val="22"/>
        </w:rPr>
        <w:t xml:space="preserve">: </w:t>
      </w:r>
      <w:r w:rsidR="002B2DEE">
        <w:rPr>
          <w:rFonts w:ascii="Arial" w:hAnsi="Arial" w:cs="Arial"/>
          <w:sz w:val="22"/>
          <w:szCs w:val="22"/>
        </w:rPr>
        <w:t>prosinec</w:t>
      </w:r>
      <w:r w:rsidRPr="00576AB9">
        <w:rPr>
          <w:rFonts w:ascii="Arial" w:hAnsi="Arial" w:cs="Arial"/>
          <w:sz w:val="22"/>
          <w:szCs w:val="22"/>
        </w:rPr>
        <w:t xml:space="preserve"> 202</w:t>
      </w:r>
      <w:r w:rsidR="002B2DEE">
        <w:rPr>
          <w:rFonts w:ascii="Arial" w:hAnsi="Arial" w:cs="Arial"/>
          <w:sz w:val="22"/>
          <w:szCs w:val="22"/>
        </w:rPr>
        <w:t>5</w:t>
      </w:r>
      <w:r>
        <w:rPr>
          <w:rFonts w:ascii="Arial" w:hAnsi="Arial" w:cs="Arial"/>
          <w:sz w:val="22"/>
          <w:szCs w:val="22"/>
        </w:rPr>
        <w:t>, Praha – ústředí SPÚ</w:t>
      </w:r>
    </w:p>
    <w:p w14:paraId="61C44263" w14:textId="5E4EDBE5" w:rsidR="00B326D0" w:rsidRDefault="00B326D0" w:rsidP="00F44854">
      <w:pPr>
        <w:spacing w:after="60"/>
        <w:jc w:val="both"/>
        <w:rPr>
          <w:rFonts w:ascii="Arial" w:hAnsi="Arial" w:cs="Arial"/>
          <w:sz w:val="22"/>
          <w:szCs w:val="22"/>
        </w:rPr>
      </w:pPr>
      <w:r w:rsidRPr="00434508">
        <w:rPr>
          <w:rFonts w:ascii="Arial" w:hAnsi="Arial" w:cs="Arial"/>
          <w:sz w:val="22"/>
          <w:szCs w:val="22"/>
          <w:u w:val="single"/>
        </w:rPr>
        <w:t>Cena za školení zahrnuje</w:t>
      </w:r>
      <w:r w:rsidRPr="004A6E1B">
        <w:rPr>
          <w:rFonts w:ascii="Arial" w:hAnsi="Arial" w:cs="Arial"/>
          <w:sz w:val="22"/>
          <w:szCs w:val="22"/>
        </w:rPr>
        <w:t xml:space="preserve">: </w:t>
      </w:r>
      <w:r>
        <w:rPr>
          <w:rFonts w:ascii="Arial" w:hAnsi="Arial" w:cs="Arial"/>
          <w:sz w:val="22"/>
          <w:szCs w:val="22"/>
        </w:rPr>
        <w:t>p</w:t>
      </w:r>
      <w:r w:rsidRPr="00434508">
        <w:rPr>
          <w:rFonts w:ascii="Arial" w:hAnsi="Arial" w:cs="Arial"/>
          <w:sz w:val="22"/>
          <w:szCs w:val="22"/>
        </w:rPr>
        <w:t>řípravu školení</w:t>
      </w:r>
      <w:r>
        <w:rPr>
          <w:rFonts w:ascii="Arial" w:hAnsi="Arial" w:cs="Arial"/>
          <w:sz w:val="22"/>
          <w:szCs w:val="22"/>
        </w:rPr>
        <w:t>, p</w:t>
      </w:r>
      <w:r w:rsidRPr="00434508">
        <w:rPr>
          <w:rFonts w:ascii="Arial" w:hAnsi="Arial" w:cs="Arial"/>
          <w:sz w:val="22"/>
          <w:szCs w:val="22"/>
        </w:rPr>
        <w:t>řípravu materiálů a podkladů pro účastníky</w:t>
      </w:r>
      <w:r>
        <w:rPr>
          <w:rFonts w:ascii="Arial" w:hAnsi="Arial" w:cs="Arial"/>
          <w:sz w:val="22"/>
          <w:szCs w:val="22"/>
        </w:rPr>
        <w:t xml:space="preserve">, </w:t>
      </w:r>
      <w:r w:rsidRPr="00434508">
        <w:rPr>
          <w:rFonts w:ascii="Arial" w:hAnsi="Arial" w:cs="Arial"/>
          <w:sz w:val="22"/>
          <w:szCs w:val="22"/>
        </w:rPr>
        <w:t xml:space="preserve">zaslání </w:t>
      </w:r>
      <w:r>
        <w:rPr>
          <w:rFonts w:ascii="Arial" w:hAnsi="Arial" w:cs="Arial"/>
          <w:sz w:val="22"/>
          <w:szCs w:val="22"/>
        </w:rPr>
        <w:t xml:space="preserve">prezentace </w:t>
      </w:r>
      <w:r w:rsidRPr="00434508">
        <w:rPr>
          <w:rFonts w:ascii="Arial" w:hAnsi="Arial" w:cs="Arial"/>
          <w:sz w:val="22"/>
          <w:szCs w:val="22"/>
        </w:rPr>
        <w:t xml:space="preserve">předem v el. </w:t>
      </w:r>
      <w:r>
        <w:rPr>
          <w:rFonts w:ascii="Arial" w:hAnsi="Arial" w:cs="Arial"/>
          <w:sz w:val="22"/>
          <w:szCs w:val="22"/>
        </w:rPr>
        <w:t>p</w:t>
      </w:r>
      <w:r w:rsidRPr="00434508">
        <w:rPr>
          <w:rFonts w:ascii="Arial" w:hAnsi="Arial" w:cs="Arial"/>
          <w:sz w:val="22"/>
          <w:szCs w:val="22"/>
        </w:rPr>
        <w:t>odobě</w:t>
      </w:r>
      <w:r>
        <w:rPr>
          <w:rFonts w:ascii="Arial" w:hAnsi="Arial" w:cs="Arial"/>
          <w:sz w:val="22"/>
          <w:szCs w:val="22"/>
        </w:rPr>
        <w:t>, n</w:t>
      </w:r>
      <w:r w:rsidRPr="00434508">
        <w:rPr>
          <w:rFonts w:ascii="Arial" w:hAnsi="Arial" w:cs="Arial"/>
          <w:sz w:val="22"/>
          <w:szCs w:val="22"/>
        </w:rPr>
        <w:t>áklady na lektora vč. odborné přípravy</w:t>
      </w:r>
      <w:r>
        <w:rPr>
          <w:rFonts w:ascii="Arial" w:hAnsi="Arial" w:cs="Arial"/>
          <w:sz w:val="22"/>
          <w:szCs w:val="22"/>
        </w:rPr>
        <w:t>.</w:t>
      </w:r>
    </w:p>
    <w:p w14:paraId="1F9008A5" w14:textId="2B2136A2" w:rsidR="003662E3" w:rsidRDefault="003662E3" w:rsidP="003662E3">
      <w:pPr>
        <w:spacing w:after="240"/>
        <w:jc w:val="both"/>
        <w:rPr>
          <w:rFonts w:ascii="Arial" w:hAnsi="Arial" w:cs="Arial"/>
          <w:sz w:val="22"/>
          <w:szCs w:val="22"/>
        </w:rPr>
      </w:pPr>
      <w:r w:rsidRPr="00B12D8F">
        <w:rPr>
          <w:rFonts w:ascii="Arial" w:hAnsi="Arial" w:cs="Arial"/>
          <w:sz w:val="22"/>
          <w:szCs w:val="22"/>
          <w:u w:val="single"/>
        </w:rPr>
        <w:t>Cena vzdělávací akci činí</w:t>
      </w:r>
      <w:r>
        <w:rPr>
          <w:rFonts w:ascii="Arial" w:hAnsi="Arial" w:cs="Arial"/>
          <w:sz w:val="22"/>
          <w:szCs w:val="22"/>
        </w:rPr>
        <w:t xml:space="preserve">: 52 800 Kč bez DPH, tj. </w:t>
      </w:r>
      <w:r w:rsidRPr="003662E3">
        <w:rPr>
          <w:rFonts w:ascii="Arial" w:hAnsi="Arial" w:cs="Arial"/>
          <w:sz w:val="22"/>
          <w:szCs w:val="22"/>
        </w:rPr>
        <w:t>63</w:t>
      </w:r>
      <w:r>
        <w:rPr>
          <w:rFonts w:ascii="Arial" w:hAnsi="Arial" w:cs="Arial"/>
          <w:sz w:val="22"/>
          <w:szCs w:val="22"/>
        </w:rPr>
        <w:t> </w:t>
      </w:r>
      <w:r w:rsidRPr="003662E3">
        <w:rPr>
          <w:rFonts w:ascii="Arial" w:hAnsi="Arial" w:cs="Arial"/>
          <w:sz w:val="22"/>
          <w:szCs w:val="22"/>
        </w:rPr>
        <w:t>888</w:t>
      </w:r>
      <w:r>
        <w:rPr>
          <w:rFonts w:ascii="Arial" w:hAnsi="Arial" w:cs="Arial"/>
          <w:sz w:val="22"/>
          <w:szCs w:val="22"/>
        </w:rPr>
        <w:t xml:space="preserve"> Kč s DPH</w:t>
      </w:r>
    </w:p>
    <w:p w14:paraId="015351A3" w14:textId="6BFF362E" w:rsidR="00EC1B44" w:rsidRDefault="00EC1B44" w:rsidP="00EC1B44">
      <w:pPr>
        <w:spacing w:after="120" w:line="264" w:lineRule="auto"/>
        <w:jc w:val="both"/>
        <w:rPr>
          <w:rFonts w:ascii="Arial" w:hAnsi="Arial" w:cs="Arial"/>
          <w:b/>
          <w:sz w:val="22"/>
          <w:szCs w:val="22"/>
        </w:rPr>
      </w:pPr>
      <w:r>
        <w:rPr>
          <w:rFonts w:ascii="Arial" w:hAnsi="Arial" w:cs="Arial"/>
          <w:b/>
          <w:sz w:val="22"/>
          <w:szCs w:val="22"/>
        </w:rPr>
        <w:t xml:space="preserve">Celková cena za poskytnuté služby činí </w:t>
      </w:r>
      <w:r w:rsidR="003662E3">
        <w:rPr>
          <w:rFonts w:ascii="Arial" w:hAnsi="Arial" w:cs="Arial"/>
          <w:b/>
          <w:sz w:val="22"/>
          <w:szCs w:val="22"/>
        </w:rPr>
        <w:t>171 600</w:t>
      </w:r>
      <w:r w:rsidRPr="0062074C">
        <w:rPr>
          <w:rFonts w:ascii="Arial" w:hAnsi="Arial" w:cs="Arial"/>
          <w:b/>
          <w:sz w:val="22"/>
          <w:szCs w:val="22"/>
        </w:rPr>
        <w:t xml:space="preserve"> Kč bez DPH tj.  </w:t>
      </w:r>
      <w:r w:rsidR="003662E3">
        <w:rPr>
          <w:rFonts w:ascii="Arial" w:hAnsi="Arial" w:cs="Arial"/>
          <w:b/>
          <w:sz w:val="22"/>
          <w:szCs w:val="22"/>
        </w:rPr>
        <w:t>207 636</w:t>
      </w:r>
      <w:r>
        <w:rPr>
          <w:rFonts w:ascii="Arial" w:hAnsi="Arial" w:cs="Arial"/>
          <w:b/>
          <w:sz w:val="22"/>
          <w:szCs w:val="22"/>
        </w:rPr>
        <w:t xml:space="preserve"> </w:t>
      </w:r>
      <w:r w:rsidRPr="0062074C">
        <w:rPr>
          <w:rFonts w:ascii="Arial" w:hAnsi="Arial" w:cs="Arial"/>
          <w:b/>
          <w:sz w:val="22"/>
          <w:szCs w:val="22"/>
        </w:rPr>
        <w:t>Kč s DPH</w:t>
      </w:r>
      <w:r w:rsidRPr="0062074C">
        <w:rPr>
          <w:rFonts w:ascii="Arial" w:hAnsi="Arial" w:cs="Arial"/>
          <w:sz w:val="22"/>
          <w:szCs w:val="22"/>
        </w:rPr>
        <w:t>.</w:t>
      </w:r>
      <w:r>
        <w:rPr>
          <w:rFonts w:ascii="Arial" w:hAnsi="Arial" w:cs="Arial"/>
          <w:b/>
          <w:sz w:val="22"/>
          <w:szCs w:val="22"/>
        </w:rPr>
        <w:t xml:space="preserve"> </w:t>
      </w:r>
      <w:r w:rsidRPr="009760AD">
        <w:rPr>
          <w:rFonts w:ascii="Arial" w:hAnsi="Arial" w:cs="Arial"/>
          <w:b/>
          <w:sz w:val="22"/>
          <w:szCs w:val="22"/>
        </w:rPr>
        <w:t>Cena je konečná, nejvýše přípustná a obsahuje veškeré náklady spojené s realizací předmětu plnění.</w:t>
      </w:r>
    </w:p>
    <w:p w14:paraId="5460EBAC" w14:textId="77777777" w:rsidR="003B5333" w:rsidRDefault="003B5333" w:rsidP="00437CF7">
      <w:pPr>
        <w:spacing w:after="120" w:line="264" w:lineRule="auto"/>
        <w:jc w:val="both"/>
        <w:rPr>
          <w:rFonts w:ascii="Arial" w:hAnsi="Arial" w:cs="Arial"/>
          <w:sz w:val="22"/>
          <w:szCs w:val="22"/>
        </w:rPr>
      </w:pPr>
      <w:r w:rsidRPr="00D42537">
        <w:rPr>
          <w:rFonts w:ascii="Arial" w:hAnsi="Arial" w:cs="Arial"/>
          <w:bCs/>
          <w:sz w:val="22"/>
          <w:szCs w:val="22"/>
        </w:rPr>
        <w:lastRenderedPageBreak/>
        <w:t>Cena je konečná, nejvýše přípustná a obsahuje veškeré náklady spojené s realizací předmětu plnění.</w:t>
      </w:r>
    </w:p>
    <w:p w14:paraId="60D83259" w14:textId="77777777" w:rsidR="003662E3" w:rsidRDefault="003662E3" w:rsidP="003B5333">
      <w:pPr>
        <w:spacing w:line="276" w:lineRule="auto"/>
        <w:jc w:val="both"/>
        <w:rPr>
          <w:rFonts w:ascii="Arial" w:hAnsi="Arial" w:cs="Arial"/>
          <w:sz w:val="22"/>
          <w:szCs w:val="22"/>
        </w:rPr>
      </w:pPr>
    </w:p>
    <w:p w14:paraId="253E1940" w14:textId="38CE63D2" w:rsidR="003B5333" w:rsidRDefault="003B5333" w:rsidP="003B5333">
      <w:pPr>
        <w:spacing w:line="276" w:lineRule="auto"/>
        <w:jc w:val="both"/>
        <w:rPr>
          <w:rFonts w:ascii="Arial" w:hAnsi="Arial" w:cs="Arial"/>
          <w:sz w:val="22"/>
          <w:szCs w:val="22"/>
        </w:rPr>
      </w:pPr>
      <w:r w:rsidRPr="00E37A82">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r w:rsidRPr="00E37A82">
        <w:rPr>
          <w:rFonts w:ascii="Arial" w:hAnsi="Arial" w:cs="Arial"/>
          <w:b/>
          <w:sz w:val="22"/>
          <w:szCs w:val="22"/>
        </w:rPr>
        <w:t xml:space="preserve"> </w:t>
      </w:r>
      <w:r w:rsidRPr="00E37A82">
        <w:rPr>
          <w:rFonts w:ascii="Arial" w:hAnsi="Arial" w:cs="Arial"/>
          <w:sz w:val="22"/>
          <w:szCs w:val="22"/>
        </w:rPr>
        <w:t>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běží znovu ode dne doručení nově vystavené faktury.</w:t>
      </w:r>
    </w:p>
    <w:p w14:paraId="5A5B7813" w14:textId="77777777" w:rsidR="003B5333" w:rsidRDefault="003B5333" w:rsidP="00437CF7">
      <w:pPr>
        <w:spacing w:after="120" w:line="276" w:lineRule="auto"/>
        <w:jc w:val="both"/>
        <w:rPr>
          <w:rFonts w:ascii="Arial" w:hAnsi="Arial" w:cs="Arial"/>
          <w:color w:val="000000"/>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021A6A37" w14:textId="77777777" w:rsidR="003B5333" w:rsidRDefault="003B5333" w:rsidP="003B5333">
      <w:pPr>
        <w:pStyle w:val="Bezmezer"/>
        <w:jc w:val="both"/>
        <w:rPr>
          <w:rFonts w:ascii="Arial" w:hAnsi="Arial" w:cs="Arial"/>
          <w:sz w:val="22"/>
          <w:szCs w:val="22"/>
        </w:rPr>
      </w:pPr>
      <w:r w:rsidRPr="00945DDE">
        <w:rPr>
          <w:rFonts w:ascii="Arial" w:hAnsi="Arial" w:cs="Arial"/>
          <w:sz w:val="22"/>
          <w:szCs w:val="22"/>
          <w:u w:val="single"/>
        </w:rPr>
        <w:t xml:space="preserve">Výpověď </w:t>
      </w:r>
      <w:r>
        <w:rPr>
          <w:rFonts w:ascii="Arial" w:hAnsi="Arial" w:cs="Arial"/>
          <w:sz w:val="22"/>
          <w:szCs w:val="22"/>
          <w:u w:val="single"/>
        </w:rPr>
        <w:t>Objednávky</w:t>
      </w:r>
      <w:r w:rsidRPr="00945DDE">
        <w:rPr>
          <w:rFonts w:ascii="Arial" w:hAnsi="Arial" w:cs="Arial"/>
          <w:sz w:val="22"/>
          <w:szCs w:val="22"/>
          <w:u w:val="single"/>
        </w:rPr>
        <w:t xml:space="preserve">: </w:t>
      </w:r>
      <w:r w:rsidRPr="00945DDE">
        <w:rPr>
          <w:rFonts w:ascii="Arial" w:hAnsi="Arial" w:cs="Arial"/>
          <w:sz w:val="22"/>
          <w:szCs w:val="22"/>
        </w:rPr>
        <w:t>Smluvní vztah lze ukončit písemnou dohodou smluvní stran.</w:t>
      </w:r>
    </w:p>
    <w:p w14:paraId="4A697661" w14:textId="77777777" w:rsidR="003B5333" w:rsidRDefault="003B5333" w:rsidP="003B5333">
      <w:pPr>
        <w:pStyle w:val="Bezmezer"/>
        <w:jc w:val="both"/>
        <w:rPr>
          <w:rFonts w:ascii="Arial" w:hAnsi="Arial" w:cs="Arial"/>
          <w:sz w:val="22"/>
          <w:szCs w:val="22"/>
        </w:rPr>
      </w:pPr>
      <w:r w:rsidRPr="00945DDE">
        <w:rPr>
          <w:rFonts w:ascii="Arial" w:hAnsi="Arial" w:cs="Arial"/>
          <w:sz w:val="22"/>
          <w:szCs w:val="22"/>
        </w:rPr>
        <w:t>Smluvní vztah lze také ukončit</w:t>
      </w:r>
      <w:r>
        <w:rPr>
          <w:rFonts w:ascii="Arial" w:hAnsi="Arial" w:cs="Arial"/>
          <w:sz w:val="22"/>
          <w:szCs w:val="22"/>
        </w:rPr>
        <w:t>:</w:t>
      </w:r>
    </w:p>
    <w:p w14:paraId="4AEF3C22" w14:textId="77777777" w:rsidR="003B5333" w:rsidRPr="00945DDE" w:rsidRDefault="003B5333" w:rsidP="00D6105F">
      <w:pPr>
        <w:pStyle w:val="Bezmezer"/>
        <w:numPr>
          <w:ilvl w:val="0"/>
          <w:numId w:val="12"/>
        </w:numPr>
        <w:jc w:val="both"/>
        <w:rPr>
          <w:rFonts w:ascii="Arial" w:hAnsi="Arial" w:cs="Arial"/>
          <w:sz w:val="22"/>
          <w:szCs w:val="22"/>
        </w:rPr>
      </w:pPr>
      <w:r w:rsidRPr="00945DDE">
        <w:rPr>
          <w:rFonts w:ascii="Arial" w:hAnsi="Arial" w:cs="Arial"/>
          <w:sz w:val="22"/>
          <w:szCs w:val="22"/>
        </w:rPr>
        <w:t>písemnou výpovědí Objednatele s 3měsíční výpovědní dobou, a to i bez uvedení důvodu,</w:t>
      </w:r>
    </w:p>
    <w:p w14:paraId="56E2CD7A" w14:textId="77777777" w:rsidR="003B5333" w:rsidRDefault="003B5333" w:rsidP="003B5333">
      <w:pPr>
        <w:pStyle w:val="Bezmezer"/>
        <w:numPr>
          <w:ilvl w:val="0"/>
          <w:numId w:val="12"/>
        </w:numPr>
        <w:jc w:val="both"/>
        <w:rPr>
          <w:rFonts w:ascii="Arial" w:hAnsi="Arial" w:cs="Arial"/>
          <w:sz w:val="22"/>
          <w:szCs w:val="22"/>
        </w:rPr>
      </w:pPr>
      <w:r w:rsidRPr="00945DDE">
        <w:rPr>
          <w:rFonts w:ascii="Arial" w:hAnsi="Arial" w:cs="Arial"/>
          <w:sz w:val="22"/>
          <w:szCs w:val="22"/>
        </w:rPr>
        <w:t xml:space="preserve">písemnou výpovědí </w:t>
      </w:r>
      <w:r>
        <w:rPr>
          <w:rFonts w:ascii="Arial" w:hAnsi="Arial" w:cs="Arial"/>
          <w:sz w:val="22"/>
          <w:szCs w:val="22"/>
        </w:rPr>
        <w:t>Poskytovatele</w:t>
      </w:r>
      <w:r w:rsidRPr="00945DDE">
        <w:rPr>
          <w:rFonts w:ascii="Arial" w:hAnsi="Arial" w:cs="Arial"/>
          <w:sz w:val="22"/>
          <w:szCs w:val="22"/>
        </w:rPr>
        <w:t xml:space="preserve"> s 3měsíční výpovědní dobou, a to v případě, že </w:t>
      </w:r>
      <w:r>
        <w:rPr>
          <w:rFonts w:ascii="Arial" w:hAnsi="Arial" w:cs="Arial"/>
          <w:sz w:val="22"/>
          <w:szCs w:val="22"/>
        </w:rPr>
        <w:t>Poskytovatel</w:t>
      </w:r>
      <w:r w:rsidRPr="00945DDE">
        <w:rPr>
          <w:rFonts w:ascii="Arial" w:hAnsi="Arial" w:cs="Arial"/>
          <w:sz w:val="22"/>
          <w:szCs w:val="22"/>
        </w:rPr>
        <w:t xml:space="preserve"> neobdrží od Objednatele pokyn k plnění </w:t>
      </w:r>
      <w:r>
        <w:rPr>
          <w:rFonts w:ascii="Arial" w:hAnsi="Arial" w:cs="Arial"/>
          <w:sz w:val="22"/>
          <w:szCs w:val="22"/>
        </w:rPr>
        <w:t>z Objednávky</w:t>
      </w:r>
      <w:r w:rsidRPr="00945DDE">
        <w:rPr>
          <w:rFonts w:ascii="Arial" w:hAnsi="Arial" w:cs="Arial"/>
          <w:sz w:val="22"/>
          <w:szCs w:val="22"/>
        </w:rPr>
        <w:t xml:space="preserve"> nejméně po dobu</w:t>
      </w:r>
      <w:r>
        <w:rPr>
          <w:rFonts w:ascii="Arial" w:hAnsi="Arial" w:cs="Arial"/>
          <w:sz w:val="22"/>
          <w:szCs w:val="22"/>
        </w:rPr>
        <w:t xml:space="preserve">                   </w:t>
      </w:r>
      <w:r w:rsidRPr="00945DDE">
        <w:rPr>
          <w:rFonts w:ascii="Arial" w:hAnsi="Arial" w:cs="Arial"/>
          <w:sz w:val="22"/>
          <w:szCs w:val="22"/>
        </w:rPr>
        <w:t xml:space="preserve"> </w:t>
      </w:r>
      <w:r>
        <w:rPr>
          <w:rFonts w:ascii="Arial" w:hAnsi="Arial" w:cs="Arial"/>
          <w:sz w:val="22"/>
          <w:szCs w:val="22"/>
        </w:rPr>
        <w:t>1</w:t>
      </w:r>
      <w:r w:rsidRPr="00945DDE">
        <w:rPr>
          <w:rFonts w:ascii="Arial" w:hAnsi="Arial" w:cs="Arial"/>
          <w:sz w:val="22"/>
          <w:szCs w:val="22"/>
        </w:rPr>
        <w:t xml:space="preserve"> </w:t>
      </w:r>
      <w:r>
        <w:rPr>
          <w:rFonts w:ascii="Arial" w:hAnsi="Arial" w:cs="Arial"/>
          <w:sz w:val="22"/>
          <w:szCs w:val="22"/>
        </w:rPr>
        <w:t>roku</w:t>
      </w:r>
      <w:r w:rsidRPr="00945DDE">
        <w:rPr>
          <w:rFonts w:ascii="Arial" w:hAnsi="Arial" w:cs="Arial"/>
          <w:sz w:val="22"/>
          <w:szCs w:val="22"/>
        </w:rPr>
        <w:t xml:space="preserve"> od okamžiku ukončení posledního plnění nebo uzavření </w:t>
      </w:r>
      <w:r>
        <w:rPr>
          <w:rFonts w:ascii="Arial" w:hAnsi="Arial" w:cs="Arial"/>
          <w:sz w:val="22"/>
          <w:szCs w:val="22"/>
        </w:rPr>
        <w:t>Objednávky</w:t>
      </w:r>
      <w:r w:rsidRPr="00945DDE">
        <w:rPr>
          <w:rFonts w:ascii="Arial" w:hAnsi="Arial" w:cs="Arial"/>
          <w:sz w:val="22"/>
          <w:szCs w:val="22"/>
        </w:rPr>
        <w:t>, nebylo-li plněno vůbec.</w:t>
      </w:r>
    </w:p>
    <w:p w14:paraId="55F19517" w14:textId="77777777" w:rsidR="003B5333" w:rsidRDefault="003B5333" w:rsidP="003B5333">
      <w:pPr>
        <w:pStyle w:val="Nadpis2"/>
        <w:jc w:val="both"/>
        <w:rPr>
          <w:rFonts w:ascii="Arial" w:hAnsi="Arial" w:cs="Arial"/>
          <w:color w:val="auto"/>
          <w:sz w:val="22"/>
          <w:szCs w:val="22"/>
        </w:rPr>
      </w:pPr>
      <w:r w:rsidRPr="00945DDE">
        <w:rPr>
          <w:rFonts w:ascii="Arial" w:hAnsi="Arial" w:cs="Arial"/>
          <w:color w:val="auto"/>
          <w:sz w:val="22"/>
          <w:szCs w:val="22"/>
        </w:rPr>
        <w:t>Výpovědní doba začíná běžet dnem následujícím po dni doručení výpovědi druhé smluvní straně.</w:t>
      </w:r>
    </w:p>
    <w:p w14:paraId="2FF1700B" w14:textId="77777777" w:rsidR="003B5333" w:rsidRDefault="003B5333" w:rsidP="003B5333">
      <w:pPr>
        <w:jc w:val="both"/>
        <w:rPr>
          <w:rFonts w:ascii="Arial" w:hAnsi="Arial" w:cs="Arial"/>
          <w:sz w:val="22"/>
          <w:szCs w:val="22"/>
        </w:rPr>
      </w:pPr>
      <w:r w:rsidRPr="00945DDE">
        <w:rPr>
          <w:rFonts w:ascii="Arial" w:hAnsi="Arial" w:cs="Arial"/>
          <w:sz w:val="22"/>
          <w:szCs w:val="22"/>
        </w:rPr>
        <w:t>Tímto ustanovením nejsou dotčeny zvláštní důvody ukončení smluvního závazku stanovené obecnými či zvláštními právními předpisy.</w:t>
      </w:r>
    </w:p>
    <w:p w14:paraId="5C6423EC" w14:textId="77777777" w:rsidR="003B5333" w:rsidRDefault="003B5333" w:rsidP="003B5333">
      <w:pPr>
        <w:jc w:val="both"/>
        <w:rPr>
          <w:rFonts w:ascii="Arial" w:hAnsi="Arial" w:cs="Arial"/>
          <w:sz w:val="22"/>
          <w:szCs w:val="22"/>
        </w:rPr>
      </w:pPr>
    </w:p>
    <w:p w14:paraId="08C2EAFB" w14:textId="77777777" w:rsidR="003B5333" w:rsidRDefault="003B5333" w:rsidP="003B5333">
      <w:pPr>
        <w:jc w:val="both"/>
        <w:rPr>
          <w:rFonts w:ascii="Arial" w:hAnsi="Arial" w:cs="Arial"/>
          <w:sz w:val="22"/>
          <w:szCs w:val="22"/>
        </w:rPr>
      </w:pPr>
      <w:r>
        <w:rPr>
          <w:rFonts w:ascii="Arial" w:hAnsi="Arial" w:cs="Arial"/>
          <w:sz w:val="22"/>
          <w:szCs w:val="22"/>
          <w:u w:val="single"/>
        </w:rPr>
        <w:t xml:space="preserve">Odstoupení od Objednávky </w:t>
      </w:r>
      <w:r w:rsidRPr="00945DDE">
        <w:rPr>
          <w:rFonts w:ascii="Arial" w:hAnsi="Arial" w:cs="Arial"/>
          <w:sz w:val="22"/>
          <w:szCs w:val="22"/>
        </w:rPr>
        <w:t xml:space="preserve">Objednatel je oprávněn s účinností k okamžiku doručení </w:t>
      </w:r>
      <w:r>
        <w:rPr>
          <w:rFonts w:ascii="Arial" w:hAnsi="Arial" w:cs="Arial"/>
          <w:sz w:val="22"/>
          <w:szCs w:val="22"/>
        </w:rPr>
        <w:t>Poskytovateli,</w:t>
      </w:r>
      <w:r w:rsidRPr="00945DDE">
        <w:rPr>
          <w:rFonts w:ascii="Arial" w:hAnsi="Arial" w:cs="Arial"/>
          <w:sz w:val="22"/>
          <w:szCs w:val="22"/>
        </w:rPr>
        <w:t xml:space="preserve"> odstoupit od </w:t>
      </w:r>
      <w:r>
        <w:rPr>
          <w:rFonts w:ascii="Arial" w:hAnsi="Arial" w:cs="Arial"/>
          <w:sz w:val="22"/>
          <w:szCs w:val="22"/>
        </w:rPr>
        <w:t>Objednávky</w:t>
      </w:r>
      <w:r w:rsidRPr="00945DDE">
        <w:rPr>
          <w:rFonts w:ascii="Arial" w:hAnsi="Arial" w:cs="Arial"/>
          <w:sz w:val="22"/>
          <w:szCs w:val="22"/>
        </w:rPr>
        <w:t xml:space="preserve"> v případě podstatného porušení povinnosti </w:t>
      </w:r>
      <w:r>
        <w:rPr>
          <w:rFonts w:ascii="Arial" w:hAnsi="Arial" w:cs="Arial"/>
          <w:sz w:val="22"/>
          <w:szCs w:val="22"/>
        </w:rPr>
        <w:t>Poskytovatele,</w:t>
      </w:r>
      <w:r w:rsidRPr="00945DDE">
        <w:rPr>
          <w:rFonts w:ascii="Arial" w:hAnsi="Arial" w:cs="Arial"/>
          <w:sz w:val="22"/>
          <w:szCs w:val="22"/>
        </w:rPr>
        <w:t xml:space="preserve"> vyplývající</w:t>
      </w:r>
      <w:r>
        <w:rPr>
          <w:rFonts w:ascii="Arial" w:hAnsi="Arial" w:cs="Arial"/>
          <w:sz w:val="22"/>
          <w:szCs w:val="22"/>
        </w:rPr>
        <w:t xml:space="preserve">               </w:t>
      </w:r>
      <w:r w:rsidRPr="00945DDE">
        <w:rPr>
          <w:rFonts w:ascii="Arial" w:hAnsi="Arial" w:cs="Arial"/>
          <w:sz w:val="22"/>
          <w:szCs w:val="22"/>
        </w:rPr>
        <w:t xml:space="preserve"> z </w:t>
      </w:r>
      <w:r>
        <w:rPr>
          <w:rFonts w:ascii="Arial" w:hAnsi="Arial" w:cs="Arial"/>
          <w:sz w:val="22"/>
          <w:szCs w:val="22"/>
        </w:rPr>
        <w:t>Objednávky</w:t>
      </w:r>
      <w:r w:rsidRPr="00945DDE">
        <w:rPr>
          <w:rFonts w:ascii="Arial" w:hAnsi="Arial" w:cs="Arial"/>
          <w:sz w:val="22"/>
          <w:szCs w:val="22"/>
        </w:rPr>
        <w:t xml:space="preserve">. </w:t>
      </w:r>
    </w:p>
    <w:p w14:paraId="38BD5548" w14:textId="77777777" w:rsidR="003B5333" w:rsidRDefault="003B5333" w:rsidP="003B5333">
      <w:pPr>
        <w:jc w:val="both"/>
        <w:rPr>
          <w:rFonts w:ascii="Arial" w:hAnsi="Arial" w:cs="Arial"/>
          <w:sz w:val="22"/>
          <w:szCs w:val="22"/>
        </w:rPr>
      </w:pPr>
      <w:r w:rsidRPr="00945DDE">
        <w:rPr>
          <w:rFonts w:ascii="Arial" w:hAnsi="Arial" w:cs="Arial"/>
          <w:sz w:val="22"/>
          <w:szCs w:val="22"/>
        </w:rPr>
        <w:t xml:space="preserve">Za podstatné porušení povinnosti </w:t>
      </w:r>
      <w:r>
        <w:rPr>
          <w:rFonts w:ascii="Arial" w:hAnsi="Arial" w:cs="Arial"/>
          <w:sz w:val="22"/>
          <w:szCs w:val="22"/>
        </w:rPr>
        <w:t>Poskytovatele</w:t>
      </w:r>
      <w:r w:rsidRPr="00945DDE">
        <w:rPr>
          <w:rFonts w:ascii="Arial" w:hAnsi="Arial" w:cs="Arial"/>
          <w:sz w:val="22"/>
          <w:szCs w:val="22"/>
        </w:rPr>
        <w:t xml:space="preserve"> se považuje:</w:t>
      </w:r>
    </w:p>
    <w:p w14:paraId="5B3D4DB0" w14:textId="77777777" w:rsidR="003662E3" w:rsidRDefault="003B5333" w:rsidP="00DC4121">
      <w:pPr>
        <w:pStyle w:val="Odstavecseseznamem"/>
        <w:numPr>
          <w:ilvl w:val="0"/>
          <w:numId w:val="13"/>
        </w:numPr>
        <w:jc w:val="both"/>
        <w:rPr>
          <w:rFonts w:ascii="Arial" w:hAnsi="Arial" w:cs="Arial"/>
          <w:sz w:val="22"/>
          <w:szCs w:val="22"/>
        </w:rPr>
      </w:pPr>
      <w:r w:rsidRPr="003662E3">
        <w:rPr>
          <w:rFonts w:ascii="Arial" w:hAnsi="Arial" w:cs="Arial"/>
          <w:sz w:val="22"/>
          <w:szCs w:val="22"/>
        </w:rPr>
        <w:t>bude-li Poskytovatel v prodlení s dokončením a předáním jakéhokoliv plnění nebo jeho části v termínu, uvedeném v Objednávce o více než 30 dnů;</w:t>
      </w:r>
    </w:p>
    <w:p w14:paraId="3538B2BD" w14:textId="369A5F0D" w:rsidR="003B5333" w:rsidRPr="003662E3" w:rsidRDefault="003B5333" w:rsidP="00DC4121">
      <w:pPr>
        <w:pStyle w:val="Odstavecseseznamem"/>
        <w:numPr>
          <w:ilvl w:val="0"/>
          <w:numId w:val="13"/>
        </w:numPr>
        <w:jc w:val="both"/>
        <w:rPr>
          <w:rFonts w:ascii="Arial" w:hAnsi="Arial" w:cs="Arial"/>
          <w:sz w:val="22"/>
          <w:szCs w:val="22"/>
        </w:rPr>
      </w:pPr>
      <w:r w:rsidRPr="003662E3">
        <w:rPr>
          <w:rFonts w:ascii="Arial" w:hAnsi="Arial" w:cs="Arial"/>
          <w:sz w:val="22"/>
          <w:szCs w:val="22"/>
        </w:rPr>
        <w:t>jestliže Poskytovatel pověřil zhotovením celého Předmětu objednávky třetí osobu, nebo zhotovením části Předmětu díla třetí osobu bez předchozího písemného souhlasu Objednatele;</w:t>
      </w:r>
    </w:p>
    <w:p w14:paraId="08C43B97" w14:textId="61106FF9" w:rsidR="003B5333" w:rsidRPr="00437CF7" w:rsidRDefault="003B5333" w:rsidP="00437CF7">
      <w:pPr>
        <w:pStyle w:val="Nadpis2"/>
        <w:spacing w:before="0" w:after="120"/>
        <w:jc w:val="both"/>
        <w:rPr>
          <w:rFonts w:ascii="Arial" w:hAnsi="Arial" w:cs="Arial"/>
          <w:color w:val="auto"/>
          <w:sz w:val="22"/>
          <w:szCs w:val="22"/>
        </w:rPr>
      </w:pPr>
      <w:r w:rsidRPr="00793FCA">
        <w:rPr>
          <w:rFonts w:ascii="Arial" w:hAnsi="Arial" w:cs="Arial"/>
          <w:color w:val="auto"/>
          <w:sz w:val="22"/>
          <w:szCs w:val="22"/>
        </w:rPr>
        <w:t xml:space="preserve">Odstoupení od </w:t>
      </w:r>
      <w:r>
        <w:rPr>
          <w:rFonts w:ascii="Arial" w:hAnsi="Arial" w:cs="Arial"/>
          <w:color w:val="auto"/>
          <w:sz w:val="22"/>
          <w:szCs w:val="22"/>
        </w:rPr>
        <w:t>Objednávky</w:t>
      </w:r>
      <w:r w:rsidRPr="00793FCA">
        <w:rPr>
          <w:rFonts w:ascii="Arial" w:hAnsi="Arial" w:cs="Arial"/>
          <w:color w:val="auto"/>
          <w:sz w:val="22"/>
          <w:szCs w:val="22"/>
        </w:rPr>
        <w:t xml:space="preserve"> musí být doručeno </w:t>
      </w:r>
      <w:r>
        <w:rPr>
          <w:rFonts w:ascii="Arial" w:hAnsi="Arial" w:cs="Arial"/>
          <w:color w:val="auto"/>
          <w:sz w:val="22"/>
          <w:szCs w:val="22"/>
        </w:rPr>
        <w:t>Poskytovateli</w:t>
      </w:r>
      <w:r w:rsidRPr="00793FCA">
        <w:rPr>
          <w:rFonts w:ascii="Arial" w:hAnsi="Arial" w:cs="Arial"/>
          <w:color w:val="auto"/>
          <w:sz w:val="22"/>
          <w:szCs w:val="22"/>
        </w:rPr>
        <w:t xml:space="preserve"> osobně proti potvrzení, formou doporučeného dopisu s doručenkou nebo prostřednictvím datové schránky. V odstoupení musí být uveden důvod, pro který Objednatel od </w:t>
      </w:r>
      <w:r>
        <w:rPr>
          <w:rFonts w:ascii="Arial" w:hAnsi="Arial" w:cs="Arial"/>
          <w:color w:val="auto"/>
          <w:sz w:val="22"/>
          <w:szCs w:val="22"/>
        </w:rPr>
        <w:t>Objednávky</w:t>
      </w:r>
      <w:r w:rsidRPr="00793FCA">
        <w:rPr>
          <w:rFonts w:ascii="Arial" w:hAnsi="Arial" w:cs="Arial"/>
          <w:color w:val="auto"/>
          <w:sz w:val="22"/>
          <w:szCs w:val="22"/>
        </w:rPr>
        <w:t xml:space="preserve"> odstupuje a uvedení bodu </w:t>
      </w:r>
      <w:r>
        <w:rPr>
          <w:rFonts w:ascii="Arial" w:hAnsi="Arial" w:cs="Arial"/>
          <w:color w:val="auto"/>
          <w:sz w:val="22"/>
          <w:szCs w:val="22"/>
        </w:rPr>
        <w:t>Objednávky</w:t>
      </w:r>
      <w:r w:rsidRPr="00793FCA">
        <w:rPr>
          <w:rFonts w:ascii="Arial" w:hAnsi="Arial" w:cs="Arial"/>
          <w:color w:val="auto"/>
          <w:sz w:val="22"/>
          <w:szCs w:val="22"/>
        </w:rPr>
        <w:t xml:space="preserve">, který </w:t>
      </w:r>
      <w:r>
        <w:rPr>
          <w:rFonts w:ascii="Arial" w:hAnsi="Arial" w:cs="Arial"/>
          <w:color w:val="auto"/>
          <w:sz w:val="22"/>
          <w:szCs w:val="22"/>
        </w:rPr>
        <w:t>ho</w:t>
      </w:r>
      <w:r w:rsidRPr="00793FCA">
        <w:rPr>
          <w:rFonts w:ascii="Arial" w:hAnsi="Arial" w:cs="Arial"/>
          <w:color w:val="auto"/>
          <w:sz w:val="22"/>
          <w:szCs w:val="22"/>
        </w:rPr>
        <w:t xml:space="preserve"> k takovému kroku opravňuje.</w:t>
      </w:r>
    </w:p>
    <w:p w14:paraId="7B1CB027" w14:textId="23F490B9" w:rsidR="003B5333" w:rsidRDefault="003B5333" w:rsidP="00437CF7">
      <w:pPr>
        <w:spacing w:after="120"/>
        <w:jc w:val="both"/>
        <w:rPr>
          <w:rFonts w:ascii="Arial" w:hAnsi="Arial" w:cs="Arial"/>
          <w:sz w:val="22"/>
          <w:szCs w:val="22"/>
        </w:rPr>
      </w:pPr>
      <w:r>
        <w:rPr>
          <w:rFonts w:ascii="Arial" w:hAnsi="Arial" w:cs="Arial"/>
          <w:sz w:val="22"/>
          <w:szCs w:val="22"/>
          <w:u w:val="single"/>
        </w:rPr>
        <w:t xml:space="preserve">Vypořádání při předčasném ukončení </w:t>
      </w:r>
      <w:r>
        <w:rPr>
          <w:rFonts w:ascii="Arial" w:hAnsi="Arial" w:cs="Arial"/>
          <w:sz w:val="22"/>
          <w:szCs w:val="22"/>
        </w:rPr>
        <w:t>Poskytovatel</w:t>
      </w:r>
      <w:r w:rsidRPr="00793FCA">
        <w:rPr>
          <w:rFonts w:ascii="Arial" w:hAnsi="Arial" w:cs="Arial"/>
          <w:sz w:val="22"/>
          <w:szCs w:val="22"/>
        </w:rPr>
        <w:t xml:space="preserve"> provede soupis všech provedených činností</w:t>
      </w:r>
      <w:r>
        <w:rPr>
          <w:rFonts w:ascii="Arial" w:hAnsi="Arial" w:cs="Arial"/>
          <w:sz w:val="22"/>
          <w:szCs w:val="22"/>
        </w:rPr>
        <w:t>,</w:t>
      </w:r>
      <w:r w:rsidRPr="00793FCA">
        <w:rPr>
          <w:rFonts w:ascii="Arial" w:hAnsi="Arial" w:cs="Arial"/>
          <w:sz w:val="22"/>
          <w:szCs w:val="22"/>
        </w:rPr>
        <w:t xml:space="preserve"> oceněný shodným způsobem, jakým byla stanovena cena </w:t>
      </w:r>
      <w:r>
        <w:rPr>
          <w:rFonts w:ascii="Arial" w:hAnsi="Arial" w:cs="Arial"/>
          <w:sz w:val="22"/>
          <w:szCs w:val="22"/>
        </w:rPr>
        <w:t>Objednávky;</w:t>
      </w:r>
    </w:p>
    <w:p w14:paraId="169EC095" w14:textId="77777777" w:rsidR="003B5333" w:rsidRDefault="003B5333" w:rsidP="003B5333">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provede finanční vyčíslení provedených prací, vyčíslení doposud uhrazených částek, a zpracuje „dílčí konečnou fakturu“</w:t>
      </w:r>
      <w:r>
        <w:rPr>
          <w:rFonts w:ascii="Arial" w:hAnsi="Arial" w:cs="Arial"/>
          <w:sz w:val="22"/>
          <w:szCs w:val="22"/>
        </w:rPr>
        <w:t>;</w:t>
      </w:r>
    </w:p>
    <w:p w14:paraId="634EC3B5" w14:textId="77777777" w:rsidR="003B5333" w:rsidRDefault="003B5333" w:rsidP="003B5333">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vyzve Objednatele k „dílčímu předání části </w:t>
      </w:r>
      <w:r>
        <w:rPr>
          <w:rFonts w:ascii="Arial" w:hAnsi="Arial" w:cs="Arial"/>
          <w:sz w:val="22"/>
          <w:szCs w:val="22"/>
        </w:rPr>
        <w:t>předmětu Objednávky</w:t>
      </w:r>
      <w:r w:rsidRPr="00793FCA">
        <w:rPr>
          <w:rFonts w:ascii="Arial" w:hAnsi="Arial" w:cs="Arial"/>
          <w:sz w:val="22"/>
          <w:szCs w:val="22"/>
        </w:rPr>
        <w:t>“ a Objednatel je povinen do 3 dnů od obdržení vyzvání</w:t>
      </w:r>
      <w:r>
        <w:rPr>
          <w:rFonts w:ascii="Arial" w:hAnsi="Arial" w:cs="Arial"/>
          <w:sz w:val="22"/>
          <w:szCs w:val="22"/>
        </w:rPr>
        <w:t>,</w:t>
      </w:r>
      <w:r w:rsidRPr="00793FCA">
        <w:rPr>
          <w:rFonts w:ascii="Arial" w:hAnsi="Arial" w:cs="Arial"/>
          <w:sz w:val="22"/>
          <w:szCs w:val="22"/>
        </w:rPr>
        <w:t xml:space="preserve"> zahájit „dílčí přejímací řízení“; způsob předávání, byť dílčích výstupů, musí odpovídat této </w:t>
      </w:r>
      <w:r>
        <w:rPr>
          <w:rFonts w:ascii="Arial" w:hAnsi="Arial" w:cs="Arial"/>
          <w:sz w:val="22"/>
          <w:szCs w:val="22"/>
        </w:rPr>
        <w:t>Objednávce</w:t>
      </w:r>
      <w:r w:rsidRPr="00793FCA">
        <w:rPr>
          <w:rFonts w:ascii="Arial" w:hAnsi="Arial" w:cs="Arial"/>
          <w:sz w:val="22"/>
          <w:szCs w:val="22"/>
        </w:rPr>
        <w:t xml:space="preserve"> (elektronické předávání, počet paré apod.)</w:t>
      </w:r>
      <w:r>
        <w:rPr>
          <w:rFonts w:ascii="Arial" w:hAnsi="Arial" w:cs="Arial"/>
          <w:sz w:val="22"/>
          <w:szCs w:val="22"/>
        </w:rPr>
        <w:t>;</w:t>
      </w:r>
    </w:p>
    <w:p w14:paraId="5FB6DDB4" w14:textId="77777777" w:rsidR="003B5333" w:rsidRPr="00793FCA" w:rsidRDefault="003B5333" w:rsidP="003B5333">
      <w:pPr>
        <w:jc w:val="both"/>
        <w:rPr>
          <w:rFonts w:ascii="Arial" w:hAnsi="Arial" w:cs="Arial"/>
          <w:sz w:val="22"/>
          <w:szCs w:val="22"/>
        </w:rPr>
      </w:pPr>
      <w:r w:rsidRPr="00793FCA">
        <w:rPr>
          <w:rFonts w:ascii="Arial" w:hAnsi="Arial" w:cs="Arial"/>
          <w:sz w:val="22"/>
          <w:szCs w:val="22"/>
        </w:rPr>
        <w:lastRenderedPageBreak/>
        <w:t xml:space="preserve">V případě odstoupení od </w:t>
      </w:r>
      <w:r>
        <w:rPr>
          <w:rFonts w:ascii="Arial" w:hAnsi="Arial" w:cs="Arial"/>
          <w:sz w:val="22"/>
          <w:szCs w:val="22"/>
        </w:rPr>
        <w:t>Objednávky</w:t>
      </w:r>
      <w:r w:rsidRPr="00793FCA">
        <w:rPr>
          <w:rFonts w:ascii="Arial" w:hAnsi="Arial" w:cs="Arial"/>
          <w:sz w:val="22"/>
          <w:szCs w:val="22"/>
        </w:rPr>
        <w:t xml:space="preserve"> je </w:t>
      </w:r>
      <w:r>
        <w:rPr>
          <w:rFonts w:ascii="Arial" w:hAnsi="Arial" w:cs="Arial"/>
          <w:sz w:val="22"/>
          <w:szCs w:val="22"/>
        </w:rPr>
        <w:t>Poskytovatel</w:t>
      </w:r>
      <w:r w:rsidRPr="00793FCA">
        <w:rPr>
          <w:rFonts w:ascii="Arial" w:hAnsi="Arial" w:cs="Arial"/>
          <w:sz w:val="22"/>
          <w:szCs w:val="22"/>
        </w:rPr>
        <w:t xml:space="preserve"> povinen uhradit Objednateli veškeré náklady mu vzniklé z důvodů odstoupení od </w:t>
      </w:r>
      <w:r>
        <w:rPr>
          <w:rFonts w:ascii="Arial" w:hAnsi="Arial" w:cs="Arial"/>
          <w:sz w:val="22"/>
          <w:szCs w:val="22"/>
        </w:rPr>
        <w:t>Objednávky</w:t>
      </w:r>
      <w:r w:rsidRPr="00793FCA">
        <w:rPr>
          <w:rFonts w:ascii="Arial" w:hAnsi="Arial" w:cs="Arial"/>
          <w:sz w:val="22"/>
          <w:szCs w:val="22"/>
        </w:rPr>
        <w:t>.</w:t>
      </w:r>
    </w:p>
    <w:p w14:paraId="44693F4D" w14:textId="77777777" w:rsidR="00FA6F6D" w:rsidRDefault="00FA6F6D" w:rsidP="003B5333">
      <w:pPr>
        <w:spacing w:line="264" w:lineRule="auto"/>
        <w:jc w:val="both"/>
        <w:rPr>
          <w:rFonts w:ascii="Arial" w:hAnsi="Arial" w:cs="Arial"/>
          <w:sz w:val="22"/>
          <w:szCs w:val="22"/>
          <w:u w:val="single"/>
        </w:rPr>
      </w:pPr>
    </w:p>
    <w:p w14:paraId="5628E20D" w14:textId="77777777" w:rsidR="003B5333" w:rsidRDefault="003B5333" w:rsidP="003B5333">
      <w:pPr>
        <w:spacing w:line="264" w:lineRule="auto"/>
        <w:jc w:val="both"/>
        <w:rPr>
          <w:rFonts w:ascii="Arial" w:hAnsi="Arial" w:cs="Arial"/>
          <w:sz w:val="22"/>
          <w:szCs w:val="22"/>
        </w:rPr>
      </w:pPr>
      <w:r w:rsidRPr="00E37A82">
        <w:rPr>
          <w:rFonts w:ascii="Arial" w:hAnsi="Arial" w:cs="Arial"/>
          <w:sz w:val="22"/>
          <w:szCs w:val="22"/>
          <w:u w:val="single"/>
        </w:rPr>
        <w:t>Kontaktní osoba objednatele</w:t>
      </w:r>
      <w:r w:rsidRPr="009434C4">
        <w:rPr>
          <w:rFonts w:ascii="Arial" w:hAnsi="Arial" w:cs="Arial"/>
          <w:sz w:val="22"/>
          <w:szCs w:val="22"/>
        </w:rPr>
        <w:t xml:space="preserve">: </w:t>
      </w:r>
      <w:r>
        <w:rPr>
          <w:rFonts w:ascii="Arial" w:hAnsi="Arial" w:cs="Arial"/>
          <w:sz w:val="22"/>
          <w:szCs w:val="22"/>
        </w:rPr>
        <w:t>Mgr. Kateřina Brožková</w:t>
      </w:r>
      <w:r w:rsidRPr="00F8322A">
        <w:rPr>
          <w:rFonts w:ascii="Arial" w:hAnsi="Arial" w:cs="Arial"/>
          <w:sz w:val="22"/>
          <w:szCs w:val="22"/>
        </w:rPr>
        <w:t xml:space="preserve">, Odbor personální, Oddělení řízení lidských </w:t>
      </w:r>
    </w:p>
    <w:p w14:paraId="7974FC70" w14:textId="77777777" w:rsidR="003B5333" w:rsidRPr="00F8322A" w:rsidRDefault="003B5333" w:rsidP="003B5333">
      <w:pPr>
        <w:spacing w:line="264" w:lineRule="auto"/>
        <w:jc w:val="both"/>
        <w:rPr>
          <w:rFonts w:ascii="Arial" w:hAnsi="Arial" w:cs="Arial"/>
          <w:sz w:val="22"/>
          <w:szCs w:val="22"/>
        </w:rPr>
      </w:pPr>
      <w:r>
        <w:rPr>
          <w:rFonts w:ascii="Arial" w:hAnsi="Arial" w:cs="Arial"/>
          <w:sz w:val="22"/>
          <w:szCs w:val="22"/>
        </w:rPr>
        <w:t xml:space="preserve">                                                </w:t>
      </w:r>
      <w:r w:rsidRPr="00F8322A">
        <w:rPr>
          <w:rFonts w:ascii="Arial" w:hAnsi="Arial" w:cs="Arial"/>
          <w:sz w:val="22"/>
          <w:szCs w:val="22"/>
        </w:rPr>
        <w:t>zdrojů</w:t>
      </w:r>
    </w:p>
    <w:p w14:paraId="18054E39" w14:textId="77777777" w:rsidR="003B5333" w:rsidRPr="00F8322A" w:rsidRDefault="003B5333" w:rsidP="003B5333">
      <w:pPr>
        <w:spacing w:line="264" w:lineRule="auto"/>
        <w:jc w:val="both"/>
        <w:rPr>
          <w:rFonts w:ascii="Arial" w:hAnsi="Arial" w:cs="Arial"/>
          <w:sz w:val="22"/>
          <w:szCs w:val="22"/>
        </w:rPr>
      </w:pPr>
      <w:r w:rsidRPr="00F8322A">
        <w:rPr>
          <w:rFonts w:ascii="Arial" w:hAnsi="Arial" w:cs="Arial"/>
          <w:sz w:val="22"/>
          <w:szCs w:val="22"/>
        </w:rPr>
        <w:t xml:space="preserve">                                                Tel.: 729 922 </w:t>
      </w:r>
      <w:r>
        <w:rPr>
          <w:rFonts w:ascii="Arial" w:hAnsi="Arial" w:cs="Arial"/>
          <w:sz w:val="22"/>
          <w:szCs w:val="22"/>
        </w:rPr>
        <w:t>312</w:t>
      </w:r>
      <w:r w:rsidRPr="00F8322A">
        <w:rPr>
          <w:rFonts w:ascii="Arial" w:hAnsi="Arial" w:cs="Arial"/>
          <w:sz w:val="22"/>
          <w:szCs w:val="22"/>
        </w:rPr>
        <w:t xml:space="preserve"> </w:t>
      </w:r>
    </w:p>
    <w:p w14:paraId="1E96AC2A" w14:textId="77777777" w:rsidR="003B5333" w:rsidRDefault="003B5333" w:rsidP="003B5333">
      <w:pPr>
        <w:spacing w:line="360" w:lineRule="auto"/>
        <w:jc w:val="both"/>
        <w:rPr>
          <w:rFonts w:ascii="Arial" w:hAnsi="Arial" w:cs="Arial"/>
          <w:sz w:val="22"/>
          <w:szCs w:val="22"/>
        </w:rPr>
      </w:pPr>
      <w:r w:rsidRPr="00F8322A">
        <w:rPr>
          <w:rFonts w:ascii="Arial" w:hAnsi="Arial" w:cs="Arial"/>
          <w:sz w:val="22"/>
          <w:szCs w:val="22"/>
        </w:rPr>
        <w:t xml:space="preserve">                                                Email: </w:t>
      </w:r>
      <w:hyperlink r:id="rId8" w:history="1">
        <w:r w:rsidRPr="00875642">
          <w:rPr>
            <w:rStyle w:val="Hypertextovodkaz"/>
            <w:rFonts w:ascii="Arial" w:hAnsi="Arial" w:cs="Arial"/>
            <w:sz w:val="22"/>
            <w:szCs w:val="22"/>
          </w:rPr>
          <w:t>katerina.brozkova@spu.gov.cz</w:t>
        </w:r>
      </w:hyperlink>
    </w:p>
    <w:p w14:paraId="529CC756" w14:textId="1F0F9DFA" w:rsidR="007262DB" w:rsidRDefault="007262DB" w:rsidP="007262DB">
      <w:pPr>
        <w:jc w:val="both"/>
        <w:rPr>
          <w:rFonts w:ascii="Arial" w:hAnsi="Arial" w:cs="Arial"/>
          <w:sz w:val="22"/>
          <w:szCs w:val="22"/>
        </w:rPr>
      </w:pPr>
    </w:p>
    <w:p w14:paraId="2444FDAC" w14:textId="77777777" w:rsidR="003662E3" w:rsidRPr="00E37A82" w:rsidRDefault="003662E3" w:rsidP="007262DB">
      <w:pPr>
        <w:jc w:val="both"/>
        <w:rPr>
          <w:rFonts w:ascii="Arial" w:hAnsi="Arial" w:cs="Arial"/>
          <w:sz w:val="22"/>
          <w:szCs w:val="22"/>
        </w:rPr>
      </w:pPr>
    </w:p>
    <w:p w14:paraId="63980A8D" w14:textId="181DE7D8" w:rsidR="007262DB" w:rsidRDefault="007262DB" w:rsidP="007262DB">
      <w:pPr>
        <w:spacing w:line="360" w:lineRule="auto"/>
        <w:jc w:val="both"/>
        <w:rPr>
          <w:rFonts w:ascii="Arial" w:hAnsi="Arial" w:cs="Arial"/>
          <w:sz w:val="22"/>
          <w:szCs w:val="22"/>
        </w:rPr>
      </w:pPr>
      <w:r w:rsidRPr="00E37A82">
        <w:rPr>
          <w:rFonts w:ascii="Arial" w:hAnsi="Arial" w:cs="Arial"/>
          <w:sz w:val="22"/>
          <w:szCs w:val="22"/>
        </w:rPr>
        <w:t>S</w:t>
      </w:r>
      <w:r w:rsidR="00437CF7">
        <w:rPr>
          <w:rFonts w:ascii="Arial" w:hAnsi="Arial" w:cs="Arial"/>
          <w:sz w:val="22"/>
          <w:szCs w:val="22"/>
        </w:rPr>
        <w:t> </w:t>
      </w:r>
      <w:r w:rsidRPr="00E37A82">
        <w:rPr>
          <w:rFonts w:ascii="Arial" w:hAnsi="Arial" w:cs="Arial"/>
          <w:sz w:val="22"/>
          <w:szCs w:val="22"/>
        </w:rPr>
        <w:t>pozdravem</w:t>
      </w:r>
    </w:p>
    <w:p w14:paraId="39565A3C" w14:textId="77777777" w:rsidR="00437CF7" w:rsidRDefault="00437CF7" w:rsidP="007262DB">
      <w:pPr>
        <w:spacing w:line="360" w:lineRule="auto"/>
        <w:jc w:val="both"/>
        <w:rPr>
          <w:rFonts w:ascii="Arial" w:hAnsi="Arial" w:cs="Arial"/>
          <w:sz w:val="22"/>
          <w:szCs w:val="22"/>
        </w:rPr>
      </w:pPr>
    </w:p>
    <w:p w14:paraId="54369EE0" w14:textId="77777777" w:rsidR="00F44854" w:rsidRPr="00E37A82" w:rsidRDefault="00F44854" w:rsidP="007262DB">
      <w:pPr>
        <w:spacing w:line="360" w:lineRule="auto"/>
        <w:jc w:val="both"/>
        <w:rPr>
          <w:rFonts w:ascii="Arial" w:hAnsi="Arial" w:cs="Arial"/>
          <w:sz w:val="22"/>
          <w:szCs w:val="22"/>
        </w:rPr>
      </w:pPr>
    </w:p>
    <w:p w14:paraId="264F09DE" w14:textId="592DE8AC" w:rsidR="00791471" w:rsidRPr="00437CF7" w:rsidRDefault="00437CF7" w:rsidP="00437CF7">
      <w:pPr>
        <w:spacing w:after="120" w:line="360" w:lineRule="auto"/>
        <w:jc w:val="both"/>
        <w:rPr>
          <w:rFonts w:ascii="Arial" w:hAnsi="Arial" w:cs="Arial"/>
          <w:i/>
          <w:iCs/>
          <w:sz w:val="22"/>
          <w:szCs w:val="22"/>
        </w:rPr>
      </w:pPr>
      <w:r w:rsidRPr="00437CF7">
        <w:rPr>
          <w:rFonts w:ascii="Arial" w:hAnsi="Arial" w:cs="Arial"/>
          <w:i/>
          <w:iCs/>
          <w:sz w:val="22"/>
          <w:szCs w:val="22"/>
        </w:rPr>
        <w:t>„Elektronicky podepsáno“</w:t>
      </w:r>
      <w:r w:rsidR="00C253C5" w:rsidRPr="00437CF7">
        <w:rPr>
          <w:rFonts w:ascii="Arial" w:hAnsi="Arial" w:cs="Arial"/>
          <w:i/>
          <w:iCs/>
          <w:sz w:val="22"/>
          <w:szCs w:val="22"/>
        </w:rPr>
        <w:tab/>
      </w:r>
      <w:r w:rsidR="00C253C5" w:rsidRPr="00437CF7">
        <w:rPr>
          <w:rFonts w:ascii="Arial" w:hAnsi="Arial" w:cs="Arial"/>
          <w:i/>
          <w:iCs/>
          <w:sz w:val="22"/>
          <w:szCs w:val="22"/>
        </w:rPr>
        <w:tab/>
      </w:r>
      <w:r w:rsidR="00C253C5" w:rsidRPr="00437CF7">
        <w:rPr>
          <w:rFonts w:ascii="Arial" w:hAnsi="Arial" w:cs="Arial"/>
          <w:i/>
          <w:iCs/>
          <w:sz w:val="22"/>
          <w:szCs w:val="22"/>
        </w:rPr>
        <w:tab/>
      </w:r>
    </w:p>
    <w:p w14:paraId="27191149" w14:textId="148D059B" w:rsidR="007262DB" w:rsidRPr="00E37A82" w:rsidRDefault="007262DB" w:rsidP="00437CF7">
      <w:pPr>
        <w:spacing w:line="360" w:lineRule="auto"/>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755C77">
      <w:pP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3A52B861" w14:textId="28BC6085" w:rsidR="00044204" w:rsidRDefault="007262DB" w:rsidP="00437CF7">
      <w:pPr>
        <w:rPr>
          <w:rFonts w:ascii="Arial" w:hAnsi="Arial" w:cs="Arial"/>
          <w:sz w:val="22"/>
          <w:szCs w:val="22"/>
        </w:rPr>
      </w:pPr>
      <w:r w:rsidRPr="00E37A82">
        <w:rPr>
          <w:rFonts w:ascii="Arial" w:hAnsi="Arial" w:cs="Arial"/>
          <w:sz w:val="22"/>
          <w:szCs w:val="22"/>
        </w:rPr>
        <w:t>Státního pozemkového úřadu</w:t>
      </w:r>
    </w:p>
    <w:p w14:paraId="6DB83D49" w14:textId="77777777" w:rsidR="00044204" w:rsidRDefault="00044204" w:rsidP="00044204">
      <w:pPr>
        <w:pBdr>
          <w:bottom w:val="single" w:sz="12" w:space="1" w:color="auto"/>
        </w:pBdr>
        <w:jc w:val="both"/>
        <w:rPr>
          <w:rFonts w:ascii="Arial" w:hAnsi="Arial" w:cs="Arial"/>
          <w:sz w:val="22"/>
          <w:szCs w:val="22"/>
        </w:rPr>
      </w:pPr>
    </w:p>
    <w:p w14:paraId="34308793" w14:textId="77777777" w:rsidR="00F44854" w:rsidRDefault="00F44854" w:rsidP="00044204">
      <w:pPr>
        <w:pBdr>
          <w:bottom w:val="single" w:sz="12" w:space="1" w:color="auto"/>
        </w:pBdr>
        <w:jc w:val="both"/>
        <w:rPr>
          <w:rFonts w:ascii="Arial" w:hAnsi="Arial" w:cs="Arial"/>
          <w:sz w:val="22"/>
          <w:szCs w:val="22"/>
        </w:rPr>
      </w:pPr>
    </w:p>
    <w:p w14:paraId="27ED5ABA" w14:textId="77777777" w:rsidR="00F44854" w:rsidRDefault="00F44854" w:rsidP="00044204">
      <w:pPr>
        <w:pBdr>
          <w:bottom w:val="single" w:sz="12" w:space="1" w:color="auto"/>
        </w:pBdr>
        <w:jc w:val="both"/>
        <w:rPr>
          <w:rFonts w:ascii="Arial" w:hAnsi="Arial" w:cs="Arial"/>
          <w:sz w:val="22"/>
          <w:szCs w:val="22"/>
        </w:rPr>
      </w:pPr>
    </w:p>
    <w:p w14:paraId="5D3D1D7D" w14:textId="77777777" w:rsidR="00437CF7" w:rsidRDefault="00437CF7"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56611700"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w:t>
      </w:r>
      <w:r w:rsidR="00BA2925">
        <w:rPr>
          <w:rFonts w:ascii="Arial" w:hAnsi="Arial" w:cs="Arial"/>
          <w:sz w:val="22"/>
          <w:szCs w:val="22"/>
        </w:rPr>
        <w:t xml:space="preserve"> (případně elektronickým podpisem)</w:t>
      </w:r>
      <w:r>
        <w:rPr>
          <w:rFonts w:ascii="Arial" w:hAnsi="Arial" w:cs="Arial"/>
          <w:sz w:val="22"/>
          <w:szCs w:val="22"/>
        </w:rPr>
        <w:t xml:space="preserve"> stvrzuje přijetí objednávky a souhlasí s provedením objednaného plnění</w:t>
      </w:r>
    </w:p>
    <w:p w14:paraId="35BE031B" w14:textId="342343DD" w:rsidR="00044204" w:rsidRDefault="00044204" w:rsidP="00044204">
      <w:pPr>
        <w:jc w:val="both"/>
        <w:rPr>
          <w:rFonts w:ascii="Arial" w:hAnsi="Arial" w:cs="Arial"/>
          <w:sz w:val="22"/>
          <w:szCs w:val="22"/>
        </w:rPr>
      </w:pPr>
    </w:p>
    <w:p w14:paraId="53FD76EC" w14:textId="78975E3B" w:rsidR="00044204" w:rsidRDefault="00044204" w:rsidP="00044204">
      <w:pPr>
        <w:jc w:val="both"/>
        <w:rPr>
          <w:rFonts w:ascii="Arial" w:hAnsi="Arial" w:cs="Arial"/>
          <w:sz w:val="22"/>
          <w:szCs w:val="22"/>
        </w:rPr>
      </w:pPr>
    </w:p>
    <w:p w14:paraId="42FE6A9C" w14:textId="630193F6" w:rsidR="00A05F99" w:rsidRDefault="00A05F99" w:rsidP="00A05F99">
      <w:pPr>
        <w:jc w:val="both"/>
        <w:rPr>
          <w:rFonts w:ascii="Arial" w:hAnsi="Arial" w:cs="Arial"/>
          <w:sz w:val="22"/>
          <w:szCs w:val="22"/>
        </w:rPr>
      </w:pPr>
      <w:r>
        <w:rPr>
          <w:rFonts w:ascii="Arial" w:hAnsi="Arial" w:cs="Arial"/>
          <w:sz w:val="22"/>
          <w:szCs w:val="22"/>
        </w:rPr>
        <w:t>V </w:t>
      </w:r>
      <w:r w:rsidR="002159F7">
        <w:rPr>
          <w:rFonts w:ascii="Arial" w:hAnsi="Arial" w:cs="Arial"/>
          <w:sz w:val="22"/>
          <w:szCs w:val="22"/>
        </w:rPr>
        <w:t>Praze</w:t>
      </w:r>
      <w:r w:rsidR="00755C77">
        <w:rPr>
          <w:rFonts w:ascii="Arial" w:hAnsi="Arial" w:cs="Arial"/>
          <w:sz w:val="22"/>
          <w:szCs w:val="22"/>
        </w:rPr>
        <w:t xml:space="preserve"> </w:t>
      </w:r>
      <w:r>
        <w:rPr>
          <w:rFonts w:ascii="Arial" w:hAnsi="Arial" w:cs="Arial"/>
          <w:sz w:val="22"/>
          <w:szCs w:val="22"/>
        </w:rPr>
        <w:t xml:space="preserve">dne </w:t>
      </w:r>
      <w:r w:rsidR="002159F7">
        <w:rPr>
          <w:rFonts w:ascii="Arial" w:hAnsi="Arial" w:cs="Arial"/>
          <w:sz w:val="22"/>
          <w:szCs w:val="22"/>
        </w:rPr>
        <w:t>3.12.2025</w:t>
      </w:r>
    </w:p>
    <w:p w14:paraId="354CC2F5" w14:textId="77777777" w:rsidR="00A05F99" w:rsidRDefault="00A05F99" w:rsidP="00A05F99">
      <w:pPr>
        <w:jc w:val="both"/>
        <w:rPr>
          <w:rFonts w:ascii="Arial" w:hAnsi="Arial" w:cs="Arial"/>
          <w:sz w:val="22"/>
          <w:szCs w:val="22"/>
        </w:rPr>
      </w:pPr>
    </w:p>
    <w:p w14:paraId="7E84C577" w14:textId="77777777" w:rsidR="00437CF7" w:rsidRDefault="00437CF7" w:rsidP="00A05F99">
      <w:pPr>
        <w:jc w:val="both"/>
        <w:rPr>
          <w:rFonts w:ascii="Arial" w:hAnsi="Arial" w:cs="Arial"/>
          <w:sz w:val="22"/>
          <w:szCs w:val="22"/>
        </w:rPr>
      </w:pPr>
    </w:p>
    <w:p w14:paraId="4AA14AB8" w14:textId="77777777" w:rsidR="00437CF7" w:rsidRDefault="00437CF7" w:rsidP="00A05F99">
      <w:pPr>
        <w:jc w:val="both"/>
        <w:rPr>
          <w:rFonts w:ascii="Arial" w:hAnsi="Arial" w:cs="Arial"/>
          <w:sz w:val="22"/>
          <w:szCs w:val="22"/>
        </w:rPr>
      </w:pPr>
    </w:p>
    <w:p w14:paraId="16A5D954" w14:textId="4CA7A578" w:rsidR="00A05F99" w:rsidRPr="004A5041" w:rsidRDefault="00A05F99" w:rsidP="00A05F99">
      <w:pPr>
        <w:jc w:val="both"/>
        <w:rPr>
          <w:rFonts w:ascii="Arial" w:hAnsi="Arial" w:cs="Arial"/>
          <w:sz w:val="22"/>
          <w:szCs w:val="22"/>
        </w:rPr>
      </w:pPr>
      <w:r>
        <w:rPr>
          <w:rFonts w:ascii="Arial" w:hAnsi="Arial" w:cs="Arial"/>
          <w:sz w:val="22"/>
          <w:szCs w:val="22"/>
        </w:rPr>
        <w:t>Jméno a příjmení oprávněné osoby:</w:t>
      </w:r>
      <w:r w:rsidR="002159F7">
        <w:rPr>
          <w:rFonts w:ascii="Arial" w:hAnsi="Arial" w:cs="Arial"/>
          <w:sz w:val="22"/>
          <w:szCs w:val="22"/>
        </w:rPr>
        <w:t xml:space="preserve"> Jednatel společnosti JUDr. Jakub Kotrba</w:t>
      </w:r>
    </w:p>
    <w:sectPr w:rsidR="00A05F99" w:rsidRPr="004A5041"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5D43" w14:textId="77777777" w:rsidR="004832E4" w:rsidRDefault="004832E4" w:rsidP="00CF67C0">
      <w:r>
        <w:separator/>
      </w:r>
    </w:p>
  </w:endnote>
  <w:endnote w:type="continuationSeparator" w:id="0">
    <w:p w14:paraId="00917240" w14:textId="77777777" w:rsidR="004832E4" w:rsidRDefault="004832E4"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32EB" w14:textId="77777777" w:rsidR="004832E4" w:rsidRDefault="004832E4" w:rsidP="00CF67C0">
      <w:r>
        <w:separator/>
      </w:r>
    </w:p>
  </w:footnote>
  <w:footnote w:type="continuationSeparator" w:id="0">
    <w:p w14:paraId="2579B99A" w14:textId="77777777" w:rsidR="004832E4" w:rsidRDefault="004832E4"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387"/>
    <w:multiLevelType w:val="hybridMultilevel"/>
    <w:tmpl w:val="74E058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BF00E9"/>
    <w:multiLevelType w:val="hybridMultilevel"/>
    <w:tmpl w:val="2F540B40"/>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CD37C9"/>
    <w:multiLevelType w:val="hybridMultilevel"/>
    <w:tmpl w:val="8DFEAA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A6019E"/>
    <w:multiLevelType w:val="hybridMultilevel"/>
    <w:tmpl w:val="6FDA78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E4A7FBE"/>
    <w:multiLevelType w:val="hybridMultilevel"/>
    <w:tmpl w:val="D6F40F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DF50AC"/>
    <w:multiLevelType w:val="hybridMultilevel"/>
    <w:tmpl w:val="300A5B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20B0E0C"/>
    <w:multiLevelType w:val="hybridMultilevel"/>
    <w:tmpl w:val="B930E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A32F60"/>
    <w:multiLevelType w:val="hybridMultilevel"/>
    <w:tmpl w:val="65224D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BB94643"/>
    <w:multiLevelType w:val="hybridMultilevel"/>
    <w:tmpl w:val="1CFA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1568708">
    <w:abstractNumId w:val="7"/>
  </w:num>
  <w:num w:numId="2" w16cid:durableId="891573875">
    <w:abstractNumId w:val="17"/>
  </w:num>
  <w:num w:numId="3" w16cid:durableId="1198540362">
    <w:abstractNumId w:val="9"/>
  </w:num>
  <w:num w:numId="4" w16cid:durableId="117191619">
    <w:abstractNumId w:val="14"/>
  </w:num>
  <w:num w:numId="5" w16cid:durableId="1464228319">
    <w:abstractNumId w:val="4"/>
  </w:num>
  <w:num w:numId="6" w16cid:durableId="1343556098">
    <w:abstractNumId w:val="2"/>
  </w:num>
  <w:num w:numId="7" w16cid:durableId="1660961000">
    <w:abstractNumId w:val="10"/>
  </w:num>
  <w:num w:numId="8" w16cid:durableId="499663873">
    <w:abstractNumId w:val="19"/>
  </w:num>
  <w:num w:numId="9" w16cid:durableId="474183736">
    <w:abstractNumId w:val="16"/>
  </w:num>
  <w:num w:numId="10" w16cid:durableId="1521890524">
    <w:abstractNumId w:val="8"/>
  </w:num>
  <w:num w:numId="11" w16cid:durableId="1347556544">
    <w:abstractNumId w:val="12"/>
  </w:num>
  <w:num w:numId="12" w16cid:durableId="826436987">
    <w:abstractNumId w:val="13"/>
  </w:num>
  <w:num w:numId="13" w16cid:durableId="1355809341">
    <w:abstractNumId w:val="18"/>
  </w:num>
  <w:num w:numId="14" w16cid:durableId="2015648923">
    <w:abstractNumId w:val="0"/>
  </w:num>
  <w:num w:numId="15" w16cid:durableId="959073790">
    <w:abstractNumId w:val="3"/>
  </w:num>
  <w:num w:numId="16" w16cid:durableId="767432927">
    <w:abstractNumId w:val="1"/>
  </w:num>
  <w:num w:numId="17" w16cid:durableId="970288806">
    <w:abstractNumId w:val="6"/>
  </w:num>
  <w:num w:numId="18" w16cid:durableId="446508188">
    <w:abstractNumId w:val="5"/>
  </w:num>
  <w:num w:numId="19" w16cid:durableId="484201579">
    <w:abstractNumId w:val="11"/>
  </w:num>
  <w:num w:numId="20" w16cid:durableId="19620328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0562B"/>
    <w:rsid w:val="000109C0"/>
    <w:rsid w:val="00034EA4"/>
    <w:rsid w:val="0004326B"/>
    <w:rsid w:val="00044204"/>
    <w:rsid w:val="0005310E"/>
    <w:rsid w:val="00054022"/>
    <w:rsid w:val="00064246"/>
    <w:rsid w:val="0007224C"/>
    <w:rsid w:val="00072BC7"/>
    <w:rsid w:val="000756E2"/>
    <w:rsid w:val="000870D0"/>
    <w:rsid w:val="000909F3"/>
    <w:rsid w:val="00093CEC"/>
    <w:rsid w:val="00093FC4"/>
    <w:rsid w:val="00097DEE"/>
    <w:rsid w:val="000B01EE"/>
    <w:rsid w:val="000C3927"/>
    <w:rsid w:val="000C4A2E"/>
    <w:rsid w:val="000D1DCB"/>
    <w:rsid w:val="000D357B"/>
    <w:rsid w:val="000F6FE4"/>
    <w:rsid w:val="001074A2"/>
    <w:rsid w:val="001111BD"/>
    <w:rsid w:val="0012164D"/>
    <w:rsid w:val="00132076"/>
    <w:rsid w:val="00150F22"/>
    <w:rsid w:val="0015433C"/>
    <w:rsid w:val="00183833"/>
    <w:rsid w:val="0019467A"/>
    <w:rsid w:val="001C03EE"/>
    <w:rsid w:val="001C405F"/>
    <w:rsid w:val="001D4C05"/>
    <w:rsid w:val="001E028D"/>
    <w:rsid w:val="001E4A59"/>
    <w:rsid w:val="001E54C5"/>
    <w:rsid w:val="001F521F"/>
    <w:rsid w:val="002159F7"/>
    <w:rsid w:val="00217AF0"/>
    <w:rsid w:val="00221CF2"/>
    <w:rsid w:val="00237AF3"/>
    <w:rsid w:val="00273861"/>
    <w:rsid w:val="00273C04"/>
    <w:rsid w:val="00273E3B"/>
    <w:rsid w:val="002808A9"/>
    <w:rsid w:val="002834BF"/>
    <w:rsid w:val="00284701"/>
    <w:rsid w:val="00284A97"/>
    <w:rsid w:val="00296574"/>
    <w:rsid w:val="002A27C1"/>
    <w:rsid w:val="002A7E56"/>
    <w:rsid w:val="002B2DEE"/>
    <w:rsid w:val="002B7AB6"/>
    <w:rsid w:val="002C74F4"/>
    <w:rsid w:val="002D0F95"/>
    <w:rsid w:val="002E04F3"/>
    <w:rsid w:val="002E0DC9"/>
    <w:rsid w:val="002E1DFE"/>
    <w:rsid w:val="002E239F"/>
    <w:rsid w:val="002E2FD7"/>
    <w:rsid w:val="002E4C97"/>
    <w:rsid w:val="00311A6A"/>
    <w:rsid w:val="00333C99"/>
    <w:rsid w:val="00334D08"/>
    <w:rsid w:val="00337F6E"/>
    <w:rsid w:val="00344D96"/>
    <w:rsid w:val="00364153"/>
    <w:rsid w:val="003662E3"/>
    <w:rsid w:val="00371D54"/>
    <w:rsid w:val="00372BE9"/>
    <w:rsid w:val="003747BF"/>
    <w:rsid w:val="00376743"/>
    <w:rsid w:val="00382565"/>
    <w:rsid w:val="00384A19"/>
    <w:rsid w:val="003966E9"/>
    <w:rsid w:val="003B5333"/>
    <w:rsid w:val="003C242E"/>
    <w:rsid w:val="003C7D40"/>
    <w:rsid w:val="003D05D0"/>
    <w:rsid w:val="003D1E7E"/>
    <w:rsid w:val="003D3168"/>
    <w:rsid w:val="003E1F63"/>
    <w:rsid w:val="004078A3"/>
    <w:rsid w:val="00425EAC"/>
    <w:rsid w:val="00431128"/>
    <w:rsid w:val="0043713D"/>
    <w:rsid w:val="00437CF7"/>
    <w:rsid w:val="004456CA"/>
    <w:rsid w:val="00462709"/>
    <w:rsid w:val="004666BC"/>
    <w:rsid w:val="0048266D"/>
    <w:rsid w:val="004827BA"/>
    <w:rsid w:val="004832E4"/>
    <w:rsid w:val="00484709"/>
    <w:rsid w:val="00484C60"/>
    <w:rsid w:val="00486E77"/>
    <w:rsid w:val="0049110A"/>
    <w:rsid w:val="004A5891"/>
    <w:rsid w:val="004A5D53"/>
    <w:rsid w:val="004A67B4"/>
    <w:rsid w:val="004B7373"/>
    <w:rsid w:val="004C3BBF"/>
    <w:rsid w:val="004D6F3C"/>
    <w:rsid w:val="004F5CD0"/>
    <w:rsid w:val="00504939"/>
    <w:rsid w:val="0051424E"/>
    <w:rsid w:val="0052642D"/>
    <w:rsid w:val="00545B5D"/>
    <w:rsid w:val="005467FD"/>
    <w:rsid w:val="0054789F"/>
    <w:rsid w:val="00560CA2"/>
    <w:rsid w:val="00561A80"/>
    <w:rsid w:val="0057003E"/>
    <w:rsid w:val="00585F6F"/>
    <w:rsid w:val="00587BFE"/>
    <w:rsid w:val="005A3B96"/>
    <w:rsid w:val="005A500D"/>
    <w:rsid w:val="005A61AB"/>
    <w:rsid w:val="005F044A"/>
    <w:rsid w:val="006122B2"/>
    <w:rsid w:val="00615EAC"/>
    <w:rsid w:val="006358D7"/>
    <w:rsid w:val="00642E64"/>
    <w:rsid w:val="00654A34"/>
    <w:rsid w:val="00685222"/>
    <w:rsid w:val="00685A68"/>
    <w:rsid w:val="006A1C0E"/>
    <w:rsid w:val="006A49A0"/>
    <w:rsid w:val="006A70ED"/>
    <w:rsid w:val="006B488D"/>
    <w:rsid w:val="006D490A"/>
    <w:rsid w:val="006E061F"/>
    <w:rsid w:val="006E44A5"/>
    <w:rsid w:val="006E6996"/>
    <w:rsid w:val="006F6F7B"/>
    <w:rsid w:val="00705D2B"/>
    <w:rsid w:val="00711F06"/>
    <w:rsid w:val="00723A96"/>
    <w:rsid w:val="00725B0F"/>
    <w:rsid w:val="007262DB"/>
    <w:rsid w:val="00734ED0"/>
    <w:rsid w:val="00750401"/>
    <w:rsid w:val="00750FC2"/>
    <w:rsid w:val="00755C77"/>
    <w:rsid w:val="00760F75"/>
    <w:rsid w:val="007618A5"/>
    <w:rsid w:val="00765167"/>
    <w:rsid w:val="0076661E"/>
    <w:rsid w:val="007739A0"/>
    <w:rsid w:val="00774B6F"/>
    <w:rsid w:val="00791471"/>
    <w:rsid w:val="007D6EAD"/>
    <w:rsid w:val="007E25FE"/>
    <w:rsid w:val="007E4DEC"/>
    <w:rsid w:val="007F25CC"/>
    <w:rsid w:val="0080445D"/>
    <w:rsid w:val="008311F8"/>
    <w:rsid w:val="0084157F"/>
    <w:rsid w:val="0084471F"/>
    <w:rsid w:val="00847851"/>
    <w:rsid w:val="00860DB0"/>
    <w:rsid w:val="008626AE"/>
    <w:rsid w:val="008632DE"/>
    <w:rsid w:val="008759BA"/>
    <w:rsid w:val="00880F44"/>
    <w:rsid w:val="00882ED3"/>
    <w:rsid w:val="008954CC"/>
    <w:rsid w:val="008A1CF4"/>
    <w:rsid w:val="008A51F9"/>
    <w:rsid w:val="008A7452"/>
    <w:rsid w:val="008B5B1A"/>
    <w:rsid w:val="008D1657"/>
    <w:rsid w:val="008D61DF"/>
    <w:rsid w:val="008D7360"/>
    <w:rsid w:val="008E12D3"/>
    <w:rsid w:val="008E7BA7"/>
    <w:rsid w:val="008F5375"/>
    <w:rsid w:val="00900A87"/>
    <w:rsid w:val="00913C89"/>
    <w:rsid w:val="00915AE6"/>
    <w:rsid w:val="009161D8"/>
    <w:rsid w:val="0092420D"/>
    <w:rsid w:val="00927DB5"/>
    <w:rsid w:val="009346E1"/>
    <w:rsid w:val="009532D8"/>
    <w:rsid w:val="0095480E"/>
    <w:rsid w:val="00955881"/>
    <w:rsid w:val="009730FA"/>
    <w:rsid w:val="0097578D"/>
    <w:rsid w:val="00976336"/>
    <w:rsid w:val="009854C3"/>
    <w:rsid w:val="00997DE1"/>
    <w:rsid w:val="009B4545"/>
    <w:rsid w:val="009D1926"/>
    <w:rsid w:val="009E3A03"/>
    <w:rsid w:val="009E3A62"/>
    <w:rsid w:val="009E6970"/>
    <w:rsid w:val="00A05F99"/>
    <w:rsid w:val="00A0728E"/>
    <w:rsid w:val="00A4049F"/>
    <w:rsid w:val="00A411E4"/>
    <w:rsid w:val="00A55274"/>
    <w:rsid w:val="00A81B1D"/>
    <w:rsid w:val="00A95D26"/>
    <w:rsid w:val="00AA27F5"/>
    <w:rsid w:val="00AC5129"/>
    <w:rsid w:val="00AC793E"/>
    <w:rsid w:val="00AD1E1E"/>
    <w:rsid w:val="00AD20B8"/>
    <w:rsid w:val="00AD2CFA"/>
    <w:rsid w:val="00AD6806"/>
    <w:rsid w:val="00AE0DCD"/>
    <w:rsid w:val="00AE70F3"/>
    <w:rsid w:val="00AF6A11"/>
    <w:rsid w:val="00B012B6"/>
    <w:rsid w:val="00B12D8F"/>
    <w:rsid w:val="00B150AA"/>
    <w:rsid w:val="00B16F2C"/>
    <w:rsid w:val="00B20A95"/>
    <w:rsid w:val="00B27E37"/>
    <w:rsid w:val="00B305F9"/>
    <w:rsid w:val="00B326D0"/>
    <w:rsid w:val="00B32AF2"/>
    <w:rsid w:val="00B422A5"/>
    <w:rsid w:val="00B4461A"/>
    <w:rsid w:val="00B45AE5"/>
    <w:rsid w:val="00B5036D"/>
    <w:rsid w:val="00B605FD"/>
    <w:rsid w:val="00B719B3"/>
    <w:rsid w:val="00B956CE"/>
    <w:rsid w:val="00B97DB6"/>
    <w:rsid w:val="00BA2925"/>
    <w:rsid w:val="00BA4B11"/>
    <w:rsid w:val="00BC0BBE"/>
    <w:rsid w:val="00BD29D2"/>
    <w:rsid w:val="00BF110F"/>
    <w:rsid w:val="00BF37BD"/>
    <w:rsid w:val="00C05024"/>
    <w:rsid w:val="00C16089"/>
    <w:rsid w:val="00C17E0B"/>
    <w:rsid w:val="00C253C5"/>
    <w:rsid w:val="00C317FD"/>
    <w:rsid w:val="00C359AD"/>
    <w:rsid w:val="00C45BBF"/>
    <w:rsid w:val="00C502DB"/>
    <w:rsid w:val="00C53899"/>
    <w:rsid w:val="00C608E9"/>
    <w:rsid w:val="00C955FA"/>
    <w:rsid w:val="00CA0010"/>
    <w:rsid w:val="00CA61C5"/>
    <w:rsid w:val="00CA6D56"/>
    <w:rsid w:val="00CC1D86"/>
    <w:rsid w:val="00CD1383"/>
    <w:rsid w:val="00CD4912"/>
    <w:rsid w:val="00CD4F3A"/>
    <w:rsid w:val="00CE257D"/>
    <w:rsid w:val="00CF01CB"/>
    <w:rsid w:val="00CF33A9"/>
    <w:rsid w:val="00CF67C0"/>
    <w:rsid w:val="00D03167"/>
    <w:rsid w:val="00D040A0"/>
    <w:rsid w:val="00D21666"/>
    <w:rsid w:val="00D2634D"/>
    <w:rsid w:val="00D27D43"/>
    <w:rsid w:val="00D37CAC"/>
    <w:rsid w:val="00D37D07"/>
    <w:rsid w:val="00D42867"/>
    <w:rsid w:val="00D4345C"/>
    <w:rsid w:val="00D543F0"/>
    <w:rsid w:val="00D6105F"/>
    <w:rsid w:val="00D734C3"/>
    <w:rsid w:val="00D77884"/>
    <w:rsid w:val="00D809E2"/>
    <w:rsid w:val="00D964EE"/>
    <w:rsid w:val="00DA39DD"/>
    <w:rsid w:val="00DC2BA7"/>
    <w:rsid w:val="00DD7E46"/>
    <w:rsid w:val="00DE54EA"/>
    <w:rsid w:val="00DE647E"/>
    <w:rsid w:val="00DF4D12"/>
    <w:rsid w:val="00E0424D"/>
    <w:rsid w:val="00E06BF8"/>
    <w:rsid w:val="00E06E93"/>
    <w:rsid w:val="00E11FBD"/>
    <w:rsid w:val="00E14D4A"/>
    <w:rsid w:val="00E16A1B"/>
    <w:rsid w:val="00E37A82"/>
    <w:rsid w:val="00E44262"/>
    <w:rsid w:val="00E461E7"/>
    <w:rsid w:val="00E5606E"/>
    <w:rsid w:val="00E60311"/>
    <w:rsid w:val="00E65C41"/>
    <w:rsid w:val="00E66429"/>
    <w:rsid w:val="00E67BCC"/>
    <w:rsid w:val="00E71E72"/>
    <w:rsid w:val="00E80258"/>
    <w:rsid w:val="00E86E0A"/>
    <w:rsid w:val="00EB39BF"/>
    <w:rsid w:val="00EC0E04"/>
    <w:rsid w:val="00EC1B44"/>
    <w:rsid w:val="00ED0AE3"/>
    <w:rsid w:val="00ED14E1"/>
    <w:rsid w:val="00ED2E92"/>
    <w:rsid w:val="00EE6352"/>
    <w:rsid w:val="00EE6420"/>
    <w:rsid w:val="00EF1BF7"/>
    <w:rsid w:val="00F03FD2"/>
    <w:rsid w:val="00F13F26"/>
    <w:rsid w:val="00F40078"/>
    <w:rsid w:val="00F44854"/>
    <w:rsid w:val="00F605D8"/>
    <w:rsid w:val="00F62379"/>
    <w:rsid w:val="00F66B04"/>
    <w:rsid w:val="00F840B9"/>
    <w:rsid w:val="00F8718C"/>
    <w:rsid w:val="00F9246A"/>
    <w:rsid w:val="00FA28E4"/>
    <w:rsid w:val="00FA57A6"/>
    <w:rsid w:val="00FA6F6D"/>
    <w:rsid w:val="00FB1DE2"/>
    <w:rsid w:val="00FC0515"/>
    <w:rsid w:val="00FC10E5"/>
    <w:rsid w:val="00FC4CF4"/>
    <w:rsid w:val="00FC6296"/>
    <w:rsid w:val="00FD2241"/>
    <w:rsid w:val="00FE2B98"/>
    <w:rsid w:val="00FE54E3"/>
    <w:rsid w:val="00FF34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62E3"/>
  </w:style>
  <w:style w:type="paragraph" w:styleId="Nadpis2">
    <w:name w:val="heading 2"/>
    <w:basedOn w:val="Normln"/>
    <w:next w:val="Normln"/>
    <w:link w:val="Nadpis2Char"/>
    <w:uiPriority w:val="9"/>
    <w:unhideWhenUsed/>
    <w:qFormat/>
    <w:rsid w:val="003B53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3B5333"/>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4827BA"/>
    <w:pPr>
      <w:ind w:left="720"/>
      <w:contextualSpacing/>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rsid w:val="003B5333"/>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3B5333"/>
    <w:rPr>
      <w:rFonts w:asciiTheme="majorHAnsi" w:eastAsiaTheme="majorEastAsia" w:hAnsiTheme="majorHAnsi" w:cstheme="majorBidi"/>
      <w:color w:val="243F60" w:themeColor="accent1" w:themeShade="7F"/>
    </w:rPr>
  </w:style>
  <w:style w:type="paragraph" w:styleId="Bezmezer">
    <w:name w:val="No Spacing"/>
    <w:uiPriority w:val="1"/>
    <w:qFormat/>
    <w:rsid w:val="003B5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231">
      <w:bodyDiv w:val="1"/>
      <w:marLeft w:val="0"/>
      <w:marRight w:val="0"/>
      <w:marTop w:val="0"/>
      <w:marBottom w:val="0"/>
      <w:divBdr>
        <w:top w:val="none" w:sz="0" w:space="0" w:color="auto"/>
        <w:left w:val="none" w:sz="0" w:space="0" w:color="auto"/>
        <w:bottom w:val="none" w:sz="0" w:space="0" w:color="auto"/>
        <w:right w:val="none" w:sz="0" w:space="0" w:color="auto"/>
      </w:divBdr>
    </w:div>
    <w:div w:id="100077269">
      <w:bodyDiv w:val="1"/>
      <w:marLeft w:val="0"/>
      <w:marRight w:val="0"/>
      <w:marTop w:val="0"/>
      <w:marBottom w:val="0"/>
      <w:divBdr>
        <w:top w:val="none" w:sz="0" w:space="0" w:color="auto"/>
        <w:left w:val="none" w:sz="0" w:space="0" w:color="auto"/>
        <w:bottom w:val="none" w:sz="0" w:space="0" w:color="auto"/>
        <w:right w:val="none" w:sz="0" w:space="0" w:color="auto"/>
      </w:divBdr>
    </w:div>
    <w:div w:id="112333335">
      <w:bodyDiv w:val="1"/>
      <w:marLeft w:val="0"/>
      <w:marRight w:val="0"/>
      <w:marTop w:val="0"/>
      <w:marBottom w:val="0"/>
      <w:divBdr>
        <w:top w:val="none" w:sz="0" w:space="0" w:color="auto"/>
        <w:left w:val="none" w:sz="0" w:space="0" w:color="auto"/>
        <w:bottom w:val="none" w:sz="0" w:space="0" w:color="auto"/>
        <w:right w:val="none" w:sz="0" w:space="0" w:color="auto"/>
      </w:divBdr>
    </w:div>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621157468">
      <w:bodyDiv w:val="1"/>
      <w:marLeft w:val="0"/>
      <w:marRight w:val="0"/>
      <w:marTop w:val="0"/>
      <w:marBottom w:val="0"/>
      <w:divBdr>
        <w:top w:val="none" w:sz="0" w:space="0" w:color="auto"/>
        <w:left w:val="none" w:sz="0" w:space="0" w:color="auto"/>
        <w:bottom w:val="none" w:sz="0" w:space="0" w:color="auto"/>
        <w:right w:val="none" w:sz="0" w:space="0" w:color="auto"/>
      </w:divBdr>
    </w:div>
    <w:div w:id="796532864">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 w:id="210692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brozk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1296</Words>
  <Characters>7651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Brožková Kateřina Mgr.</cp:lastModifiedBy>
  <cp:revision>3</cp:revision>
  <cp:lastPrinted>2025-12-02T10:20:00Z</cp:lastPrinted>
  <dcterms:created xsi:type="dcterms:W3CDTF">2025-12-05T07:14:00Z</dcterms:created>
  <dcterms:modified xsi:type="dcterms:W3CDTF">2025-12-05T07:16:00Z</dcterms:modified>
</cp:coreProperties>
</file>