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5B63B495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C81463">
        <w:rPr>
          <w:rFonts w:cs="Arial"/>
          <w:b/>
          <w:szCs w:val="24"/>
        </w:rPr>
        <w:t>pro Pardubický kraj</w:t>
      </w:r>
    </w:p>
    <w:p w14:paraId="4CF8149E" w14:textId="173FD3D0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C81463">
        <w:rPr>
          <w:rFonts w:cs="Arial"/>
          <w:b/>
          <w:szCs w:val="24"/>
        </w:rPr>
        <w:t xml:space="preserve"> Boženy Němcové 231, 530 02 Pardubice</w:t>
      </w:r>
    </w:p>
    <w:p w14:paraId="643BD739" w14:textId="4A8CB186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C81463">
        <w:rPr>
          <w:rFonts w:cs="Arial"/>
          <w:b/>
          <w:szCs w:val="24"/>
        </w:rPr>
        <w:t>Pardubice</w:t>
      </w:r>
    </w:p>
    <w:p w14:paraId="66BCA023" w14:textId="67EA1468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C81463">
        <w:rPr>
          <w:rFonts w:cs="Arial"/>
          <w:b/>
          <w:szCs w:val="24"/>
        </w:rPr>
        <w:t xml:space="preserve"> Boženy Němcové 231, 530 02 Pardubice</w:t>
      </w:r>
    </w:p>
    <w:p w14:paraId="6D585746" w14:textId="74123A1B" w:rsidR="00E24120" w:rsidRPr="00E24120" w:rsidRDefault="00E24120" w:rsidP="00C81463">
      <w:pPr>
        <w:overflowPunct w:val="0"/>
        <w:autoSpaceDE w:val="0"/>
        <w:autoSpaceDN w:val="0"/>
        <w:adjustRightInd w:val="0"/>
        <w:spacing w:line="280" w:lineRule="exact"/>
        <w:ind w:left="4678" w:hanging="4620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C81463">
        <w:rPr>
          <w:rFonts w:eastAsia="Lucida Sans Unicode" w:cs="Arial"/>
          <w:szCs w:val="24"/>
        </w:rPr>
        <w:tab/>
        <w:t>Ing. Ondřejem Bartošem, vedoucím Pobočky    Pardubice</w:t>
      </w:r>
    </w:p>
    <w:p w14:paraId="7118FC3B" w14:textId="5AB66907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06012F">
        <w:rPr>
          <w:rFonts w:eastAsia="Lucida Sans Unicode" w:cs="Arial"/>
          <w:szCs w:val="24"/>
        </w:rPr>
        <w:t>Ing. Ondřej Bartoš</w:t>
      </w:r>
    </w:p>
    <w:p w14:paraId="66916189" w14:textId="738B7B19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06012F">
        <w:rPr>
          <w:rFonts w:eastAsia="Lucida Sans Unicode" w:cs="Arial"/>
          <w:snapToGrid w:val="0"/>
          <w:szCs w:val="24"/>
        </w:rPr>
        <w:t>Olga Čepková, rada Pobočky Pardubice</w:t>
      </w:r>
      <w:r w:rsidRPr="00E24120">
        <w:rPr>
          <w:rFonts w:eastAsia="Lucida Sans Unicode" w:cs="Arial"/>
          <w:szCs w:val="24"/>
        </w:rPr>
        <w:t xml:space="preserve"> </w:t>
      </w:r>
    </w:p>
    <w:p w14:paraId="7257B994" w14:textId="0A2F32F8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</w:r>
    </w:p>
    <w:p w14:paraId="6D71FB25" w14:textId="32C5AA40" w:rsidR="0006012F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06012F">
        <w:rPr>
          <w:rFonts w:eastAsia="Lucida Sans Unicode" w:cs="Arial"/>
          <w:szCs w:val="24"/>
        </w:rPr>
        <w:t> 725 832 311</w:t>
      </w:r>
    </w:p>
    <w:p w14:paraId="42222A26" w14:textId="20E5B23D" w:rsid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hyperlink r:id="rId13" w:history="1">
        <w:r w:rsidR="0006012F" w:rsidRPr="00747B18">
          <w:rPr>
            <w:rStyle w:val="Hypertextovodkaz"/>
            <w:rFonts w:eastAsia="Lucida Sans Unicode" w:cs="Arial"/>
            <w:szCs w:val="24"/>
          </w:rPr>
          <w:t>olga.cepkova@spu.gov.cz</w:t>
        </w:r>
      </w:hyperlink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43A79A83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06012F">
        <w:rPr>
          <w:rFonts w:cs="Arial"/>
          <w:b/>
          <w:szCs w:val="24"/>
        </w:rPr>
        <w:tab/>
        <w:t xml:space="preserve">     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DB18FEB" w14:textId="52E1C07A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="0006012F">
        <w:rPr>
          <w:rFonts w:cs="Arial"/>
          <w:b/>
          <w:szCs w:val="24"/>
        </w:rPr>
        <w:tab/>
        <w:t xml:space="preserve">     </w:t>
      </w:r>
      <w:r w:rsidRPr="00E24120">
        <w:rPr>
          <w:rFonts w:cs="Arial"/>
          <w:bCs/>
          <w:szCs w:val="24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FEB2147" w14:textId="33BC1E37" w:rsidR="00E24120" w:rsidRPr="00E24120" w:rsidRDefault="00E24120" w:rsidP="00FF45B7">
      <w:pPr>
        <w:tabs>
          <w:tab w:val="left" w:pos="4253"/>
        </w:tabs>
        <w:spacing w:line="280" w:lineRule="exact"/>
        <w:ind w:left="4620" w:hanging="4620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>zastoupený:</w:t>
      </w:r>
      <w:r w:rsidR="0006012F">
        <w:rPr>
          <w:rFonts w:cs="Arial"/>
          <w:szCs w:val="24"/>
        </w:rPr>
        <w:tab/>
        <w:t xml:space="preserve">     </w:t>
      </w:r>
      <w:r w:rsidRPr="00E24120">
        <w:rPr>
          <w:rFonts w:cs="Arial"/>
          <w:szCs w:val="24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 xml:space="preserve">statutární orgán (dle výpisu z obch. </w:t>
      </w:r>
      <w:r w:rsidR="0006012F">
        <w:rPr>
          <w:rFonts w:cs="Arial"/>
          <w:i/>
          <w:szCs w:val="24"/>
          <w:highlight w:val="yellow"/>
        </w:rPr>
        <w:t xml:space="preserve">       </w:t>
      </w:r>
      <w:r w:rsidRPr="00E24120">
        <w:rPr>
          <w:rFonts w:cs="Arial"/>
          <w:i/>
          <w:szCs w:val="24"/>
          <w:highlight w:val="yellow"/>
        </w:rPr>
        <w:t>rejstříku)</w:t>
      </w:r>
    </w:p>
    <w:p w14:paraId="7A68AB1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1C793700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3FCF24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ab/>
        <w:t>ID DS:</w:t>
      </w:r>
      <w:r w:rsidRPr="00E24120">
        <w:rPr>
          <w:rFonts w:cs="Arial"/>
          <w:bCs/>
          <w:snapToGrid w:val="0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37FA979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2396F525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474C21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74076F6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F20A7A3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02CC041E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67C69597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 je/není plátcem DPH</w:t>
      </w:r>
    </w:p>
    <w:p w14:paraId="48659F85" w14:textId="77777777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lastRenderedPageBreak/>
        <w:t xml:space="preserve">Společnost je zapsaná v obchodním rejstříku vedeném u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oddíl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vložka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FF45B7">
        <w:rPr>
          <w:b/>
          <w:bCs/>
        </w:rPr>
        <w:t>dozor</w:t>
      </w:r>
      <w:r w:rsidR="09B503B2" w:rsidRPr="00FF45B7">
        <w:rPr>
          <w:b/>
          <w:bCs/>
        </w:rPr>
        <w:t>u</w:t>
      </w:r>
      <w:r w:rsidR="004E62D6" w:rsidRPr="00FF45B7">
        <w:rPr>
          <w:b/>
          <w:bCs/>
        </w:rPr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78836724" w:rsidR="009B22A4" w:rsidRPr="003E4EA2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E4EA2">
        <w:t>Zhotovitel se zavazuje, že provede pro objednatele dozor</w:t>
      </w:r>
      <w:r w:rsidR="004E62D6" w:rsidRPr="003E4EA2">
        <w:t xml:space="preserve"> projektanta</w:t>
      </w:r>
      <w:r w:rsidRPr="003E4EA2">
        <w:t xml:space="preserve"> při realizaci stav</w:t>
      </w:r>
      <w:r w:rsidR="0008091E" w:rsidRPr="003E4EA2">
        <w:t>eb</w:t>
      </w:r>
      <w:r w:rsidRPr="003E4EA2">
        <w:t>:</w:t>
      </w:r>
    </w:p>
    <w:p w14:paraId="1434A70C" w14:textId="73EB4EE7" w:rsidR="009B22A4" w:rsidRPr="003E4EA2" w:rsidRDefault="00911160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3E4EA2">
        <w:rPr>
          <w:rStyle w:val="l-L2Char"/>
          <w:rFonts w:cs="Arial"/>
          <w:szCs w:val="22"/>
        </w:rPr>
        <w:t xml:space="preserve">Název </w:t>
      </w:r>
      <w:r w:rsidR="005003F9" w:rsidRPr="003E4EA2">
        <w:rPr>
          <w:rStyle w:val="l-L2Char"/>
          <w:rFonts w:cs="Arial"/>
          <w:szCs w:val="22"/>
        </w:rPr>
        <w:t>a popis staveb:</w:t>
      </w:r>
    </w:p>
    <w:p w14:paraId="4E6C046D" w14:textId="574EB345" w:rsidR="0027347A" w:rsidRPr="00236023" w:rsidRDefault="0027347A" w:rsidP="0027347A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rStyle w:val="l-L2Char"/>
          <w:b/>
          <w:bCs/>
          <w:i/>
          <w:iCs/>
        </w:rPr>
      </w:pPr>
      <w:bookmarkStart w:id="1" w:name="_Hlk214888731"/>
      <w:r w:rsidRPr="00236023">
        <w:rPr>
          <w:rStyle w:val="l-L2Char"/>
          <w:b/>
          <w:bCs/>
          <w:i/>
          <w:iCs/>
        </w:rPr>
        <w:t>Rekonstrukce HC4 včetně IP7 a IP8 (1.část)</w:t>
      </w:r>
      <w:r w:rsidR="00673EFE" w:rsidRPr="00236023">
        <w:rPr>
          <w:rStyle w:val="l-L2Char"/>
          <w:b/>
          <w:bCs/>
          <w:i/>
          <w:iCs/>
        </w:rPr>
        <w:t xml:space="preserve"> v k.ú. Veliny</w:t>
      </w:r>
    </w:p>
    <w:p w14:paraId="500349FE" w14:textId="1ECC0092" w:rsidR="009B22A4" w:rsidRPr="0027347A" w:rsidRDefault="0027347A" w:rsidP="0027347A">
      <w:pPr>
        <w:pStyle w:val="l-L2"/>
        <w:numPr>
          <w:ilvl w:val="1"/>
          <w:numId w:val="17"/>
        </w:numPr>
        <w:tabs>
          <w:tab w:val="left" w:pos="851"/>
          <w:tab w:val="left" w:pos="2268"/>
        </w:tabs>
      </w:pPr>
      <w:r w:rsidRPr="00236023">
        <w:rPr>
          <w:rStyle w:val="l-L2Char"/>
          <w:b/>
          <w:bCs/>
          <w:i/>
          <w:iCs/>
        </w:rPr>
        <w:t>Rekonstrukce HC4 včetně IP7 a IP8 (2.část)</w:t>
      </w:r>
      <w:r w:rsidR="00673EFE" w:rsidRPr="00236023">
        <w:rPr>
          <w:rStyle w:val="l-L2Char"/>
          <w:b/>
          <w:bCs/>
          <w:i/>
          <w:iCs/>
        </w:rPr>
        <w:t xml:space="preserve"> v k.ú. Veliny </w:t>
      </w:r>
      <w:r w:rsidR="00673EFE">
        <w:rPr>
          <w:rStyle w:val="l-L2Char"/>
          <w:b/>
          <w:bCs/>
        </w:rPr>
        <w:t>-</w:t>
      </w:r>
      <w:r w:rsidRPr="003E4EA2">
        <w:rPr>
          <w:b/>
          <w:snapToGrid w:val="0"/>
        </w:rPr>
        <w:t xml:space="preserve"> </w:t>
      </w:r>
      <w:bookmarkEnd w:id="1"/>
      <w:r w:rsidRPr="0027347A">
        <w:rPr>
          <w:rFonts w:cs="Arial"/>
          <w:szCs w:val="22"/>
        </w:rPr>
        <w:t>rekonstrukce stávající polní cesty v celkové délce 1 419 m. U cesty  je provedeno přetrasování osy dle požadavků sboru zástupců. Dojde k rozšíření koruny cest. Podél cesty je navržena doprovodná liniová zeleň. Povrch cesty asfaltobetonový, kategorie polní cesty – hlavní, 4,5/30. Polní cesta je rozdělena na 2 části pomocí stavebních objektů – u napojení na cestu VC6a. Do realizace není zahrnut počátek cesty, který byl realizován již dříve.</w:t>
      </w:r>
    </w:p>
    <w:p w14:paraId="0B341484" w14:textId="7C17DAFC" w:rsidR="0027347A" w:rsidRDefault="0027347A" w:rsidP="0027347A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rStyle w:val="l-L2Char"/>
        </w:rPr>
      </w:pPr>
      <w:r w:rsidRPr="00236023">
        <w:rPr>
          <w:rStyle w:val="l-L2Char"/>
          <w:b/>
          <w:bCs/>
          <w:i/>
          <w:iCs/>
        </w:rPr>
        <w:t>Realizace PEO 2</w:t>
      </w:r>
      <w:r w:rsidR="00673EFE" w:rsidRPr="00236023">
        <w:rPr>
          <w:rStyle w:val="l-L2Char"/>
          <w:b/>
          <w:bCs/>
          <w:i/>
          <w:iCs/>
        </w:rPr>
        <w:t xml:space="preserve"> v k.ú. Veliny</w:t>
      </w:r>
      <w:r w:rsidRPr="003E4EA2">
        <w:rPr>
          <w:rStyle w:val="l-L2Char"/>
        </w:rPr>
        <w:t xml:space="preserve"> – nově navržená protierozní mez s příkopem navazující na cestu HC4.</w:t>
      </w:r>
    </w:p>
    <w:p w14:paraId="7FAD0B0C" w14:textId="256EE8C5" w:rsidR="0027347A" w:rsidRPr="0027347A" w:rsidRDefault="0027347A" w:rsidP="0027347A">
      <w:pPr>
        <w:pStyle w:val="l-L2"/>
        <w:numPr>
          <w:ilvl w:val="1"/>
          <w:numId w:val="17"/>
        </w:numPr>
        <w:tabs>
          <w:tab w:val="left" w:pos="851"/>
          <w:tab w:val="left" w:pos="2268"/>
        </w:tabs>
      </w:pPr>
      <w:r w:rsidRPr="00236023">
        <w:rPr>
          <w:rStyle w:val="l-L2Char"/>
          <w:b/>
          <w:bCs/>
          <w:i/>
          <w:iCs/>
        </w:rPr>
        <w:t>Rekonstrukce VC6a</w:t>
      </w:r>
      <w:r w:rsidR="00673EFE" w:rsidRPr="00236023">
        <w:rPr>
          <w:rStyle w:val="l-L2Char"/>
          <w:b/>
          <w:bCs/>
          <w:i/>
          <w:iCs/>
        </w:rPr>
        <w:t xml:space="preserve"> v k.ú. Veliny</w:t>
      </w:r>
      <w:r>
        <w:rPr>
          <w:rStyle w:val="l-L2Char"/>
          <w:b/>
          <w:bCs/>
        </w:rPr>
        <w:t xml:space="preserve"> - </w:t>
      </w:r>
      <w:r w:rsidRPr="00AE0EFC">
        <w:rPr>
          <w:rFonts w:cs="Arial"/>
          <w:szCs w:val="22"/>
        </w:rPr>
        <w:t>rekonstrukce stávající polní cest</w:t>
      </w:r>
      <w:r w:rsidR="001E5C6A">
        <w:rPr>
          <w:rFonts w:cs="Arial"/>
          <w:szCs w:val="22"/>
        </w:rPr>
        <w:t>y</w:t>
      </w:r>
      <w:r w:rsidRPr="00AE0EFC">
        <w:rPr>
          <w:rFonts w:cs="Arial"/>
          <w:szCs w:val="22"/>
        </w:rPr>
        <w:t xml:space="preserve"> v délce cca 168 m</w:t>
      </w:r>
      <w:r>
        <w:rPr>
          <w:rFonts w:cs="Arial"/>
          <w:szCs w:val="22"/>
        </w:rPr>
        <w:t xml:space="preserve">. </w:t>
      </w:r>
      <w:r w:rsidR="008C38D2">
        <w:rPr>
          <w:rFonts w:cs="Arial"/>
          <w:szCs w:val="22"/>
        </w:rPr>
        <w:t>P</w:t>
      </w:r>
      <w:r w:rsidRPr="00AE0EFC">
        <w:rPr>
          <w:rFonts w:cs="Arial"/>
          <w:szCs w:val="22"/>
        </w:rPr>
        <w:t>ovrch je štěrkový, kategorie polní cesty – vedlejší, 4,0/20.</w:t>
      </w:r>
    </w:p>
    <w:p w14:paraId="33299C22" w14:textId="12852ABE" w:rsidR="008C38D2" w:rsidRDefault="0027347A" w:rsidP="002176AF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spacing w:before="0" w:after="0"/>
        <w:rPr>
          <w:rFonts w:cs="Arial"/>
          <w:szCs w:val="22"/>
        </w:rPr>
      </w:pPr>
      <w:r w:rsidRPr="00236023">
        <w:rPr>
          <w:rFonts w:cs="Arial"/>
          <w:b/>
          <w:bCs/>
          <w:i/>
          <w:iCs/>
          <w:szCs w:val="22"/>
        </w:rPr>
        <w:t xml:space="preserve">Rekonstrukce DC6b včetně PEO6 a IP9 </w:t>
      </w:r>
      <w:r w:rsidR="00673EFE" w:rsidRPr="00236023">
        <w:rPr>
          <w:rFonts w:cs="Arial"/>
          <w:b/>
          <w:bCs/>
          <w:i/>
          <w:iCs/>
          <w:szCs w:val="22"/>
        </w:rPr>
        <w:t>v k.ú. Veliny</w:t>
      </w:r>
      <w:r w:rsidRPr="008C38D2">
        <w:rPr>
          <w:rFonts w:cs="Arial"/>
          <w:b/>
          <w:bCs/>
          <w:szCs w:val="22"/>
        </w:rPr>
        <w:t xml:space="preserve">- </w:t>
      </w:r>
      <w:r w:rsidRPr="008C38D2">
        <w:rPr>
          <w:rFonts w:cs="Arial"/>
          <w:szCs w:val="22"/>
        </w:rPr>
        <w:t>rekonstrukce stávající polní cesty v délce cca 508 m, která se napojuje na cestu VC6a. Cesta je navržená s protierozní funkcí, proti svahu bude opatřena záchytným příkopem PEO6, který zachytí povrchový odtok, příkop je bezodtokový.</w:t>
      </w:r>
      <w:r w:rsidR="00524D03" w:rsidRPr="008C38D2">
        <w:rPr>
          <w:rFonts w:cs="Arial"/>
          <w:szCs w:val="22"/>
        </w:rPr>
        <w:t xml:space="preserve"> Podél cesty je liniová zeleň – IP9. </w:t>
      </w:r>
      <w:r w:rsidR="008C38D2">
        <w:rPr>
          <w:rFonts w:cs="Arial"/>
          <w:szCs w:val="22"/>
        </w:rPr>
        <w:t>P</w:t>
      </w:r>
      <w:r w:rsidR="00524D03" w:rsidRPr="008C38D2">
        <w:rPr>
          <w:rFonts w:cs="Arial"/>
          <w:szCs w:val="22"/>
        </w:rPr>
        <w:t>ovrch travnatý, kategorie polní cesty – doplňková 3,0.</w:t>
      </w:r>
    </w:p>
    <w:p w14:paraId="3095FB00" w14:textId="1233FCD7" w:rsidR="008C38D2" w:rsidRPr="008C38D2" w:rsidRDefault="008C38D2" w:rsidP="003E4EA2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spacing w:before="0" w:after="0"/>
        <w:rPr>
          <w:rFonts w:cs="Arial"/>
          <w:szCs w:val="22"/>
        </w:rPr>
      </w:pPr>
      <w:r w:rsidRPr="00236023">
        <w:rPr>
          <w:rFonts w:cs="Arial"/>
          <w:b/>
          <w:bCs/>
          <w:i/>
          <w:iCs/>
          <w:szCs w:val="22"/>
        </w:rPr>
        <w:t xml:space="preserve">Rekonstrukce </w:t>
      </w:r>
      <w:r w:rsidRPr="00673EFE">
        <w:rPr>
          <w:rFonts w:cs="Arial"/>
          <w:b/>
          <w:bCs/>
          <w:i/>
          <w:iCs/>
          <w:szCs w:val="22"/>
        </w:rPr>
        <w:t>HC16a včetně IP5</w:t>
      </w:r>
      <w:r w:rsidR="00673EFE" w:rsidRPr="00673EFE">
        <w:rPr>
          <w:rFonts w:cs="Arial"/>
          <w:b/>
          <w:bCs/>
          <w:i/>
          <w:iCs/>
          <w:szCs w:val="22"/>
        </w:rPr>
        <w:t xml:space="preserve"> v k.ú. Veliny</w:t>
      </w:r>
      <w:r w:rsidRPr="008C38D2">
        <w:rPr>
          <w:rFonts w:cs="Arial"/>
          <w:szCs w:val="22"/>
        </w:rPr>
        <w:t xml:space="preserve"> – rekonstrukce stávající polní cesty v jižní části zájmového územ v délce cca 373 m. Povrch cesty je z asfaltobetonu, kategorie polní cesty – hlavní, 4,5/30.  U cesty je  obnov</w:t>
      </w:r>
      <w:r w:rsidR="00236023">
        <w:rPr>
          <w:rFonts w:cs="Arial"/>
          <w:szCs w:val="22"/>
        </w:rPr>
        <w:t xml:space="preserve">ena </w:t>
      </w:r>
      <w:r w:rsidRPr="008C38D2">
        <w:rPr>
          <w:rFonts w:cs="Arial"/>
          <w:szCs w:val="22"/>
        </w:rPr>
        <w:t xml:space="preserve"> zele</w:t>
      </w:r>
      <w:r w:rsidR="00236023">
        <w:rPr>
          <w:rFonts w:cs="Arial"/>
          <w:szCs w:val="22"/>
        </w:rPr>
        <w:t>ň</w:t>
      </w:r>
      <w:r w:rsidRPr="008C38D2">
        <w:rPr>
          <w:rFonts w:cs="Arial"/>
          <w:szCs w:val="22"/>
        </w:rPr>
        <w:t xml:space="preserve"> IP5 v délce cca 250 m. </w:t>
      </w:r>
    </w:p>
    <w:p w14:paraId="2CE41252" w14:textId="6B8AAA5B" w:rsidR="008C38D2" w:rsidRPr="00441835" w:rsidRDefault="008C38D2" w:rsidP="0027347A">
      <w:pPr>
        <w:pStyle w:val="l-L2"/>
        <w:numPr>
          <w:ilvl w:val="1"/>
          <w:numId w:val="17"/>
        </w:numPr>
        <w:tabs>
          <w:tab w:val="left" w:pos="851"/>
          <w:tab w:val="left" w:pos="2268"/>
        </w:tabs>
      </w:pPr>
      <w:r w:rsidRPr="00236023">
        <w:rPr>
          <w:rStyle w:val="l-L2Char"/>
          <w:b/>
          <w:bCs/>
          <w:i/>
          <w:iCs/>
        </w:rPr>
        <w:t>Rekonstrukce</w:t>
      </w:r>
      <w:r w:rsidRPr="00236023">
        <w:rPr>
          <w:rStyle w:val="l-L2Char"/>
          <w:i/>
          <w:iCs/>
        </w:rPr>
        <w:t xml:space="preserve"> </w:t>
      </w:r>
      <w:r w:rsidRPr="00236023">
        <w:rPr>
          <w:rFonts w:cs="Arial"/>
          <w:b/>
          <w:bCs/>
          <w:i/>
          <w:iCs/>
          <w:szCs w:val="22"/>
        </w:rPr>
        <w:t>VC16b</w:t>
      </w:r>
      <w:r w:rsidR="00673EFE" w:rsidRPr="00236023">
        <w:rPr>
          <w:rFonts w:cs="Arial"/>
          <w:b/>
          <w:bCs/>
          <w:i/>
          <w:iCs/>
          <w:szCs w:val="22"/>
        </w:rPr>
        <w:t xml:space="preserve"> v k.ú. Veliny</w:t>
      </w:r>
      <w:r>
        <w:rPr>
          <w:rFonts w:cs="Arial"/>
          <w:b/>
          <w:bCs/>
          <w:szCs w:val="22"/>
        </w:rPr>
        <w:t xml:space="preserve"> - </w:t>
      </w:r>
      <w:r w:rsidRPr="00AE0EFC">
        <w:rPr>
          <w:rFonts w:cs="Arial"/>
          <w:szCs w:val="22"/>
        </w:rPr>
        <w:t>rekonstrukce stávající štěrkové polní cesty v délce cca 365 m. Cesta vychází z napojení na cestu HC16a</w:t>
      </w:r>
      <w:r>
        <w:rPr>
          <w:rFonts w:cs="Arial"/>
          <w:szCs w:val="22"/>
        </w:rPr>
        <w:t>. P</w:t>
      </w:r>
      <w:r w:rsidRPr="008C38D2">
        <w:rPr>
          <w:rFonts w:cs="Arial"/>
          <w:szCs w:val="22"/>
        </w:rPr>
        <w:t>ovrch je štěrkový, kategorie polní cesty 4,0/20.</w:t>
      </w:r>
    </w:p>
    <w:p w14:paraId="390A6C05" w14:textId="5E5BFB23" w:rsidR="00441835" w:rsidRDefault="00441835" w:rsidP="0027347A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rStyle w:val="l-L2Char"/>
        </w:rPr>
      </w:pPr>
      <w:r w:rsidRPr="00236023">
        <w:rPr>
          <w:rStyle w:val="l-L2Char"/>
          <w:b/>
          <w:bCs/>
          <w:i/>
          <w:iCs/>
        </w:rPr>
        <w:t>Realizace HC18</w:t>
      </w:r>
      <w:r w:rsidR="00673EFE" w:rsidRPr="00236023">
        <w:rPr>
          <w:rStyle w:val="l-L2Char"/>
          <w:b/>
          <w:bCs/>
          <w:i/>
          <w:iCs/>
        </w:rPr>
        <w:t xml:space="preserve"> v k.ú. Veliny</w:t>
      </w:r>
      <w:r>
        <w:rPr>
          <w:rStyle w:val="l-L2Char"/>
          <w:b/>
          <w:bCs/>
        </w:rPr>
        <w:t xml:space="preserve"> – </w:t>
      </w:r>
      <w:r>
        <w:rPr>
          <w:rStyle w:val="l-L2Char"/>
        </w:rPr>
        <w:t>nově realizovaná cesta o délce 95 m zajišťující přístup na bloky orné půdy. Povrch travnatý</w:t>
      </w:r>
      <w:r w:rsidR="009C58BD">
        <w:rPr>
          <w:rStyle w:val="l-L2Char"/>
        </w:rPr>
        <w:t>.</w:t>
      </w:r>
    </w:p>
    <w:p w14:paraId="268F1608" w14:textId="0D220A35" w:rsidR="009C58BD" w:rsidRPr="003E4EA2" w:rsidRDefault="009C58BD" w:rsidP="003E4EA2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rStyle w:val="l-L2Char"/>
        </w:rPr>
      </w:pPr>
      <w:r w:rsidRPr="00236023">
        <w:rPr>
          <w:rStyle w:val="l-L2Char"/>
          <w:b/>
          <w:bCs/>
          <w:i/>
          <w:iCs/>
        </w:rPr>
        <w:lastRenderedPageBreak/>
        <w:t xml:space="preserve">Realizace PEO 3 </w:t>
      </w:r>
      <w:r w:rsidR="00673EFE" w:rsidRPr="00236023">
        <w:rPr>
          <w:rStyle w:val="l-L2Char"/>
          <w:b/>
          <w:bCs/>
          <w:i/>
          <w:iCs/>
        </w:rPr>
        <w:t>v k.ú. Veliny</w:t>
      </w:r>
      <w:r w:rsidR="00673EFE">
        <w:rPr>
          <w:rStyle w:val="l-L2Char"/>
          <w:b/>
          <w:bCs/>
        </w:rPr>
        <w:t xml:space="preserve"> </w:t>
      </w:r>
      <w:r>
        <w:rPr>
          <w:rStyle w:val="l-L2Char"/>
          <w:b/>
          <w:bCs/>
        </w:rPr>
        <w:t>-</w:t>
      </w:r>
      <w:r>
        <w:rPr>
          <w:rStyle w:val="l-L2Char"/>
        </w:rPr>
        <w:t xml:space="preserve"> </w:t>
      </w:r>
      <w:r w:rsidRPr="009C58BD">
        <w:rPr>
          <w:rStyle w:val="l-L2Char"/>
        </w:rPr>
        <w:t>nově navržená protierozní mez s průlehem v jihovýchodní části zájmového území, navazující na navrženou cestu HC18. Vytvořením protierozní meze na svahu dojde ke zkrácení odtokových linií.</w:t>
      </w:r>
    </w:p>
    <w:p w14:paraId="6460A1F7" w14:textId="394B0BB8" w:rsidR="009B22A4" w:rsidRPr="003E4EA2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3E4EA2">
        <w:rPr>
          <w:rStyle w:val="l-L2Char"/>
        </w:rPr>
        <w:tab/>
      </w:r>
      <w:r w:rsidR="009C58BD">
        <w:rPr>
          <w:b/>
          <w:bCs/>
        </w:rPr>
        <w:t xml:space="preserve">Místo realizací: </w:t>
      </w:r>
      <w:r w:rsidR="009C58BD">
        <w:t>k.ú. Veliny, obec Veliny, okres Pardubice, kraj Pardubický</w:t>
      </w:r>
    </w:p>
    <w:p w14:paraId="28F9E596" w14:textId="6AAC059F" w:rsidR="00911160" w:rsidRPr="0027347A" w:rsidRDefault="00911160" w:rsidP="009B22A4">
      <w:pPr>
        <w:pStyle w:val="l-L2"/>
        <w:ind w:left="357"/>
        <w:rPr>
          <w:rStyle w:val="l-L2Char"/>
        </w:rPr>
      </w:pPr>
      <w:r w:rsidRPr="003E4EA2">
        <w:rPr>
          <w:rStyle w:val="l-L2Char"/>
          <w:rFonts w:cs="Arial"/>
          <w:szCs w:val="22"/>
        </w:rPr>
        <w:t>(dále jen „stavba</w:t>
      </w:r>
      <w:r w:rsidRPr="0027347A">
        <w:rPr>
          <w:rStyle w:val="l-L2Char"/>
          <w:rFonts w:cs="Arial"/>
          <w:szCs w:val="22"/>
        </w:rPr>
        <w:t>“).</w:t>
      </w:r>
    </w:p>
    <w:p w14:paraId="7A42F393" w14:textId="77777777" w:rsidR="00397219" w:rsidRPr="0027347A" w:rsidRDefault="00397219" w:rsidP="00987BFF">
      <w:pPr>
        <w:pStyle w:val="l-L2"/>
        <w:rPr>
          <w:rStyle w:val="l-L2Char"/>
        </w:rPr>
      </w:pPr>
    </w:p>
    <w:p w14:paraId="41B2CF88" w14:textId="6A40D70F" w:rsidR="00531C6F" w:rsidRPr="0027347A" w:rsidRDefault="00B83F26" w:rsidP="00987BFF">
      <w:pPr>
        <w:pStyle w:val="l-L1"/>
      </w:pPr>
      <w:r w:rsidRPr="0027347A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27347A">
        <w:t xml:space="preserve">Výkonem dozoru </w:t>
      </w:r>
      <w:r w:rsidR="004E62D6" w:rsidRPr="0027347A">
        <w:t xml:space="preserve">projektanta </w:t>
      </w:r>
      <w:r w:rsidRPr="0027347A">
        <w:t xml:space="preserve">se zabezpečuje dodržování základních parametrů díla v souladu se </w:t>
      </w:r>
      <w:r w:rsidR="00BE6B7F" w:rsidRPr="0027347A">
        <w:t>schválenou dokumentací</w:t>
      </w:r>
      <w:r w:rsidR="00BE6B7F">
        <w:t xml:space="preserve">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</w:t>
      </w:r>
      <w:r w:rsidRPr="00F32916">
        <w:lastRenderedPageBreak/>
        <w:t>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2" w:name="_Hlk16163141"/>
    </w:p>
    <w:p w14:paraId="30F26FC7" w14:textId="77777777" w:rsidR="007F7A37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>dodatečné informace v </w:t>
      </w:r>
      <w:r w:rsidRPr="00FF45B7">
        <w:t xml:space="preserve">rámci </w:t>
      </w:r>
      <w:r w:rsidR="002E2A05" w:rsidRPr="00FF45B7">
        <w:t>z</w:t>
      </w:r>
      <w:r w:rsidRPr="00FF45B7">
        <w:t>adávacího</w:t>
      </w:r>
      <w:r w:rsidR="007F7A37">
        <w:t xml:space="preserve">/výběrového </w:t>
      </w:r>
      <w:r w:rsidR="00FF45B7">
        <w:rPr>
          <w:i/>
          <w:iCs/>
        </w:rPr>
        <w:t xml:space="preserve"> </w:t>
      </w:r>
      <w:r w:rsidRPr="00FF45B7">
        <w:t>řízení</w:t>
      </w:r>
      <w:r w:rsidRPr="00397219">
        <w:t xml:space="preserve"> veřejné zakáz</w:t>
      </w:r>
      <w:r w:rsidR="002E2A05" w:rsidRPr="00397219">
        <w:t>ky</w:t>
      </w:r>
      <w:r w:rsidRPr="00397219">
        <w:t xml:space="preserve"> na realizaci stav</w:t>
      </w:r>
      <w:r w:rsidR="007F7A37">
        <w:t>eb:</w:t>
      </w:r>
    </w:p>
    <w:p w14:paraId="0B5858FB" w14:textId="217831D3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rStyle w:val="l-L2Char"/>
          <w:b/>
          <w:bCs/>
          <w:i/>
          <w:iCs/>
        </w:rPr>
      </w:pPr>
      <w:r w:rsidRPr="00282DD4">
        <w:rPr>
          <w:rStyle w:val="l-L2Char"/>
          <w:b/>
          <w:bCs/>
          <w:i/>
          <w:iCs/>
        </w:rPr>
        <w:t>Rekonstrukce HC4 včetně IP7 a IP8 (1.část)</w:t>
      </w:r>
      <w:r w:rsidR="00FD62FB" w:rsidRPr="00282DD4">
        <w:rPr>
          <w:rStyle w:val="l-L2Char"/>
          <w:b/>
          <w:bCs/>
          <w:i/>
          <w:iCs/>
        </w:rPr>
        <w:t xml:space="preserve"> v k.ú. Veliny</w:t>
      </w:r>
    </w:p>
    <w:p w14:paraId="575A4B6E" w14:textId="53D1AAD1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b/>
          <w:bCs/>
          <w:i/>
          <w:iCs/>
        </w:rPr>
      </w:pPr>
      <w:r w:rsidRPr="00282DD4">
        <w:rPr>
          <w:rStyle w:val="l-L2Char"/>
          <w:b/>
          <w:bCs/>
          <w:i/>
          <w:iCs/>
        </w:rPr>
        <w:t>Rekonstrukce HC4 včetně IP7 a IP8 (2.část</w:t>
      </w:r>
      <w:r w:rsidR="002B4AB3" w:rsidRPr="00282DD4">
        <w:rPr>
          <w:rStyle w:val="l-L2Char"/>
          <w:b/>
          <w:bCs/>
          <w:i/>
          <w:iCs/>
        </w:rPr>
        <w:t>)</w:t>
      </w:r>
      <w:r w:rsidR="00FD62FB" w:rsidRPr="00282DD4">
        <w:rPr>
          <w:rStyle w:val="l-L2Char"/>
          <w:b/>
          <w:bCs/>
          <w:i/>
          <w:iCs/>
        </w:rPr>
        <w:t xml:space="preserve"> v k.ú. Veliny</w:t>
      </w:r>
    </w:p>
    <w:p w14:paraId="3E0CA848" w14:textId="044DC342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rStyle w:val="l-L2Char"/>
          <w:b/>
          <w:bCs/>
          <w:i/>
          <w:iCs/>
        </w:rPr>
      </w:pPr>
      <w:r w:rsidRPr="00282DD4">
        <w:rPr>
          <w:rStyle w:val="l-L2Char"/>
          <w:b/>
          <w:bCs/>
          <w:i/>
          <w:iCs/>
        </w:rPr>
        <w:t xml:space="preserve">Realizace PEO 2 </w:t>
      </w:r>
      <w:r w:rsidR="00FD62FB" w:rsidRPr="00282DD4">
        <w:rPr>
          <w:rStyle w:val="l-L2Char"/>
          <w:b/>
          <w:bCs/>
          <w:i/>
          <w:iCs/>
        </w:rPr>
        <w:t>v k.ú. Veliny</w:t>
      </w:r>
    </w:p>
    <w:p w14:paraId="06A0AC86" w14:textId="43FD7B47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b/>
          <w:bCs/>
          <w:i/>
          <w:iCs/>
        </w:rPr>
      </w:pPr>
      <w:r w:rsidRPr="00282DD4">
        <w:rPr>
          <w:rStyle w:val="l-L2Char"/>
          <w:b/>
          <w:bCs/>
          <w:i/>
          <w:iCs/>
        </w:rPr>
        <w:t>Rekonstrukce VC6a</w:t>
      </w:r>
      <w:r w:rsidR="00FD62FB" w:rsidRPr="00282DD4">
        <w:rPr>
          <w:rStyle w:val="l-L2Char"/>
          <w:b/>
          <w:bCs/>
          <w:i/>
          <w:iCs/>
        </w:rPr>
        <w:t xml:space="preserve"> v k.ú. Veliny</w:t>
      </w:r>
      <w:r w:rsidRPr="00282DD4">
        <w:rPr>
          <w:rStyle w:val="l-L2Char"/>
          <w:b/>
          <w:bCs/>
          <w:i/>
          <w:iCs/>
        </w:rPr>
        <w:t xml:space="preserve"> </w:t>
      </w:r>
    </w:p>
    <w:p w14:paraId="5D074667" w14:textId="49885702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spacing w:before="0" w:after="0"/>
        <w:rPr>
          <w:rFonts w:cs="Arial"/>
          <w:b/>
          <w:bCs/>
          <w:i/>
          <w:iCs/>
          <w:szCs w:val="22"/>
        </w:rPr>
      </w:pPr>
      <w:r w:rsidRPr="00282DD4">
        <w:rPr>
          <w:rFonts w:cs="Arial"/>
          <w:b/>
          <w:bCs/>
          <w:i/>
          <w:iCs/>
          <w:szCs w:val="22"/>
        </w:rPr>
        <w:t>Rekonstrukce DC6b včetně PEO6 a IP9</w:t>
      </w:r>
      <w:r w:rsidR="00FD62FB" w:rsidRPr="00282DD4">
        <w:rPr>
          <w:rFonts w:cs="Arial"/>
          <w:b/>
          <w:bCs/>
          <w:i/>
          <w:iCs/>
          <w:szCs w:val="22"/>
        </w:rPr>
        <w:t xml:space="preserve"> v k.ú. Veliny</w:t>
      </w:r>
      <w:r w:rsidRPr="00282DD4">
        <w:rPr>
          <w:rFonts w:cs="Arial"/>
          <w:b/>
          <w:bCs/>
          <w:i/>
          <w:iCs/>
          <w:szCs w:val="22"/>
        </w:rPr>
        <w:t xml:space="preserve"> </w:t>
      </w:r>
    </w:p>
    <w:p w14:paraId="7B24C052" w14:textId="6AA2589B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spacing w:before="0" w:after="0"/>
        <w:rPr>
          <w:rFonts w:cs="Arial"/>
          <w:b/>
          <w:bCs/>
          <w:i/>
          <w:iCs/>
          <w:szCs w:val="22"/>
        </w:rPr>
      </w:pPr>
      <w:r w:rsidRPr="00282DD4">
        <w:rPr>
          <w:rFonts w:cs="Arial"/>
          <w:b/>
          <w:bCs/>
          <w:i/>
          <w:iCs/>
          <w:szCs w:val="22"/>
        </w:rPr>
        <w:t xml:space="preserve">Rekonstrukce </w:t>
      </w:r>
      <w:r w:rsidRPr="00FD62FB">
        <w:rPr>
          <w:rFonts w:cs="Arial"/>
          <w:b/>
          <w:bCs/>
          <w:i/>
          <w:iCs/>
          <w:szCs w:val="22"/>
        </w:rPr>
        <w:t>HC16a včetně IP5</w:t>
      </w:r>
      <w:r w:rsidRPr="00282DD4">
        <w:rPr>
          <w:rFonts w:cs="Arial"/>
          <w:b/>
          <w:bCs/>
          <w:i/>
          <w:iCs/>
          <w:szCs w:val="22"/>
        </w:rPr>
        <w:t xml:space="preserve"> </w:t>
      </w:r>
      <w:r w:rsidR="00FD62FB" w:rsidRPr="00282DD4">
        <w:rPr>
          <w:rFonts w:cs="Arial"/>
          <w:b/>
          <w:bCs/>
          <w:i/>
          <w:iCs/>
          <w:szCs w:val="22"/>
        </w:rPr>
        <w:t>v k.ú. Veliny</w:t>
      </w:r>
    </w:p>
    <w:p w14:paraId="4BF30100" w14:textId="543A3521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b/>
          <w:bCs/>
          <w:i/>
          <w:iCs/>
        </w:rPr>
      </w:pPr>
      <w:r w:rsidRPr="00282DD4">
        <w:rPr>
          <w:rStyle w:val="l-L2Char"/>
          <w:b/>
          <w:bCs/>
          <w:i/>
          <w:iCs/>
        </w:rPr>
        <w:t xml:space="preserve">Rekonstrukce </w:t>
      </w:r>
      <w:r w:rsidRPr="00282DD4">
        <w:rPr>
          <w:rFonts w:cs="Arial"/>
          <w:b/>
          <w:bCs/>
          <w:i/>
          <w:iCs/>
          <w:szCs w:val="22"/>
        </w:rPr>
        <w:t xml:space="preserve">VC16b </w:t>
      </w:r>
      <w:r w:rsidR="00FD62FB" w:rsidRPr="00282DD4">
        <w:rPr>
          <w:rFonts w:cs="Arial"/>
          <w:b/>
          <w:bCs/>
          <w:i/>
          <w:iCs/>
          <w:szCs w:val="22"/>
        </w:rPr>
        <w:t>v k.ú. Veliny</w:t>
      </w:r>
    </w:p>
    <w:p w14:paraId="447A368A" w14:textId="53752B76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rStyle w:val="l-L2Char"/>
          <w:b/>
          <w:bCs/>
          <w:i/>
          <w:iCs/>
        </w:rPr>
      </w:pPr>
      <w:r w:rsidRPr="00282DD4">
        <w:rPr>
          <w:rStyle w:val="l-L2Char"/>
          <w:b/>
          <w:bCs/>
          <w:i/>
          <w:iCs/>
        </w:rPr>
        <w:t>Realizace HC18</w:t>
      </w:r>
      <w:r w:rsidR="00FD62FB" w:rsidRPr="00282DD4">
        <w:rPr>
          <w:rStyle w:val="l-L2Char"/>
          <w:b/>
          <w:bCs/>
          <w:i/>
          <w:iCs/>
        </w:rPr>
        <w:t xml:space="preserve"> v k.ú. Veliny</w:t>
      </w:r>
      <w:r w:rsidRPr="00282DD4">
        <w:rPr>
          <w:rStyle w:val="l-L2Char"/>
          <w:b/>
          <w:bCs/>
          <w:i/>
          <w:iCs/>
        </w:rPr>
        <w:t xml:space="preserve"> </w:t>
      </w:r>
    </w:p>
    <w:p w14:paraId="5EABCA3A" w14:textId="477804E4" w:rsidR="007F7A37" w:rsidRPr="00282DD4" w:rsidRDefault="007F7A37" w:rsidP="007F7A37">
      <w:pPr>
        <w:pStyle w:val="l-L2"/>
        <w:numPr>
          <w:ilvl w:val="1"/>
          <w:numId w:val="17"/>
        </w:numPr>
        <w:tabs>
          <w:tab w:val="left" w:pos="851"/>
          <w:tab w:val="left" w:pos="2268"/>
        </w:tabs>
        <w:rPr>
          <w:rStyle w:val="l-L2Char"/>
          <w:b/>
          <w:bCs/>
          <w:i/>
          <w:iCs/>
        </w:rPr>
      </w:pPr>
      <w:r w:rsidRPr="00282DD4">
        <w:rPr>
          <w:rStyle w:val="l-L2Char"/>
          <w:b/>
          <w:bCs/>
          <w:i/>
          <w:iCs/>
        </w:rPr>
        <w:t>Realizace PEO 3</w:t>
      </w:r>
      <w:r w:rsidR="00FD62FB" w:rsidRPr="00282DD4">
        <w:rPr>
          <w:rStyle w:val="l-L2Char"/>
          <w:b/>
          <w:bCs/>
          <w:i/>
          <w:iCs/>
        </w:rPr>
        <w:t xml:space="preserve"> v k.ú. Veliny</w:t>
      </w:r>
    </w:p>
    <w:p w14:paraId="5F732522" w14:textId="76D592CD" w:rsidR="009C6A12" w:rsidRPr="009C6A12" w:rsidRDefault="002E2A05" w:rsidP="003E4EA2">
      <w:pPr>
        <w:pStyle w:val="l-L2"/>
        <w:tabs>
          <w:tab w:val="left" w:pos="851"/>
          <w:tab w:val="left" w:pos="2268"/>
        </w:tabs>
        <w:ind w:left="1080"/>
      </w:pPr>
      <w:r w:rsidRPr="00397219">
        <w:t>dle projektové dokumentace</w:t>
      </w:r>
      <w:r w:rsidR="00542A63" w:rsidRPr="00397219">
        <w:t>.</w:t>
      </w:r>
      <w:bookmarkEnd w:id="2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lastRenderedPageBreak/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4E1054">
        <w:rPr>
          <w:rFonts w:cs="Arial"/>
        </w:rPr>
        <w:t>zadávacím</w:t>
      </w:r>
      <w:r w:rsidR="5765A8C5" w:rsidRPr="004E1054">
        <w:rPr>
          <w:rFonts w:cs="Arial"/>
        </w:rPr>
        <w:t>/výběrovém</w:t>
      </w:r>
      <w:r w:rsidR="00653A09" w:rsidRPr="004E1054">
        <w:rPr>
          <w:rFonts w:cs="Arial"/>
        </w:rPr>
        <w:t xml:space="preserve"> řízení</w:t>
      </w:r>
      <w:r w:rsidR="00653A09" w:rsidRPr="5170DEB6">
        <w:rPr>
          <w:rFonts w:cs="Arial"/>
        </w:rPr>
        <w:t xml:space="preserve">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27A04808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4E1054">
        <w:t xml:space="preserve">nejméně </w:t>
      </w:r>
      <w:r w:rsidR="004E1054" w:rsidRPr="004E1054">
        <w:t>900 000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7FFA9D30" w14:textId="1D256D59" w:rsidR="007C5C7F" w:rsidRPr="004158D5" w:rsidRDefault="007C5C7F" w:rsidP="004158D5">
      <w:pPr>
        <w:ind w:left="426"/>
        <w:rPr>
          <w:rFonts w:cs="Arial"/>
          <w:bCs/>
          <w:i/>
          <w:szCs w:val="22"/>
        </w:rPr>
      </w:pPr>
      <w:r w:rsidRPr="004158D5">
        <w:rPr>
          <w:rFonts w:cs="Arial"/>
          <w:bCs/>
          <w:i/>
          <w:szCs w:val="22"/>
          <w:highlight w:val="yellow"/>
        </w:rPr>
        <w:t>Varianta</w:t>
      </w:r>
      <w:r w:rsidR="004158D5" w:rsidRPr="004158D5">
        <w:rPr>
          <w:rFonts w:cs="Arial"/>
          <w:bCs/>
          <w:i/>
          <w:szCs w:val="22"/>
          <w:highlight w:val="yellow"/>
        </w:rPr>
        <w:t> 1(plátce DPH)</w:t>
      </w:r>
    </w:p>
    <w:p w14:paraId="3FF8B533" w14:textId="3FC5483B" w:rsidR="007C5C7F" w:rsidRPr="001B5403" w:rsidRDefault="00254993" w:rsidP="00A30016">
      <w:pPr>
        <w:pStyle w:val="l-L2"/>
        <w:numPr>
          <w:ilvl w:val="0"/>
          <w:numId w:val="6"/>
        </w:numPr>
      </w:pPr>
      <w:r w:rsidRPr="001B5403">
        <w:t>Objednatel se zavazuje zaplatit zhotoviteli za</w:t>
      </w:r>
      <w:r w:rsidR="002F28FF" w:rsidRPr="001B5403">
        <w:t xml:space="preserve"> řádné</w:t>
      </w:r>
      <w:r w:rsidRPr="001B5403">
        <w:t xml:space="preserve"> provedení díla cenu ve </w:t>
      </w:r>
      <w:r w:rsidR="007C5C7F" w:rsidRPr="001B5403">
        <w:t>výši</w:t>
      </w:r>
      <w:r w:rsidR="00924023" w:rsidRPr="001B5403">
        <w:t xml:space="preserve"> </w:t>
      </w:r>
      <w:r w:rsidR="00761ABA" w:rsidRPr="001B5403">
        <w:rPr>
          <w:b/>
          <w:bCs/>
          <w:highlight w:val="yellow"/>
        </w:rPr>
        <w:t>[DOPLNIT]</w:t>
      </w:r>
      <w:r w:rsidR="00924023" w:rsidRPr="001B5403">
        <w:t> </w:t>
      </w:r>
      <w:r w:rsidR="007C5C7F" w:rsidRPr="001B5403">
        <w:t>Kč bez</w:t>
      </w:r>
      <w:r w:rsidR="002973F2" w:rsidRPr="001B5403">
        <w:t> </w:t>
      </w:r>
      <w:r w:rsidR="007C5C7F" w:rsidRPr="001B5403">
        <w:t>DP</w:t>
      </w:r>
      <w:r w:rsidR="00761ABA" w:rsidRPr="001B5403">
        <w:t>H</w:t>
      </w:r>
      <w:r w:rsidR="007C5C7F" w:rsidRPr="001B5403">
        <w:t xml:space="preserve"> (slovy:</w:t>
      </w:r>
      <w:r w:rsidR="008E5BF1" w:rsidRPr="001B5403">
        <w:t xml:space="preserve"> </w:t>
      </w:r>
      <w:r w:rsidR="008E5BF1" w:rsidRPr="001B5403">
        <w:rPr>
          <w:b/>
          <w:bCs/>
          <w:highlight w:val="yellow"/>
        </w:rPr>
        <w:t>[DOPLNIT]</w:t>
      </w:r>
      <w:r w:rsidR="008E5BF1" w:rsidRPr="001B5403">
        <w:t xml:space="preserve"> </w:t>
      </w:r>
      <w:r w:rsidR="005C23CD" w:rsidRPr="001B5403">
        <w:t>korun</w:t>
      </w:r>
      <w:r w:rsidR="00CE7F49" w:rsidRPr="001B5403">
        <w:t xml:space="preserve"> </w:t>
      </w:r>
      <w:r w:rsidR="005C23CD" w:rsidRPr="001B5403">
        <w:t>českých</w:t>
      </w:r>
      <w:r w:rsidR="007C5C7F" w:rsidRPr="001B5403">
        <w:t>).</w:t>
      </w:r>
      <w:r w:rsidR="008E5BF1" w:rsidRPr="001B5403">
        <w:t xml:space="preserve"> </w:t>
      </w:r>
      <w:r w:rsidR="007C5C7F" w:rsidRPr="001B5403">
        <w:t xml:space="preserve">Výše </w:t>
      </w:r>
      <w:r w:rsidRPr="001B5403">
        <w:t>ceny</w:t>
      </w:r>
      <w:r w:rsidR="007C5C7F" w:rsidRPr="001B5403">
        <w:t xml:space="preserve"> byla stanovena dohodou smluvních stran na základě nabídky </w:t>
      </w:r>
      <w:r w:rsidR="002C491C" w:rsidRPr="001B5403">
        <w:t xml:space="preserve">zhotovitele </w:t>
      </w:r>
      <w:r w:rsidR="007C5C7F" w:rsidRPr="001B5403">
        <w:t>ze dne</w:t>
      </w:r>
      <w:r w:rsidR="008E5BF1" w:rsidRPr="001B5403">
        <w:t xml:space="preserve"> </w:t>
      </w:r>
      <w:r w:rsidR="008E5BF1" w:rsidRPr="001B5403">
        <w:rPr>
          <w:b/>
          <w:bCs/>
          <w:highlight w:val="yellow"/>
        </w:rPr>
        <w:t>[DOPLNIT]</w:t>
      </w:r>
      <w:r w:rsidR="00815F47" w:rsidRPr="001B5403">
        <w:t>.</w:t>
      </w:r>
      <w:r w:rsidR="007C5C7F" w:rsidRPr="001B5403">
        <w:t xml:space="preserve"> Tato </w:t>
      </w:r>
      <w:r w:rsidRPr="001B5403">
        <w:t>cena</w:t>
      </w:r>
      <w:r w:rsidR="007C5C7F" w:rsidRPr="001B5403">
        <w:t xml:space="preserve"> je</w:t>
      </w:r>
      <w:r w:rsidR="00A22E65" w:rsidRPr="001B5403">
        <w:t xml:space="preserve"> konečná</w:t>
      </w:r>
      <w:r w:rsidR="007C5C7F" w:rsidRPr="001B5403">
        <w:t xml:space="preserve">. </w:t>
      </w:r>
      <w:r w:rsidR="00063376" w:rsidRPr="001B5403">
        <w:t>V ceně jsou zahrnuty veškeré náklady poskytovatele související s</w:t>
      </w:r>
      <w:r w:rsidR="005F186C" w:rsidRPr="001B5403">
        <w:t> </w:t>
      </w:r>
      <w:r w:rsidR="00063376" w:rsidRPr="001B5403">
        <w:t xml:space="preserve">komplexním </w:t>
      </w:r>
      <w:r w:rsidR="00063376" w:rsidRPr="001B5403">
        <w:lastRenderedPageBreak/>
        <w:t>zajištěním celého předmětu smlouvy</w:t>
      </w:r>
      <w:r w:rsidR="002233D7" w:rsidRPr="001B5403">
        <w:t>.</w:t>
      </w:r>
      <w:r w:rsidR="005F186C" w:rsidRPr="001B5403">
        <w:t xml:space="preserve"> </w:t>
      </w:r>
      <w:r w:rsidR="005C23CD" w:rsidRPr="001B5403">
        <w:t>Zhotovitel je plátcem DPH, která bude účtována podle předpisů platných v době účtování.</w:t>
      </w:r>
      <w:r w:rsidR="005F186C" w:rsidRPr="001B5403">
        <w:t xml:space="preserve"> </w:t>
      </w:r>
      <w:r w:rsidR="007C5C7F" w:rsidRPr="001B5403">
        <w:t xml:space="preserve">Výši celkové ceny </w:t>
      </w:r>
      <w:r w:rsidRPr="001B5403">
        <w:t>díla</w:t>
      </w:r>
      <w:r w:rsidR="007C5C7F" w:rsidRPr="001B5403">
        <w:t xml:space="preserve"> je možné změnit, dojde-li ke změně sazby DPH.</w:t>
      </w:r>
      <w:r w:rsidR="007214D7" w:rsidRPr="001B5403">
        <w:t xml:space="preserve"> Celkovou cenu lze také změnit v souladu se ZZVZ a s ohledem na změnu termínu plnění.</w:t>
      </w:r>
    </w:p>
    <w:p w14:paraId="05633872" w14:textId="77777777" w:rsidR="004E1054" w:rsidRPr="004E1054" w:rsidRDefault="004E1054" w:rsidP="004E1054">
      <w:pPr>
        <w:pStyle w:val="l-L2"/>
        <w:rPr>
          <w:i/>
          <w:iCs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E1054" w:rsidRPr="001068B7" w14:paraId="60825E80" w14:textId="77777777" w:rsidTr="001B5403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26F215" w14:textId="77777777" w:rsidR="004E1054" w:rsidRPr="001068B7" w:rsidRDefault="004E1054" w:rsidP="00253B67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220E43" w14:textId="77777777" w:rsidR="004E1054" w:rsidRPr="001B5403" w:rsidRDefault="004E1054" w:rsidP="00253B67">
            <w:pPr>
              <w:spacing w:before="0" w:after="0"/>
              <w:rPr>
                <w:b/>
                <w:bCs/>
              </w:rPr>
            </w:pPr>
            <w:r w:rsidRPr="001B5403">
              <w:rPr>
                <w:b/>
                <w:bCs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89D2C5" w14:textId="77777777" w:rsidR="004E1054" w:rsidRPr="001B5403" w:rsidRDefault="004E1054" w:rsidP="001B5403">
            <w:pPr>
              <w:spacing w:before="0" w:after="0"/>
              <w:jc w:val="center"/>
              <w:rPr>
                <w:b/>
                <w:bCs/>
              </w:rPr>
            </w:pPr>
            <w:r w:rsidRPr="001B5403">
              <w:rPr>
                <w:b/>
                <w:bCs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5678C69" w14:textId="77777777" w:rsidR="004E1054" w:rsidRPr="001B5403" w:rsidRDefault="004E1054" w:rsidP="00253B67">
            <w:pPr>
              <w:spacing w:before="0" w:after="0"/>
              <w:rPr>
                <w:b/>
                <w:bCs/>
              </w:rPr>
            </w:pPr>
            <w:r w:rsidRPr="001B5403">
              <w:rPr>
                <w:b/>
                <w:bCs/>
              </w:rPr>
              <w:t>Cena vč. DPH (Kč)</w:t>
            </w:r>
          </w:p>
        </w:tc>
      </w:tr>
      <w:tr w:rsidR="00FD62FB" w:rsidRPr="001068B7" w14:paraId="6F4097A0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43D9" w14:textId="0A96A28C" w:rsidR="00FD62FB" w:rsidRPr="00FD62FB" w:rsidRDefault="00FD62FB" w:rsidP="00FD62FB">
            <w:pPr>
              <w:spacing w:before="0" w:after="0"/>
              <w:rPr>
                <w:i/>
                <w:iCs/>
              </w:rPr>
            </w:pPr>
            <w:r w:rsidRPr="00282DD4">
              <w:rPr>
                <w:sz w:val="20"/>
              </w:rPr>
              <w:t>Rekonstrukce HC4 včetně IP7 a IP8 (1.část)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8C29" w14:textId="77777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E0CE" w14:textId="77777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5057F" w14:textId="77777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1068B7" w14:paraId="67992BDA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0042" w14:textId="4FE699A5" w:rsidR="00FD62FB" w:rsidRPr="00FD62FB" w:rsidRDefault="00FD62FB" w:rsidP="00FD62FB">
            <w:pPr>
              <w:spacing w:before="0" w:after="0"/>
            </w:pPr>
            <w:r w:rsidRPr="00282DD4">
              <w:rPr>
                <w:sz w:val="20"/>
              </w:rPr>
              <w:t>Rekonstrukce HC4 včetně IP7 a IP8 (2.část)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9150" w14:textId="000069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596A" w14:textId="2ADAAF49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62FEC" w14:textId="22833EB6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1068B7" w14:paraId="491C29CD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C1B3" w14:textId="5CA11F0A" w:rsidR="00FD62FB" w:rsidRPr="00FD62FB" w:rsidRDefault="00FD62FB" w:rsidP="00FD62FB">
            <w:pPr>
              <w:spacing w:before="0" w:after="0"/>
            </w:pPr>
            <w:r w:rsidRPr="00282DD4">
              <w:rPr>
                <w:sz w:val="20"/>
              </w:rPr>
              <w:t>Realizace PEO 2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AB26" w14:textId="77777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9059" w14:textId="77777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C5B02" w14:textId="77777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1068B7" w14:paraId="2DC78645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7E1E" w14:textId="2C30A324" w:rsidR="00FD62FB" w:rsidRPr="00FD62FB" w:rsidDel="004E1054" w:rsidRDefault="00FD62FB" w:rsidP="00FD62FB">
            <w:pPr>
              <w:spacing w:before="0" w:after="0"/>
            </w:pPr>
            <w:r w:rsidRPr="00282DD4">
              <w:rPr>
                <w:sz w:val="20"/>
              </w:rPr>
              <w:t>Rekonstrukce VC6a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33CB" w14:textId="42F71733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C5FE" w14:textId="44B25331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2738B" w14:textId="014BCBD4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</w:tr>
      <w:tr w:rsidR="00FD62FB" w:rsidRPr="001068B7" w14:paraId="4F154E0F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8DFB" w14:textId="60EF741E" w:rsidR="00FD62FB" w:rsidRPr="00FD62FB" w:rsidDel="004E1054" w:rsidRDefault="00FD62FB" w:rsidP="00FD62FB">
            <w:pPr>
              <w:spacing w:before="0" w:after="0"/>
            </w:pPr>
            <w:r w:rsidRPr="00282DD4">
              <w:rPr>
                <w:sz w:val="20"/>
              </w:rPr>
              <w:t>Rekonstrukce DC6b včetně PEO 6 a IP9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D45D" w14:textId="1C41C823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C921" w14:textId="082E49A8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5CC8F" w14:textId="53D723EF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</w:tr>
      <w:tr w:rsidR="00FD62FB" w:rsidRPr="001068B7" w14:paraId="605D980A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93B2" w14:textId="5D468D25" w:rsidR="00FD62FB" w:rsidRPr="00FD62FB" w:rsidDel="004E1054" w:rsidRDefault="00FD62FB" w:rsidP="00FD62FB">
            <w:pPr>
              <w:spacing w:before="0" w:after="0"/>
            </w:pPr>
            <w:r w:rsidRPr="00282DD4">
              <w:rPr>
                <w:sz w:val="20"/>
              </w:rPr>
              <w:t>Rekonstrukce HC16a včetně IP5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F9B7" w14:textId="0DBFFFC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CA74" w14:textId="447022D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5B069" w14:textId="14B2C0AF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</w:tr>
      <w:tr w:rsidR="00FD62FB" w:rsidRPr="001068B7" w14:paraId="45C4B4AA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C2CE" w14:textId="76A1B402" w:rsidR="00FD62FB" w:rsidRPr="00FD62FB" w:rsidDel="004E1054" w:rsidRDefault="00FD62FB" w:rsidP="00FD62FB">
            <w:pPr>
              <w:spacing w:before="0" w:after="0"/>
            </w:pPr>
            <w:r w:rsidRPr="00282DD4">
              <w:rPr>
                <w:sz w:val="20"/>
              </w:rPr>
              <w:t>Rekonstrukce VC16b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2842" w14:textId="19C42852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5A80" w14:textId="1CF579BC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690FA" w14:textId="2896B1C6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</w:tr>
      <w:tr w:rsidR="00FD62FB" w:rsidRPr="001068B7" w14:paraId="76CE0E65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68A8" w14:textId="34839C53" w:rsidR="00FD62FB" w:rsidRPr="00FD62FB" w:rsidDel="004E1054" w:rsidRDefault="00FD62FB" w:rsidP="00FD62FB">
            <w:pPr>
              <w:spacing w:before="0" w:after="0"/>
            </w:pPr>
            <w:r w:rsidRPr="00282DD4">
              <w:rPr>
                <w:sz w:val="20"/>
              </w:rPr>
              <w:t>Realizace HC18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9CAB" w14:textId="5F3030C2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2955" w14:textId="60CE1023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69139" w14:textId="499C5506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</w:tr>
      <w:tr w:rsidR="00FD62FB" w:rsidRPr="001068B7" w14:paraId="75DA658B" w14:textId="77777777" w:rsidTr="00282DD4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BBA9" w14:textId="3810EFB3" w:rsidR="00FD62FB" w:rsidRPr="00FD62FB" w:rsidDel="004E1054" w:rsidRDefault="00FD62FB" w:rsidP="00FD62FB">
            <w:pPr>
              <w:spacing w:before="0" w:after="0"/>
            </w:pPr>
            <w:r w:rsidRPr="00282DD4">
              <w:rPr>
                <w:sz w:val="20"/>
              </w:rPr>
              <w:t>Realizace PEO 3 v k.ú. Veliny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20F5" w14:textId="56CB7A96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1353" w14:textId="5C4E08D9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319" w14:textId="0D76A83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CC0B17">
              <w:rPr>
                <w:highlight w:val="yellow"/>
              </w:rPr>
              <w:t>[DOPLNIT]</w:t>
            </w:r>
          </w:p>
        </w:tc>
      </w:tr>
      <w:tr w:rsidR="00FD62FB" w:rsidRPr="001068B7" w14:paraId="16A6FFEF" w14:textId="77777777" w:rsidTr="001B5403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87C81A7" w14:textId="77777777" w:rsidR="00FD62FB" w:rsidRPr="001B5403" w:rsidRDefault="00FD62FB" w:rsidP="00FD62FB">
            <w:pPr>
              <w:spacing w:before="0" w:after="0"/>
              <w:rPr>
                <w:b/>
                <w:bCs/>
              </w:rPr>
            </w:pPr>
            <w:r w:rsidRPr="001B5403">
              <w:rPr>
                <w:b/>
                <w:bCs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B86B7E3" w14:textId="77777777" w:rsidR="00FD62FB" w:rsidRPr="001B5403" w:rsidRDefault="00FD62FB" w:rsidP="00FD62FB">
            <w:pPr>
              <w:spacing w:before="0" w:after="0"/>
              <w:jc w:val="right"/>
              <w:rPr>
                <w:b/>
                <w:bCs/>
                <w:highlight w:val="yellow"/>
              </w:rPr>
            </w:pPr>
            <w:r w:rsidRPr="001B5403">
              <w:rPr>
                <w:b/>
                <w:b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A495F99" w14:textId="77777777" w:rsidR="00FD62FB" w:rsidRPr="001B5403" w:rsidRDefault="00FD62FB" w:rsidP="00FD62FB">
            <w:pPr>
              <w:spacing w:before="0" w:after="0"/>
              <w:jc w:val="right"/>
              <w:rPr>
                <w:b/>
                <w:bCs/>
                <w:highlight w:val="yellow"/>
              </w:rPr>
            </w:pPr>
            <w:r w:rsidRPr="001B5403">
              <w:rPr>
                <w:b/>
                <w:b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2BE54C25" w14:textId="77777777" w:rsidR="00FD62FB" w:rsidRPr="001B5403" w:rsidRDefault="00FD62FB" w:rsidP="00FD62FB">
            <w:pPr>
              <w:spacing w:before="0" w:after="0"/>
              <w:jc w:val="right"/>
              <w:rPr>
                <w:b/>
                <w:bCs/>
                <w:highlight w:val="yellow"/>
              </w:rPr>
            </w:pPr>
            <w:r w:rsidRPr="001B5403">
              <w:rPr>
                <w:b/>
                <w:bCs/>
                <w:highlight w:val="yellow"/>
              </w:rPr>
              <w:t>[DOPLNIT]</w:t>
            </w:r>
          </w:p>
        </w:tc>
      </w:tr>
    </w:tbl>
    <w:p w14:paraId="72ADD3B7" w14:textId="77777777" w:rsidR="00205270" w:rsidRPr="003639A5" w:rsidRDefault="00205270" w:rsidP="00205270">
      <w:pPr>
        <w:pStyle w:val="Default"/>
        <w:ind w:left="357"/>
        <w:rPr>
          <w:i/>
          <w:iCs/>
          <w:color w:val="00B0F0"/>
          <w:sz w:val="22"/>
          <w:szCs w:val="22"/>
        </w:rPr>
      </w:pPr>
      <w:r w:rsidRPr="003639A5">
        <w:rPr>
          <w:i/>
          <w:iCs/>
          <w:color w:val="00B0F0"/>
          <w:sz w:val="22"/>
          <w:szCs w:val="22"/>
        </w:rPr>
        <w:t>(Cena bude uváděna na haléře, tj. na 2 desetinná místa)</w:t>
      </w:r>
    </w:p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691C07DF" w14:textId="57F43209" w:rsidR="007C5C7F" w:rsidRPr="001068B7" w:rsidRDefault="007C5C7F" w:rsidP="004158D5">
      <w:pPr>
        <w:ind w:left="426"/>
        <w:rPr>
          <w:rFonts w:cs="Arial"/>
          <w:bCs/>
          <w:i/>
          <w:iCs/>
          <w:szCs w:val="22"/>
          <w:highlight w:val="yellow"/>
        </w:rPr>
      </w:pPr>
      <w:r w:rsidRPr="001068B7">
        <w:rPr>
          <w:rFonts w:cs="Arial"/>
          <w:bCs/>
          <w:i/>
          <w:iCs/>
          <w:szCs w:val="22"/>
          <w:highlight w:val="yellow"/>
        </w:rPr>
        <w:t>Varianta</w:t>
      </w:r>
      <w:r w:rsidR="004158D5" w:rsidRPr="001068B7">
        <w:rPr>
          <w:rFonts w:cs="Arial"/>
          <w:bCs/>
          <w:i/>
          <w:iCs/>
          <w:szCs w:val="22"/>
          <w:highlight w:val="yellow"/>
        </w:rPr>
        <w:t> 2 (neplátce DPH)</w:t>
      </w:r>
    </w:p>
    <w:p w14:paraId="4FE3AEF2" w14:textId="4F2C0829" w:rsidR="005C23CD" w:rsidRPr="001B5403" w:rsidRDefault="00254993" w:rsidP="00A30016">
      <w:pPr>
        <w:pStyle w:val="l-L2"/>
        <w:numPr>
          <w:ilvl w:val="0"/>
          <w:numId w:val="16"/>
        </w:numPr>
      </w:pPr>
      <w:r w:rsidRPr="001B5403">
        <w:t xml:space="preserve">Objednatel se zavazuje zaplatit zhotoviteli za </w:t>
      </w:r>
      <w:r w:rsidR="006C3E38" w:rsidRPr="001B5403">
        <w:t xml:space="preserve">řádné </w:t>
      </w:r>
      <w:r w:rsidRPr="001B5403">
        <w:t>provedení díla cenu ve výš</w:t>
      </w:r>
      <w:r w:rsidR="00CE7F49" w:rsidRPr="001B5403">
        <w:t>i</w:t>
      </w:r>
      <w:r w:rsidR="005C23CD" w:rsidRPr="001B5403">
        <w:t xml:space="preserve"> </w:t>
      </w:r>
      <w:r w:rsidR="00761ABA" w:rsidRPr="001B5403">
        <w:rPr>
          <w:b/>
          <w:bCs/>
          <w:highlight w:val="yellow"/>
        </w:rPr>
        <w:t>[DOPLNIT]</w:t>
      </w:r>
      <w:r w:rsidR="007D18B4" w:rsidRPr="001B5403">
        <w:t> </w:t>
      </w:r>
      <w:r w:rsidRPr="001B5403">
        <w:t xml:space="preserve">Kč </w:t>
      </w:r>
      <w:r w:rsidR="000B3EB9" w:rsidRPr="001B5403">
        <w:t>včetně</w:t>
      </w:r>
      <w:r w:rsidRPr="001B5403">
        <w:t xml:space="preserve"> DPH </w:t>
      </w:r>
      <w:r w:rsidR="007C5C7F" w:rsidRPr="001B5403">
        <w:t>(slovy:</w:t>
      </w:r>
      <w:r w:rsidR="00AF083C" w:rsidRPr="001B5403">
        <w:t xml:space="preserve"> </w:t>
      </w:r>
      <w:r w:rsidR="00AF083C" w:rsidRPr="001B5403">
        <w:rPr>
          <w:b/>
          <w:bCs/>
          <w:highlight w:val="yellow"/>
        </w:rPr>
        <w:t>[DOPLNIT]</w:t>
      </w:r>
      <w:r w:rsidR="007D18B4" w:rsidRPr="001B5403">
        <w:t xml:space="preserve"> </w:t>
      </w:r>
      <w:r w:rsidR="005C23CD" w:rsidRPr="001B5403">
        <w:t>korun českých</w:t>
      </w:r>
      <w:r w:rsidR="007C5C7F" w:rsidRPr="001B5403">
        <w:t xml:space="preserve">). Výše </w:t>
      </w:r>
      <w:r w:rsidRPr="001B5403">
        <w:t xml:space="preserve">ceny díla </w:t>
      </w:r>
      <w:r w:rsidR="007C5C7F" w:rsidRPr="001B5403">
        <w:t xml:space="preserve">byla stanovena dohodou smluvních stran na základě nabídky </w:t>
      </w:r>
      <w:r w:rsidR="002C491C" w:rsidRPr="001B5403">
        <w:t xml:space="preserve">zhotovitele </w:t>
      </w:r>
      <w:r w:rsidR="007C5C7F" w:rsidRPr="001B5403">
        <w:t xml:space="preserve">ze dne </w:t>
      </w:r>
      <w:r w:rsidR="00DF4A58" w:rsidRPr="001B5403">
        <w:rPr>
          <w:b/>
          <w:bCs/>
          <w:highlight w:val="yellow"/>
        </w:rPr>
        <w:t>[DOPLNIT]</w:t>
      </w:r>
      <w:r w:rsidR="00EC535B" w:rsidRPr="001B5403">
        <w:rPr>
          <w:highlight w:val="yellow"/>
        </w:rPr>
        <w:t>.</w:t>
      </w:r>
      <w:r w:rsidR="00EC535B" w:rsidRPr="001B5403">
        <w:t xml:space="preserve"> </w:t>
      </w:r>
      <w:r w:rsidR="007C5C7F" w:rsidRPr="001B5403">
        <w:t xml:space="preserve">Tato </w:t>
      </w:r>
      <w:r w:rsidRPr="001B5403">
        <w:t xml:space="preserve">cena </w:t>
      </w:r>
      <w:r w:rsidR="007C5C7F" w:rsidRPr="001B5403">
        <w:t>je</w:t>
      </w:r>
      <w:r w:rsidR="00A22E65" w:rsidRPr="001B5403">
        <w:t xml:space="preserve"> konečná</w:t>
      </w:r>
      <w:r w:rsidR="007C5C7F" w:rsidRPr="001B5403">
        <w:t xml:space="preserve">. </w:t>
      </w:r>
      <w:r w:rsidR="00063376" w:rsidRPr="001B5403">
        <w:t>V ceně jsou zahrnuty veškeré náklady poskytovatele související s</w:t>
      </w:r>
      <w:r w:rsidR="0096742C" w:rsidRPr="001B5403">
        <w:t> </w:t>
      </w:r>
      <w:r w:rsidR="00063376" w:rsidRPr="001B5403">
        <w:t>komplexním zajištěním celého předmětu smlouvy</w:t>
      </w:r>
      <w:r w:rsidR="0003533D" w:rsidRPr="001B5403">
        <w:t>.</w:t>
      </w:r>
      <w:r w:rsidR="007214D7" w:rsidRPr="001B5403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6"/>
        <w:gridCol w:w="3456"/>
      </w:tblGrid>
      <w:tr w:rsidR="00205270" w:rsidRPr="00D02ED1" w14:paraId="371267D4" w14:textId="77777777" w:rsidTr="00282DD4">
        <w:trPr>
          <w:trHeight w:val="284"/>
        </w:trPr>
        <w:tc>
          <w:tcPr>
            <w:tcW w:w="5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5CB490" w14:textId="77777777" w:rsidR="00205270" w:rsidRPr="00D02ED1" w:rsidRDefault="00205270" w:rsidP="00253B67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87B407" w14:textId="77777777" w:rsidR="00205270" w:rsidRPr="001B5403" w:rsidRDefault="00205270" w:rsidP="001B5403">
            <w:pPr>
              <w:spacing w:before="0" w:after="0"/>
              <w:jc w:val="center"/>
              <w:rPr>
                <w:b/>
                <w:bCs/>
                <w:highlight w:val="yellow"/>
              </w:rPr>
            </w:pPr>
            <w:r w:rsidRPr="001B5403">
              <w:rPr>
                <w:b/>
                <w:bCs/>
              </w:rPr>
              <w:t>Cena bez DPH (Kč)</w:t>
            </w:r>
          </w:p>
        </w:tc>
      </w:tr>
      <w:tr w:rsidR="00FD62FB" w:rsidRPr="00D02ED1" w14:paraId="2A925F34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1072" w14:textId="3029787D" w:rsidR="00FD62FB" w:rsidRPr="001B5403" w:rsidRDefault="00FD62FB" w:rsidP="00FD62FB">
            <w:pPr>
              <w:spacing w:before="0" w:after="0"/>
            </w:pPr>
            <w:r w:rsidRPr="004F2F17">
              <w:rPr>
                <w:sz w:val="20"/>
              </w:rPr>
              <w:t>Rekonstrukce HC4 včetně IP7 a IP8 (1.část)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DCDA" w14:textId="77777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D02ED1" w14:paraId="5BB7C532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1F89" w14:textId="1B2289F1" w:rsidR="00FD62FB" w:rsidRPr="004E1054" w:rsidRDefault="00FD62FB" w:rsidP="00FD62FB">
            <w:pPr>
              <w:spacing w:before="0" w:after="0"/>
            </w:pPr>
            <w:r w:rsidRPr="004F2F17">
              <w:rPr>
                <w:sz w:val="20"/>
              </w:rPr>
              <w:t>Rekonstrukce HC4 včetně IP7 a IP8 (2.část)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8033" w14:textId="3DF37C75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D02ED1" w14:paraId="18D0E885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16B8" w14:textId="1712AEE8" w:rsidR="00FD62FB" w:rsidRPr="001B5403" w:rsidRDefault="00FD62FB" w:rsidP="00FD62FB">
            <w:pPr>
              <w:spacing w:before="0" w:after="0"/>
            </w:pPr>
            <w:r w:rsidRPr="004F2F17">
              <w:rPr>
                <w:sz w:val="20"/>
              </w:rPr>
              <w:t>Realizace PEO 2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7FF6" w14:textId="77777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D02ED1" w14:paraId="36F18E9E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9A6" w14:textId="42CCB147" w:rsidR="00FD62FB" w:rsidRPr="001B5403" w:rsidRDefault="00FD62FB" w:rsidP="00FD62FB">
            <w:pPr>
              <w:spacing w:before="0" w:after="0"/>
              <w:rPr>
                <w:b/>
                <w:bCs/>
              </w:rPr>
            </w:pPr>
            <w:r w:rsidRPr="004F2F17">
              <w:rPr>
                <w:sz w:val="20"/>
              </w:rPr>
              <w:t>Rekonstrukce VC6a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628D" w14:textId="5A721365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D02ED1" w14:paraId="25E6B38D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239B" w14:textId="41B9D712" w:rsidR="00FD62FB" w:rsidRPr="001B5403" w:rsidRDefault="00FD62FB" w:rsidP="00FD62FB">
            <w:pPr>
              <w:spacing w:before="0" w:after="0"/>
              <w:rPr>
                <w:b/>
                <w:bCs/>
              </w:rPr>
            </w:pPr>
            <w:r w:rsidRPr="004F2F17">
              <w:rPr>
                <w:sz w:val="20"/>
              </w:rPr>
              <w:t>Rekonstrukce DC6b včetně PEO 6 a IP9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D3D7" w14:textId="655EE94C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D02ED1" w14:paraId="2A80CEBE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44A8" w14:textId="117CA50F" w:rsidR="00FD62FB" w:rsidRPr="001B5403" w:rsidRDefault="00FD62FB" w:rsidP="00FD62FB">
            <w:pPr>
              <w:spacing w:before="0" w:after="0"/>
              <w:rPr>
                <w:b/>
                <w:bCs/>
              </w:rPr>
            </w:pPr>
            <w:r w:rsidRPr="004F2F17">
              <w:rPr>
                <w:sz w:val="20"/>
              </w:rPr>
              <w:t>Rekonstrukce HC16a včetně IP5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CD61" w14:textId="42B6E92C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D02ED1" w14:paraId="600D63E6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13F6" w14:textId="75D4E9EB" w:rsidR="00FD62FB" w:rsidRPr="001B5403" w:rsidRDefault="00FD62FB" w:rsidP="00FD62FB">
            <w:pPr>
              <w:spacing w:before="0" w:after="0"/>
              <w:rPr>
                <w:b/>
                <w:bCs/>
              </w:rPr>
            </w:pPr>
            <w:r w:rsidRPr="004F2F17">
              <w:rPr>
                <w:sz w:val="20"/>
              </w:rPr>
              <w:t>Rekonstrukce VC16b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7C0A" w14:textId="7E1C1313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D02ED1" w14:paraId="32322499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04E0" w14:textId="041EC26D" w:rsidR="00FD62FB" w:rsidRPr="001B5403" w:rsidRDefault="00FD62FB" w:rsidP="00FD62FB">
            <w:pPr>
              <w:spacing w:before="0" w:after="0"/>
              <w:rPr>
                <w:b/>
                <w:bCs/>
              </w:rPr>
            </w:pPr>
            <w:r w:rsidRPr="004F2F17">
              <w:rPr>
                <w:sz w:val="20"/>
              </w:rPr>
              <w:t>Realizace HC18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073A" w14:textId="6B60B78A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FD62FB" w:rsidRPr="00D02ED1" w14:paraId="620482C8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C40B" w14:textId="2B15925C" w:rsidR="00FD62FB" w:rsidRPr="001B5403" w:rsidRDefault="00FD62FB" w:rsidP="00FD62FB">
            <w:pPr>
              <w:spacing w:before="0" w:after="0"/>
              <w:rPr>
                <w:b/>
                <w:bCs/>
              </w:rPr>
            </w:pPr>
            <w:r w:rsidRPr="004F2F17">
              <w:rPr>
                <w:sz w:val="20"/>
              </w:rPr>
              <w:t>Realizace PEO 3 v k.ú. Veliny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B842" w14:textId="786E0777" w:rsidR="00FD62FB" w:rsidRPr="001B5403" w:rsidRDefault="00FD62FB" w:rsidP="00FD62FB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highlight w:val="yellow"/>
              </w:rPr>
              <w:t>[DOPLNIT]</w:t>
            </w:r>
          </w:p>
        </w:tc>
      </w:tr>
      <w:tr w:rsidR="007212AA" w:rsidRPr="00D02ED1" w14:paraId="4859BD5D" w14:textId="77777777" w:rsidTr="00282DD4">
        <w:trPr>
          <w:trHeight w:val="284"/>
        </w:trPr>
        <w:tc>
          <w:tcPr>
            <w:tcW w:w="5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174FC3A" w14:textId="77777777" w:rsidR="007212AA" w:rsidRPr="001B5403" w:rsidRDefault="007212AA" w:rsidP="007212AA">
            <w:pPr>
              <w:spacing w:before="0" w:after="0"/>
              <w:rPr>
                <w:b/>
                <w:bCs/>
                <w:highlight w:val="yellow"/>
              </w:rPr>
            </w:pPr>
            <w:r w:rsidRPr="001B5403">
              <w:rPr>
                <w:b/>
                <w:bCs/>
              </w:rPr>
              <w:t>Celkem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FFD029B" w14:textId="77777777" w:rsidR="007212AA" w:rsidRPr="001B5403" w:rsidRDefault="007212AA" w:rsidP="007212AA">
            <w:pPr>
              <w:spacing w:before="0" w:after="0"/>
              <w:jc w:val="right"/>
              <w:rPr>
                <w:highlight w:val="yellow"/>
              </w:rPr>
            </w:pPr>
            <w:r w:rsidRPr="001B5403">
              <w:rPr>
                <w:b/>
                <w:bCs/>
                <w:highlight w:val="yellow"/>
              </w:rPr>
              <w:t>[DOPLNIT</w:t>
            </w:r>
            <w:r w:rsidRPr="001B5403">
              <w:rPr>
                <w:highlight w:val="yellow"/>
              </w:rPr>
              <w:t>]</w:t>
            </w:r>
          </w:p>
        </w:tc>
      </w:tr>
    </w:tbl>
    <w:p w14:paraId="393A0AB1" w14:textId="113C5A44" w:rsidR="00205270" w:rsidRPr="001068B7" w:rsidRDefault="00205270" w:rsidP="00755332">
      <w:pPr>
        <w:pStyle w:val="Default"/>
        <w:ind w:left="357"/>
        <w:rPr>
          <w:i/>
          <w:iCs/>
          <w:sz w:val="22"/>
          <w:szCs w:val="22"/>
        </w:rPr>
      </w:pPr>
      <w:bookmarkStart w:id="3" w:name="_Hlk36122845"/>
      <w:bookmarkStart w:id="4" w:name="_Hlk36122353"/>
      <w:r w:rsidRPr="003639A5">
        <w:rPr>
          <w:i/>
          <w:iCs/>
          <w:color w:val="00B0F0"/>
          <w:sz w:val="22"/>
          <w:szCs w:val="22"/>
        </w:rPr>
        <w:t>(Cena bude uváděna na haléře, tj. na 2 desetinná místa</w:t>
      </w:r>
      <w:r w:rsidRPr="009F127A" w:rsidDel="00205270">
        <w:rPr>
          <w:i/>
          <w:iCs/>
          <w:szCs w:val="22"/>
        </w:rPr>
        <w:t xml:space="preserve"> </w:t>
      </w:r>
      <w:bookmarkEnd w:id="3"/>
      <w:bookmarkEnd w:id="4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lastRenderedPageBreak/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51D9FF05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CC0B17">
        <w:t xml:space="preserve">, </w:t>
      </w:r>
      <w:r>
        <w:t>KPÚ pro</w:t>
      </w:r>
      <w:r w:rsidR="00CC0B17">
        <w:t xml:space="preserve"> Pardubický kraj, </w:t>
      </w:r>
      <w:r>
        <w:t>Pobočka</w:t>
      </w:r>
      <w:r w:rsidR="00CC0B17">
        <w:t xml:space="preserve"> Pardubice, Boženy Němcové 231, 530 02 Pardubice.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 xml:space="preserve">. </w:t>
      </w:r>
      <w:r w:rsidRPr="001C168E">
        <w:lastRenderedPageBreak/>
        <w:t>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A838757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1B5403" w:rsidRPr="001B5403">
        <w:rPr>
          <w:b/>
          <w:bCs/>
        </w:rPr>
        <w:t>31.12.2031</w:t>
      </w:r>
      <w:r w:rsidR="001B5403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1B5403" w:rsidRDefault="00E64472" w:rsidP="00A30016">
      <w:pPr>
        <w:pStyle w:val="l-L2"/>
        <w:numPr>
          <w:ilvl w:val="0"/>
          <w:numId w:val="3"/>
        </w:numPr>
      </w:pPr>
      <w:r w:rsidRPr="001B5403">
        <w:t>Smluvní strany jsou si plně vědomy zákonné povinnosti u</w:t>
      </w:r>
      <w:r w:rsidR="003C703B" w:rsidRPr="001B5403">
        <w:t>veřejnit dle zákona č.</w:t>
      </w:r>
      <w:r w:rsidR="00A2459C" w:rsidRPr="001B5403">
        <w:t> </w:t>
      </w:r>
      <w:r w:rsidR="003C703B" w:rsidRPr="001B5403">
        <w:t>340/2015 Sb., o zvláštních podmínkách účinnosti některých smluv, uveřejňování těchto smluv a o registru smluv (zákon o registru smluv)</w:t>
      </w:r>
      <w:r w:rsidRPr="001B5403">
        <w:t xml:space="preserve"> ve znění pozdějších předpisů (dále jen „zákon o registru </w:t>
      </w:r>
      <w:r w:rsidRPr="001B5403">
        <w:lastRenderedPageBreak/>
        <w:t>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BC3C0B" w:rsidRDefault="000571AA" w:rsidP="00A30016">
      <w:pPr>
        <w:pStyle w:val="l-L2"/>
        <w:numPr>
          <w:ilvl w:val="0"/>
          <w:numId w:val="3"/>
        </w:numPr>
      </w:pPr>
      <w:r w:rsidRPr="00BC3C0B">
        <w:t>Zhotovitel dále výslovně prohlašuje a bere na vědomí, že tato smlouva nepředstavuje jeho obchod</w:t>
      </w:r>
      <w:r w:rsidRPr="001B5403">
        <w:t>ní tajemství ani neobsahuje jeho důvěrné informace</w:t>
      </w:r>
      <w:r w:rsidR="001C5582" w:rsidRPr="001B5403">
        <w:t xml:space="preserve"> </w:t>
      </w:r>
      <w:r w:rsidR="001C5582" w:rsidRPr="001B5403">
        <w:rPr>
          <w:i/>
          <w:iCs/>
        </w:rPr>
        <w:t>a souhlasí s tím, aby tato smlouva, včetně veškerých změn a dodatků, byla v plném rozsahu</w:t>
      </w:r>
      <w:r w:rsidRPr="001B5403">
        <w:rPr>
          <w:i/>
          <w:iCs/>
        </w:rPr>
        <w:t xml:space="preserve"> </w:t>
      </w:r>
      <w:r w:rsidR="001C5582" w:rsidRPr="001B5403">
        <w:rPr>
          <w:i/>
          <w:iCs/>
        </w:rPr>
        <w:t>uv</w:t>
      </w:r>
      <w:r w:rsidR="00E7616C" w:rsidRPr="001B5403">
        <w:rPr>
          <w:i/>
          <w:iCs/>
        </w:rPr>
        <w:t xml:space="preserve">eřejněna </w:t>
      </w:r>
      <w:r w:rsidRPr="001B5403">
        <w:rPr>
          <w:i/>
          <w:iCs/>
        </w:rPr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lastRenderedPageBreak/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1B5403" w:rsidRDefault="0076345A" w:rsidP="00A30016">
      <w:pPr>
        <w:pStyle w:val="l-L2"/>
        <w:numPr>
          <w:ilvl w:val="0"/>
          <w:numId w:val="3"/>
        </w:numPr>
      </w:pPr>
      <w:r w:rsidRPr="001B5403">
        <w:t>Smlouva nabývá platnosti dnem podpisu smluvních stran</w:t>
      </w:r>
      <w:r w:rsidR="00035616" w:rsidRPr="001B5403">
        <w:t xml:space="preserve"> </w:t>
      </w:r>
      <w:r w:rsidR="00035616" w:rsidRPr="003E4EA2">
        <w:t>a účinnosti dnem jejího uveřejnění v</w:t>
      </w:r>
      <w:r w:rsidRPr="003E4EA2">
        <w:t xml:space="preserve"> registru smluv dle ust. §</w:t>
      </w:r>
      <w:r w:rsidR="00281042" w:rsidRPr="003E4EA2">
        <w:t> </w:t>
      </w:r>
      <w:r w:rsidRPr="003E4EA2">
        <w:t>6 odst.</w:t>
      </w:r>
      <w:r w:rsidR="00281042" w:rsidRPr="003E4EA2">
        <w:t> </w:t>
      </w:r>
      <w:r w:rsidRPr="003E4EA2">
        <w:t>1 zákona o registru smluv</w:t>
      </w:r>
      <w:r w:rsidRPr="001B5403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30907E99" w14:textId="77777777" w:rsidR="001B5403" w:rsidRPr="003C0D30" w:rsidRDefault="001B5403" w:rsidP="001B5403">
      <w:pPr>
        <w:spacing w:before="0" w:line="240" w:lineRule="auto"/>
        <w:ind w:left="567" w:hanging="709"/>
        <w:contextualSpacing w:val="0"/>
        <w:rPr>
          <w:rFonts w:cs="Arial"/>
          <w:b/>
          <w:szCs w:val="22"/>
        </w:rPr>
      </w:pPr>
      <w:r w:rsidRPr="00014665">
        <w:rPr>
          <w:rFonts w:cs="Arial"/>
          <w:b/>
          <w:szCs w:val="22"/>
        </w:rPr>
        <w:t xml:space="preserve">Česká republika </w:t>
      </w:r>
      <w:r w:rsidRPr="00014665">
        <w:rPr>
          <w:rFonts w:cs="Arial"/>
          <w:b/>
          <w:bCs/>
        </w:rPr>
        <w:t>–</w:t>
      </w:r>
      <w:r w:rsidRPr="00014665">
        <w:rPr>
          <w:rFonts w:cs="Arial"/>
          <w:b/>
          <w:szCs w:val="22"/>
        </w:rPr>
        <w:t xml:space="preserve"> Státní pozemkový úřad </w:t>
      </w:r>
      <w:r w:rsidRPr="00014665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Pr="002B7C7B">
        <w:rPr>
          <w:rFonts w:cs="Arial"/>
          <w:b/>
          <w:szCs w:val="22"/>
          <w:highlight w:val="yellow"/>
        </w:rPr>
        <w:t>[Zhotovitel]</w:t>
      </w:r>
    </w:p>
    <w:p w14:paraId="3B4201C2" w14:textId="387F7A93" w:rsidR="001B5403" w:rsidRDefault="001B5403" w:rsidP="001B5403">
      <w:pPr>
        <w:tabs>
          <w:tab w:val="left" w:pos="567"/>
          <w:tab w:val="left" w:pos="5670"/>
        </w:tabs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Místo: </w:t>
      </w:r>
      <w:r>
        <w:rPr>
          <w:rFonts w:cs="Arial"/>
          <w:szCs w:val="22"/>
        </w:rPr>
        <w:t>Pardubice</w:t>
      </w:r>
      <w:r w:rsidRPr="00014665">
        <w:rPr>
          <w:rFonts w:cs="Arial"/>
          <w:szCs w:val="22"/>
        </w:rPr>
        <w:tab/>
        <w:t xml:space="preserve">Místo: </w:t>
      </w:r>
      <w:r>
        <w:rPr>
          <w:rFonts w:cs="Arial"/>
          <w:szCs w:val="22"/>
        </w:rPr>
        <w:t>………….</w:t>
      </w:r>
    </w:p>
    <w:p w14:paraId="6E4A311C" w14:textId="77777777" w:rsidR="001B5403" w:rsidRPr="00610F2F" w:rsidRDefault="001B5403" w:rsidP="001B5403">
      <w:pPr>
        <w:rPr>
          <w:rFonts w:eastAsia="Calibri" w:cs="Arial"/>
          <w:szCs w:val="22"/>
          <w:lang w:eastAsia="en-US"/>
          <w14:ligatures w14:val="standardContextual"/>
        </w:rPr>
      </w:pPr>
      <w:r w:rsidRPr="00610F2F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Pr="002B7C7B">
        <w:rPr>
          <w:rFonts w:eastAsia="Calibri" w:cs="Arial"/>
          <w:i/>
          <w:iCs/>
          <w:sz w:val="20"/>
          <w:lang w:eastAsia="en-US"/>
          <w14:ligatures w14:val="standardContextual"/>
        </w:rPr>
        <w:t>dle elektronického podpisu</w:t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 w:rsidRPr="00610F2F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>
        <w:rPr>
          <w:rFonts w:eastAsia="Calibri" w:cs="Arial"/>
          <w:i/>
          <w:iCs/>
          <w:sz w:val="20"/>
          <w:lang w:eastAsia="en-US"/>
          <w14:ligatures w14:val="standardContextual"/>
        </w:rPr>
        <w:t>…………….</w:t>
      </w:r>
    </w:p>
    <w:p w14:paraId="2F4B03DF" w14:textId="77777777" w:rsidR="001B5403" w:rsidRPr="00E95120" w:rsidRDefault="001B5403" w:rsidP="001B5403">
      <w:pPr>
        <w:tabs>
          <w:tab w:val="left" w:pos="142"/>
          <w:tab w:val="left" w:pos="4678"/>
        </w:tabs>
        <w:rPr>
          <w:rFonts w:cs="Arial"/>
          <w:i/>
          <w:iCs/>
        </w:rPr>
      </w:pPr>
    </w:p>
    <w:p w14:paraId="0807000F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3AE40084" w14:textId="283BA1D4" w:rsidR="001B5403" w:rsidRPr="003E4EA2" w:rsidRDefault="00654BF5" w:rsidP="001B5403">
      <w:pPr>
        <w:tabs>
          <w:tab w:val="left" w:pos="142"/>
          <w:tab w:val="left" w:pos="4678"/>
        </w:tabs>
        <w:rPr>
          <w:rFonts w:cs="Arial"/>
          <w:i/>
          <w:iCs/>
          <w:sz w:val="18"/>
          <w:szCs w:val="18"/>
        </w:rPr>
      </w:pPr>
      <w:r w:rsidRPr="00654BF5">
        <w:rPr>
          <w:rFonts w:cs="Arial"/>
          <w:szCs w:val="24"/>
        </w:rPr>
        <w:tab/>
      </w:r>
      <w:r w:rsidR="001B5403" w:rsidRPr="003E4EA2">
        <w:rPr>
          <w:rFonts w:cs="Arial"/>
          <w:i/>
          <w:iCs/>
          <w:sz w:val="18"/>
          <w:szCs w:val="18"/>
        </w:rPr>
        <w:t>„elektronicky podepsáno“</w:t>
      </w:r>
      <w:r w:rsidR="001B5403" w:rsidRPr="003E4EA2">
        <w:rPr>
          <w:rFonts w:cs="Arial"/>
          <w:i/>
          <w:iCs/>
          <w:sz w:val="18"/>
          <w:szCs w:val="18"/>
        </w:rPr>
        <w:tab/>
      </w:r>
      <w:r w:rsidR="001B5403" w:rsidRPr="003E4EA2">
        <w:rPr>
          <w:rFonts w:cs="Arial"/>
          <w:i/>
          <w:iCs/>
          <w:sz w:val="18"/>
          <w:szCs w:val="18"/>
        </w:rPr>
        <w:tab/>
      </w:r>
      <w:r w:rsidR="001B5403" w:rsidRPr="003E4EA2">
        <w:rPr>
          <w:rFonts w:cs="Arial"/>
          <w:i/>
          <w:iCs/>
          <w:sz w:val="18"/>
          <w:szCs w:val="18"/>
        </w:rPr>
        <w:tab/>
        <w:t>„elektronicky podepsáno“</w:t>
      </w:r>
    </w:p>
    <w:p w14:paraId="57F4931B" w14:textId="77777777" w:rsidR="001B5403" w:rsidRPr="00085415" w:rsidRDefault="001B5403" w:rsidP="001B5403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5415">
        <w:rPr>
          <w:rFonts w:cs="Arial"/>
        </w:rPr>
        <w:t>...................................................</w:t>
      </w:r>
    </w:p>
    <w:p w14:paraId="5CBC53C4" w14:textId="77777777" w:rsidR="001B5403" w:rsidRPr="00085415" w:rsidRDefault="001B5403" w:rsidP="001B5403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5415">
        <w:rPr>
          <w:rFonts w:cs="Arial"/>
        </w:rPr>
        <w:t>Zhotovitel</w:t>
      </w:r>
    </w:p>
    <w:p w14:paraId="3FE661B1" w14:textId="1C9ECEB8" w:rsidR="001B5403" w:rsidRDefault="001B5403" w:rsidP="001B5403">
      <w:pPr>
        <w:tabs>
          <w:tab w:val="left" w:pos="142"/>
          <w:tab w:val="left" w:pos="4678"/>
        </w:tabs>
        <w:ind w:firstLine="142"/>
        <w:rPr>
          <w:rFonts w:cs="Arial"/>
        </w:rPr>
      </w:pPr>
      <w:r w:rsidRPr="00E95120">
        <w:rPr>
          <w:rFonts w:cs="Arial"/>
        </w:rPr>
        <w:t xml:space="preserve">Ing. </w:t>
      </w:r>
      <w:r>
        <w:rPr>
          <w:rFonts w:cs="Arial"/>
        </w:rPr>
        <w:t>Ondřej Bartoš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</w:t>
      </w:r>
      <w:r w:rsidRPr="00E95120">
        <w:rPr>
          <w:rFonts w:cs="Arial"/>
          <w:b/>
          <w:bCs/>
          <w:highlight w:val="yellow"/>
        </w:rPr>
        <w:t>[DOPLNIT]</w:t>
      </w:r>
    </w:p>
    <w:p w14:paraId="043E94D4" w14:textId="15256FD4" w:rsidR="001B5403" w:rsidRPr="00E95120" w:rsidRDefault="001B5403" w:rsidP="001B5403">
      <w:pPr>
        <w:tabs>
          <w:tab w:val="left" w:pos="142"/>
          <w:tab w:val="left" w:pos="4678"/>
        </w:tabs>
        <w:ind w:firstLine="142"/>
        <w:rPr>
          <w:rFonts w:cs="Arial"/>
        </w:rPr>
      </w:pPr>
      <w:r>
        <w:rPr>
          <w:rFonts w:cs="Arial"/>
        </w:rPr>
        <w:t>vedoucí Pobočky Pardubice</w:t>
      </w:r>
      <w:r w:rsidRPr="00E9512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</w:t>
      </w:r>
    </w:p>
    <w:p w14:paraId="6FE02E1A" w14:textId="77777777" w:rsidR="001B5403" w:rsidRDefault="001B5403" w:rsidP="001B5403">
      <w:pPr>
        <w:pStyle w:val="l-L2"/>
      </w:pPr>
    </w:p>
    <w:p w14:paraId="2C7C3737" w14:textId="57E77C8B" w:rsidR="003B7D9D" w:rsidRDefault="003B7D9D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CE21039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178022A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9E21C92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5D703C0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33E14CFF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2BAA2C14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7450AD85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3341324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288852B0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42782F6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0103455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6222B40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87136B7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7BD4DBC7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C2512AD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24EDF162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27800D5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7E37968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6D2F6197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E5AA59A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b/>
          <w:szCs w:val="24"/>
        </w:rPr>
      </w:pPr>
      <w:r w:rsidRPr="004D5088">
        <w:rPr>
          <w:b/>
          <w:szCs w:val="24"/>
        </w:rPr>
        <w:t>STÁTNÍ   POZEMKOVÝ  ÚŘAD</w:t>
      </w:r>
    </w:p>
    <w:p w14:paraId="568FDEA2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>Sídlo: Husinecká 1024/11a, 130 00 Praha 3 – Žižkov, IČO: 01312774, DIČ: CZ01312774</w:t>
      </w:r>
    </w:p>
    <w:p w14:paraId="685CD6F3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CAF09E9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b/>
          <w:szCs w:val="24"/>
        </w:rPr>
      </w:pPr>
    </w:p>
    <w:p w14:paraId="721BFD1E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b/>
          <w:szCs w:val="24"/>
        </w:rPr>
      </w:pPr>
    </w:p>
    <w:p w14:paraId="36CA610F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b/>
          <w:szCs w:val="24"/>
        </w:rPr>
      </w:pPr>
      <w:r w:rsidRPr="004D5088">
        <w:rPr>
          <w:b/>
          <w:szCs w:val="24"/>
        </w:rPr>
        <w:t>P L N Á   M O C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4D5088" w:rsidRPr="004D5088" w14:paraId="7929796F" w14:textId="77777777" w:rsidTr="004D5088">
        <w:trPr>
          <w:trHeight w:val="247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0CFA4B5A" w14:textId="77777777" w:rsidR="004D5088" w:rsidRPr="004D5088" w:rsidRDefault="004D5088" w:rsidP="004D5088">
            <w:pPr>
              <w:tabs>
                <w:tab w:val="left" w:pos="142"/>
                <w:tab w:val="left" w:pos="4678"/>
              </w:tabs>
              <w:spacing w:line="280" w:lineRule="exact"/>
              <w:jc w:val="both"/>
              <w:rPr>
                <w:szCs w:val="24"/>
              </w:rPr>
            </w:pPr>
          </w:p>
        </w:tc>
      </w:tr>
    </w:tbl>
    <w:p w14:paraId="47248AF0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b/>
          <w:szCs w:val="24"/>
        </w:rPr>
        <w:t>Česká republika - Státní pozemkový úřad, 130 00 Praha 3,</w:t>
      </w:r>
      <w:r w:rsidRPr="004D5088">
        <w:rPr>
          <w:szCs w:val="24"/>
        </w:rPr>
        <w:t xml:space="preserve"> </w:t>
      </w:r>
      <w:r w:rsidRPr="004D5088">
        <w:rPr>
          <w:b/>
          <w:szCs w:val="24"/>
        </w:rPr>
        <w:t xml:space="preserve">Husinecká 1024/11a </w:t>
      </w:r>
    </w:p>
    <w:p w14:paraId="5FF2FD84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>Krajský pozemkový úřad pro Pardubický kraj,  Pobočka Pardubice</w:t>
      </w:r>
    </w:p>
    <w:p w14:paraId="07F4931D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>IČO:  01312774, DIČ: CZ01312774</w:t>
      </w:r>
    </w:p>
    <w:p w14:paraId="4CBC7110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 xml:space="preserve">Adresa:               </w:t>
      </w:r>
      <w:r w:rsidRPr="004D5088">
        <w:rPr>
          <w:b/>
          <w:szCs w:val="24"/>
          <w:lang w:val="en-US"/>
        </w:rPr>
        <w:t>Boženy Němcové 231, 530 02 Pardubice</w:t>
      </w:r>
    </w:p>
    <w:p w14:paraId="744A4F1F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 xml:space="preserve">Zastoupený:        </w:t>
      </w:r>
      <w:r w:rsidRPr="004D5088">
        <w:rPr>
          <w:b/>
          <w:bCs/>
          <w:szCs w:val="24"/>
        </w:rPr>
        <w:t>Ing. Ondřej Bartoš</w:t>
      </w:r>
    </w:p>
    <w:p w14:paraId="61CA5012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ab/>
      </w:r>
      <w:r w:rsidRPr="004D5088">
        <w:rPr>
          <w:szCs w:val="24"/>
        </w:rPr>
        <w:tab/>
      </w:r>
      <w:r w:rsidRPr="004D5088">
        <w:rPr>
          <w:szCs w:val="24"/>
        </w:rPr>
        <w:tab/>
        <w:t xml:space="preserve">   </w:t>
      </w:r>
    </w:p>
    <w:p w14:paraId="296EAD77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b/>
          <w:szCs w:val="24"/>
        </w:rPr>
      </w:pPr>
      <w:r w:rsidRPr="004D5088">
        <w:rPr>
          <w:b/>
          <w:szCs w:val="24"/>
        </w:rPr>
        <w:t>z m o c ň u j e    (pověřuje)</w:t>
      </w:r>
    </w:p>
    <w:p w14:paraId="1601696D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b/>
          <w:szCs w:val="24"/>
        </w:rPr>
      </w:pPr>
    </w:p>
    <w:p w14:paraId="4F36411B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b/>
          <w:szCs w:val="24"/>
        </w:rPr>
      </w:pPr>
    </w:p>
    <w:p w14:paraId="6F6C7FB9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 xml:space="preserve">společnost   :  </w:t>
      </w:r>
      <w:r w:rsidRPr="004D5088">
        <w:rPr>
          <w:b/>
          <w:szCs w:val="24"/>
          <w:lang w:val="en-US"/>
        </w:rPr>
        <w:t xml:space="preserve">[DOPLNIT] </w:t>
      </w:r>
    </w:p>
    <w:p w14:paraId="306CD106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 xml:space="preserve">se sídlem     :  </w:t>
      </w:r>
      <w:r w:rsidRPr="004D5088">
        <w:rPr>
          <w:b/>
          <w:szCs w:val="24"/>
          <w:lang w:val="en-US"/>
        </w:rPr>
        <w:t>[DOPLNIT]</w:t>
      </w:r>
    </w:p>
    <w:p w14:paraId="599B8D8C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 xml:space="preserve">IČO             :  </w:t>
      </w:r>
      <w:r w:rsidRPr="004D5088">
        <w:rPr>
          <w:b/>
          <w:szCs w:val="24"/>
          <w:lang w:val="en-US"/>
        </w:rPr>
        <w:t>[DOPLNIT]</w:t>
      </w:r>
    </w:p>
    <w:p w14:paraId="3F9220CE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 xml:space="preserve">Zastoupená  :  </w:t>
      </w:r>
      <w:r w:rsidRPr="004D5088">
        <w:rPr>
          <w:b/>
          <w:szCs w:val="24"/>
          <w:lang w:val="en-US"/>
        </w:rPr>
        <w:t>[DOPLNIT]</w:t>
      </w:r>
    </w:p>
    <w:p w14:paraId="64015CB8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234EEF8A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 xml:space="preserve">  </w:t>
      </w:r>
    </w:p>
    <w:p w14:paraId="26483BCE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3C2B09EE" w14:textId="143E83B8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i/>
          <w:szCs w:val="24"/>
        </w:rPr>
      </w:pPr>
      <w:r w:rsidRPr="004D5088">
        <w:rPr>
          <w:szCs w:val="24"/>
        </w:rPr>
        <w:t xml:space="preserve">k zastupování ČR - Státního pozemkového úřadu ve věci zajišťování </w:t>
      </w:r>
      <w:r w:rsidRPr="004D5088">
        <w:rPr>
          <w:b/>
          <w:szCs w:val="24"/>
        </w:rPr>
        <w:t>autorského dozoru projektanta</w:t>
      </w:r>
      <w:r w:rsidRPr="004D5088">
        <w:rPr>
          <w:bCs/>
          <w:szCs w:val="24"/>
        </w:rPr>
        <w:t xml:space="preserve"> dle smlouvy o dílo</w:t>
      </w:r>
      <w:r w:rsidRPr="004D5088">
        <w:rPr>
          <w:szCs w:val="24"/>
        </w:rPr>
        <w:t xml:space="preserve"> </w:t>
      </w:r>
      <w:r w:rsidRPr="004D5088">
        <w:rPr>
          <w:b/>
          <w:bCs/>
          <w:szCs w:val="24"/>
        </w:rPr>
        <w:t>č. 10</w:t>
      </w:r>
      <w:r>
        <w:rPr>
          <w:b/>
          <w:bCs/>
          <w:szCs w:val="24"/>
        </w:rPr>
        <w:t>81</w:t>
      </w:r>
      <w:r w:rsidRPr="004D5088">
        <w:rPr>
          <w:b/>
          <w:bCs/>
          <w:szCs w:val="24"/>
        </w:rPr>
        <w:t>-2025-544201</w:t>
      </w:r>
      <w:r w:rsidRPr="004D5088">
        <w:rPr>
          <w:szCs w:val="24"/>
        </w:rPr>
        <w:t xml:space="preserve"> mezi Státním pozemkovým úřadem jako objednatelem a společností </w:t>
      </w:r>
      <w:r w:rsidRPr="004D5088">
        <w:rPr>
          <w:b/>
          <w:szCs w:val="24"/>
          <w:lang w:val="en-US"/>
        </w:rPr>
        <w:t xml:space="preserve">[DOPLNIT] </w:t>
      </w:r>
      <w:r w:rsidRPr="004D5088">
        <w:rPr>
          <w:szCs w:val="24"/>
        </w:rPr>
        <w:t xml:space="preserve"> jako zhotovitelem v rozsahu čl. II a čl. III této smlouvy.</w:t>
      </w:r>
    </w:p>
    <w:p w14:paraId="5A28BCDC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67E2361C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i/>
          <w:szCs w:val="24"/>
        </w:rPr>
      </w:pPr>
      <w:r w:rsidRPr="004D5088">
        <w:rPr>
          <w:szCs w:val="24"/>
        </w:rPr>
        <w:t>V rámci této plné moci je zmocněnec  oprávněn:</w:t>
      </w:r>
    </w:p>
    <w:p w14:paraId="6C42C97A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9385072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 xml:space="preserve">účastnit se předání a převzetí staveniště zhotovitelem stavby </w:t>
      </w:r>
      <w:r w:rsidRPr="004D5088">
        <w:rPr>
          <w:szCs w:val="24"/>
        </w:rPr>
        <w:t>specifikované v čl. II. odst. 2 této smlouvy</w:t>
      </w:r>
      <w:r w:rsidRPr="004D5088">
        <w:rPr>
          <w:bCs/>
          <w:szCs w:val="24"/>
        </w:rPr>
        <w:t>, přičemž kontroluje, zda skutečnosti známé v době předání staveniště odpovídají předpokladům, podle kterých byla vypracována projektová dokumentace,</w:t>
      </w:r>
    </w:p>
    <w:p w14:paraId="6072FA75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35FF3A90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sledovat postup výstavby z technického hlediska a z hlediska časového plánu výstavby</w:t>
      </w:r>
    </w:p>
    <w:p w14:paraId="1B767AE9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 xml:space="preserve">účastnit se bezodkladně na výzvu objednatele či zhotovitele stavby kontrolních dnů, zásadních zkoušek a měření a vydávat stanoviska k jejich výsledkům, </w:t>
      </w:r>
    </w:p>
    <w:p w14:paraId="2B55F2E5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lastRenderedPageBreak/>
        <w:t>podávat nutná vysvětlení k dokumentaci stavby, která je podkladem pro výkon autorského dozoru a spolupracovat při odstraňování důsledků nedostatků, zjištěných v této dokumentaci,</w:t>
      </w:r>
    </w:p>
    <w:p w14:paraId="1B540227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podávat vyjádření k požadavkům na větší množství výrobků a výkonů oproti projektové dokumentaci</w:t>
      </w:r>
    </w:p>
    <w:p w14:paraId="00E3462C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navrhovat změny a odchylky ke zlepšení řešení projektu, vznikající ve fázi realizace projektu,</w:t>
      </w:r>
    </w:p>
    <w:p w14:paraId="2A07BBB6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 xml:space="preserve">posuzovat návrhy na změny stavby, na odchylky od schválené projektové dokumentace, které byly vyvolány vlivem okolností vzniklých v průběhu realizace díla, </w:t>
      </w:r>
    </w:p>
    <w:p w14:paraId="05B8F1AA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231BBCBF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 xml:space="preserve">účastnit se vybraných  kontrolních dnů v minimálním rozsahu stanoveným ve stavebním povolení </w:t>
      </w:r>
    </w:p>
    <w:p w14:paraId="7A24AD22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spolupracovat  s   ostatními  partnery (objednatel,  zhotovitel  stavby,  technický  dozor stavebníka, koordinátor bezpečnosti práce) při operativním řešení problémů vzniklých na stavbě,</w:t>
      </w:r>
    </w:p>
    <w:p w14:paraId="6C12ED51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 xml:space="preserve">sledovat dodržování podmínek pro stavbu tak, jak jsou určeny stavebním povolením  a stanovisky dotčených účastníků výstavby, která jsou ve stavebním povolení stanovena jako závazná, </w:t>
      </w:r>
    </w:p>
    <w:p w14:paraId="2D273DAE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 xml:space="preserve">svá zjištění, požadavky a návrhy zaznamenávat do stavebního deníku, </w:t>
      </w:r>
    </w:p>
    <w:p w14:paraId="5575FC6C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aktivně se zúčastnit přebírání stavby objednatelem od zhotovitele stavby</w:t>
      </w:r>
      <w:r w:rsidRPr="004D5088">
        <w:rPr>
          <w:szCs w:val="24"/>
        </w:rPr>
        <w:t xml:space="preserve"> specifikované v čl. II. odst. 2. této smlouvy</w:t>
      </w:r>
      <w:r w:rsidRPr="004D5088">
        <w:rPr>
          <w:bCs/>
          <w:szCs w:val="24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2A61AEA0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aktivně se účastnit kolaudace a při kontrole odstranění kolaudačních závad,</w:t>
      </w:r>
    </w:p>
    <w:p w14:paraId="0074FF7A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odsouhlasovat dokumentaci skutečného provedení stavby,</w:t>
      </w:r>
    </w:p>
    <w:p w14:paraId="2379AC83" w14:textId="77777777" w:rsidR="004D5088" w:rsidRPr="004D5088" w:rsidRDefault="004D5088" w:rsidP="004D5088">
      <w:pPr>
        <w:numPr>
          <w:ilvl w:val="0"/>
          <w:numId w:val="19"/>
        </w:numPr>
        <w:tabs>
          <w:tab w:val="left" w:pos="142"/>
          <w:tab w:val="left" w:pos="4678"/>
        </w:tabs>
        <w:spacing w:line="280" w:lineRule="exact"/>
        <w:jc w:val="both"/>
        <w:rPr>
          <w:bCs/>
          <w:szCs w:val="24"/>
        </w:rPr>
      </w:pPr>
      <w:r w:rsidRPr="004D5088">
        <w:rPr>
          <w:bCs/>
          <w:szCs w:val="24"/>
        </w:rPr>
        <w:t>po dokončení stavby zhotovitel vyhotoví zprávu o souladu zhotovené stavby s  ověřenou projektovou dokumentací.</w:t>
      </w:r>
    </w:p>
    <w:p w14:paraId="0DDBD21E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518948A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B0746D7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1357A07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3B9722CE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>Tato plná moc je platná ode dne jejího udělení a končí splněním předmětu výše uvedené  smlouvy o dílo; je vyhotovena ve třech stejnopisech, z nichž jeden je založen u zmocnitele.</w:t>
      </w:r>
    </w:p>
    <w:p w14:paraId="301EFE85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30170B4F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 xml:space="preserve">V Pardubicích  dne dle el. podpisu </w:t>
      </w:r>
    </w:p>
    <w:p w14:paraId="7F19AB1D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6C67A70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753DAC0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4D5088">
        <w:rPr>
          <w:szCs w:val="24"/>
        </w:rPr>
        <w:t>…………………………………………………..</w:t>
      </w:r>
    </w:p>
    <w:p w14:paraId="46FBDD34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i/>
          <w:szCs w:val="24"/>
        </w:rPr>
      </w:pPr>
      <w:r w:rsidRPr="004D5088">
        <w:rPr>
          <w:szCs w:val="24"/>
        </w:rPr>
        <w:t xml:space="preserve">                                                Ing. Ondřej Bartoš, vedoucí Pobočky Pardubice</w:t>
      </w:r>
    </w:p>
    <w:p w14:paraId="4761EB7B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293B47D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77FDAFA" w14:textId="77777777" w:rsidR="004D5088" w:rsidRPr="004D5088" w:rsidRDefault="004D5088" w:rsidP="004D5088">
      <w:pPr>
        <w:tabs>
          <w:tab w:val="left" w:pos="142"/>
          <w:tab w:val="left" w:pos="4678"/>
        </w:tabs>
        <w:spacing w:line="280" w:lineRule="exact"/>
        <w:jc w:val="both"/>
        <w:rPr>
          <w:b/>
          <w:szCs w:val="24"/>
        </w:rPr>
      </w:pPr>
      <w:r w:rsidRPr="004D5088">
        <w:rPr>
          <w:bCs/>
          <w:szCs w:val="24"/>
        </w:rPr>
        <w:t>Plnou moc přijímá</w:t>
      </w:r>
      <w:r w:rsidRPr="004D5088">
        <w:rPr>
          <w:b/>
          <w:szCs w:val="24"/>
        </w:rPr>
        <w:t>: …………………………</w:t>
      </w:r>
    </w:p>
    <w:p w14:paraId="6D0A0ECD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68CB2479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7A7F786D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C6AE82E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6B8EED27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27A247D1" w14:textId="77777777" w:rsidR="004D5088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EC519C8" w14:textId="77777777" w:rsidR="004D5088" w:rsidRPr="00A30016" w:rsidRDefault="004D5088" w:rsidP="001B5403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sectPr w:rsidR="004D5088" w:rsidRPr="00A30016" w:rsidSect="0089153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4C2AD5DC" w:rsidR="00B94C77" w:rsidRDefault="00B94C77" w:rsidP="00DB5561">
    <w:pPr>
      <w:jc w:val="right"/>
    </w:pPr>
    <w:r w:rsidRPr="00D53952">
      <w:t>Č.j. objednatele:</w:t>
    </w:r>
    <w:r w:rsidR="00C960D5">
      <w:t xml:space="preserve"> 1081-2025-544201</w:t>
    </w:r>
  </w:p>
  <w:p w14:paraId="365F3CEA" w14:textId="3F306D04" w:rsidR="00FC0936" w:rsidRPr="00D53952" w:rsidRDefault="00C960D5" w:rsidP="00C81463">
    <w:pPr>
      <w:jc w:val="center"/>
    </w:pPr>
    <w:r>
      <w:t xml:space="preserve">                                                                                        </w:t>
    </w:r>
    <w:r w:rsidR="00FC0936">
      <w:t xml:space="preserve">UID: </w:t>
    </w:r>
    <w:r w:rsidR="00FC0936" w:rsidRPr="00FC0936">
      <w:t>spudms00000016007560</w:t>
    </w:r>
  </w:p>
  <w:p w14:paraId="4BE65E1E" w14:textId="320F7345" w:rsidR="00B94C77" w:rsidRDefault="00C960D5" w:rsidP="00C81463">
    <w:pPr>
      <w:jc w:val="center"/>
    </w:pPr>
    <w:r>
      <w:t xml:space="preserve">                                                               </w:t>
    </w:r>
    <w:r w:rsidR="00B94C77" w:rsidRPr="63FBCC68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19688E"/>
    <w:multiLevelType w:val="hybridMultilevel"/>
    <w:tmpl w:val="731206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3A09E1"/>
    <w:multiLevelType w:val="hybridMultilevel"/>
    <w:tmpl w:val="706090AE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6"/>
  </w:num>
  <w:num w:numId="4" w16cid:durableId="123817459">
    <w:abstractNumId w:val="14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7"/>
  </w:num>
  <w:num w:numId="10" w16cid:durableId="901986671">
    <w:abstractNumId w:val="15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770928622">
    <w:abstractNumId w:val="13"/>
  </w:num>
  <w:num w:numId="18" w16cid:durableId="258485987">
    <w:abstractNumId w:val="18"/>
  </w:num>
  <w:num w:numId="19" w16cid:durableId="1035078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2F"/>
    <w:rsid w:val="00060167"/>
    <w:rsid w:val="00061009"/>
    <w:rsid w:val="000618A9"/>
    <w:rsid w:val="00061AA5"/>
    <w:rsid w:val="00063376"/>
    <w:rsid w:val="00067924"/>
    <w:rsid w:val="000722A3"/>
    <w:rsid w:val="0008091E"/>
    <w:rsid w:val="00087745"/>
    <w:rsid w:val="00087A0A"/>
    <w:rsid w:val="00090512"/>
    <w:rsid w:val="00093C5B"/>
    <w:rsid w:val="000A3862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3258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B5403"/>
    <w:rsid w:val="001C0AA4"/>
    <w:rsid w:val="001C168E"/>
    <w:rsid w:val="001C2336"/>
    <w:rsid w:val="001C4314"/>
    <w:rsid w:val="001C5582"/>
    <w:rsid w:val="001D363B"/>
    <w:rsid w:val="001D6745"/>
    <w:rsid w:val="001E4DC2"/>
    <w:rsid w:val="001E5C6A"/>
    <w:rsid w:val="001E6314"/>
    <w:rsid w:val="001F221A"/>
    <w:rsid w:val="001F43CE"/>
    <w:rsid w:val="001F54ED"/>
    <w:rsid w:val="001F6EA0"/>
    <w:rsid w:val="002030E8"/>
    <w:rsid w:val="002045CC"/>
    <w:rsid w:val="00205270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36023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7347A"/>
    <w:rsid w:val="002754B6"/>
    <w:rsid w:val="00281042"/>
    <w:rsid w:val="00282DD4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4AB3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4EA2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1835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B7AA5"/>
    <w:rsid w:val="004C0349"/>
    <w:rsid w:val="004C0885"/>
    <w:rsid w:val="004C38D1"/>
    <w:rsid w:val="004D5088"/>
    <w:rsid w:val="004D6A6C"/>
    <w:rsid w:val="004D73F3"/>
    <w:rsid w:val="004E1054"/>
    <w:rsid w:val="004E2267"/>
    <w:rsid w:val="004E62D6"/>
    <w:rsid w:val="005003F9"/>
    <w:rsid w:val="00505E0D"/>
    <w:rsid w:val="005077E5"/>
    <w:rsid w:val="00510C6C"/>
    <w:rsid w:val="00512091"/>
    <w:rsid w:val="00512127"/>
    <w:rsid w:val="005127B2"/>
    <w:rsid w:val="0051649A"/>
    <w:rsid w:val="00523990"/>
    <w:rsid w:val="00524D03"/>
    <w:rsid w:val="0052573B"/>
    <w:rsid w:val="00530002"/>
    <w:rsid w:val="00531C6F"/>
    <w:rsid w:val="0053577C"/>
    <w:rsid w:val="00541D40"/>
    <w:rsid w:val="00542A63"/>
    <w:rsid w:val="00543AEB"/>
    <w:rsid w:val="005444EE"/>
    <w:rsid w:val="0054478C"/>
    <w:rsid w:val="00554450"/>
    <w:rsid w:val="00557EB4"/>
    <w:rsid w:val="005700BC"/>
    <w:rsid w:val="00571A48"/>
    <w:rsid w:val="00571FFD"/>
    <w:rsid w:val="00572C8B"/>
    <w:rsid w:val="00574F3E"/>
    <w:rsid w:val="00577773"/>
    <w:rsid w:val="00586DD2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36392"/>
    <w:rsid w:val="006464FF"/>
    <w:rsid w:val="00653A09"/>
    <w:rsid w:val="006543D6"/>
    <w:rsid w:val="00654BF5"/>
    <w:rsid w:val="00656BC1"/>
    <w:rsid w:val="006642C9"/>
    <w:rsid w:val="006662DA"/>
    <w:rsid w:val="00673EFE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2AA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1CD0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7F7A37"/>
    <w:rsid w:val="00810A43"/>
    <w:rsid w:val="00814C88"/>
    <w:rsid w:val="00815E94"/>
    <w:rsid w:val="00815F47"/>
    <w:rsid w:val="00816B62"/>
    <w:rsid w:val="008226B6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38D2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A4CB0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58BD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327E"/>
    <w:rsid w:val="009F43E6"/>
    <w:rsid w:val="00A00B86"/>
    <w:rsid w:val="00A022B9"/>
    <w:rsid w:val="00A11C49"/>
    <w:rsid w:val="00A12D5B"/>
    <w:rsid w:val="00A1694B"/>
    <w:rsid w:val="00A22993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04532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1463"/>
    <w:rsid w:val="00C8621E"/>
    <w:rsid w:val="00C93BFE"/>
    <w:rsid w:val="00C95B0E"/>
    <w:rsid w:val="00C960D5"/>
    <w:rsid w:val="00CA4C8F"/>
    <w:rsid w:val="00CA7572"/>
    <w:rsid w:val="00CB3BB5"/>
    <w:rsid w:val="00CB4F7C"/>
    <w:rsid w:val="00CB72CB"/>
    <w:rsid w:val="00CC07D3"/>
    <w:rsid w:val="00CC0B17"/>
    <w:rsid w:val="00CC3E8C"/>
    <w:rsid w:val="00CC45A0"/>
    <w:rsid w:val="00CC7A7E"/>
    <w:rsid w:val="00CD628A"/>
    <w:rsid w:val="00CD7362"/>
    <w:rsid w:val="00CE7F49"/>
    <w:rsid w:val="00CF0417"/>
    <w:rsid w:val="00CF116D"/>
    <w:rsid w:val="00CF205B"/>
    <w:rsid w:val="00CF38A5"/>
    <w:rsid w:val="00CF3DAE"/>
    <w:rsid w:val="00CF4506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0936"/>
    <w:rsid w:val="00FC3888"/>
    <w:rsid w:val="00FC7980"/>
    <w:rsid w:val="00FD23A6"/>
    <w:rsid w:val="00FD4E9D"/>
    <w:rsid w:val="00FD564D"/>
    <w:rsid w:val="00FD62FB"/>
    <w:rsid w:val="00FE31AB"/>
    <w:rsid w:val="00FE6640"/>
    <w:rsid w:val="00FF0932"/>
    <w:rsid w:val="00FF45B7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ga.cepkova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4443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30600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Čepková Olga</cp:lastModifiedBy>
  <cp:revision>30</cp:revision>
  <cp:lastPrinted>2022-06-15T12:51:00Z</cp:lastPrinted>
  <dcterms:created xsi:type="dcterms:W3CDTF">2025-10-03T07:05:00Z</dcterms:created>
  <dcterms:modified xsi:type="dcterms:W3CDTF">2025-11-25T09:45:00Z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