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2F206CE8" w14:textId="77777777" w:rsidR="0060643D" w:rsidRPr="00374E94" w:rsidRDefault="0060643D" w:rsidP="0060643D">
      <w:pPr>
        <w:ind w:right="-1703"/>
        <w:rPr>
          <w:rFonts w:ascii="Arial" w:hAnsi="Arial" w:cs="Arial"/>
          <w:bCs/>
          <w:sz w:val="22"/>
          <w:szCs w:val="22"/>
        </w:rPr>
      </w:pP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49B29D15" w14:textId="77777777" w:rsidR="0060643D" w:rsidRPr="00C045A8" w:rsidRDefault="0060643D" w:rsidP="0060643D">
      <w:pPr>
        <w:ind w:right="-1703"/>
        <w:rPr>
          <w:rFonts w:ascii="Arial" w:hAnsi="Arial" w:cs="Arial"/>
          <w:bCs/>
          <w:sz w:val="22"/>
          <w:szCs w:val="22"/>
        </w:rPr>
      </w:pPr>
    </w:p>
    <w:p w14:paraId="172B9B1F" w14:textId="099C7A99"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C327DE">
        <w:rPr>
          <w:rFonts w:ascii="Arial" w:hAnsi="Arial" w:cs="Arial"/>
          <w:bCs/>
          <w:sz w:val="22"/>
          <w:szCs w:val="22"/>
        </w:rPr>
        <w:t>2</w:t>
      </w:r>
      <w:r w:rsidR="0009658F">
        <w:rPr>
          <w:rFonts w:ascii="Arial" w:hAnsi="Arial" w:cs="Arial"/>
          <w:bCs/>
          <w:sz w:val="22"/>
          <w:szCs w:val="22"/>
        </w:rPr>
        <w:t>4</w:t>
      </w:r>
      <w:r w:rsidR="00C045A8" w:rsidRPr="00C045A8">
        <w:rPr>
          <w:rFonts w:ascii="Arial" w:hAnsi="Arial" w:cs="Arial"/>
          <w:sz w:val="22"/>
          <w:szCs w:val="22"/>
        </w:rPr>
        <w:t>.1</w:t>
      </w:r>
      <w:r w:rsidR="00C327DE">
        <w:rPr>
          <w:rFonts w:ascii="Arial" w:hAnsi="Arial" w:cs="Arial"/>
          <w:sz w:val="22"/>
          <w:szCs w:val="22"/>
        </w:rPr>
        <w:t>1</w:t>
      </w:r>
      <w:r w:rsidR="00C045A8" w:rsidRPr="00C045A8">
        <w:rPr>
          <w:rFonts w:ascii="Arial" w:hAnsi="Arial" w:cs="Arial"/>
          <w:sz w:val="22"/>
          <w:szCs w:val="22"/>
        </w:rPr>
        <w:t>.2025</w:t>
      </w:r>
    </w:p>
    <w:p w14:paraId="2BD91CA8" w14:textId="77777777" w:rsidR="001E3928" w:rsidRPr="00C045A8" w:rsidRDefault="001E3928" w:rsidP="0060643D">
      <w:pPr>
        <w:rPr>
          <w:rFonts w:ascii="Arial" w:hAnsi="Arial" w:cs="Arial"/>
          <w:b/>
          <w:sz w:val="22"/>
          <w:szCs w:val="22"/>
          <w:u w:val="single"/>
        </w:rPr>
      </w:pPr>
    </w:p>
    <w:p w14:paraId="79ED6DBB" w14:textId="3FE29D1B"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80D44">
        <w:rPr>
          <w:rFonts w:ascii="Arial" w:hAnsi="Arial" w:cs="Arial"/>
          <w:b/>
          <w:sz w:val="22"/>
          <w:szCs w:val="22"/>
          <w:u w:val="single"/>
        </w:rPr>
        <w:t> </w:t>
      </w:r>
      <w:r w:rsidRPr="006059BA">
        <w:rPr>
          <w:rFonts w:ascii="Arial" w:hAnsi="Arial" w:cs="Arial"/>
          <w:b/>
          <w:sz w:val="22"/>
          <w:szCs w:val="22"/>
          <w:u w:val="single"/>
        </w:rPr>
        <w:t>názvem</w:t>
      </w:r>
      <w:bookmarkStart w:id="0" w:name="_Hlk205560112"/>
      <w:r w:rsidR="00B80D44">
        <w:rPr>
          <w:rFonts w:ascii="Arial" w:hAnsi="Arial" w:cs="Arial"/>
          <w:b/>
          <w:sz w:val="22"/>
          <w:szCs w:val="22"/>
          <w:u w:val="single"/>
        </w:rPr>
        <w:t>: „</w:t>
      </w:r>
      <w:r w:rsidR="005520AB" w:rsidRPr="005520AB">
        <w:rPr>
          <w:rFonts w:ascii="Arial" w:hAnsi="Arial" w:cs="Arial"/>
          <w:b/>
          <w:sz w:val="22"/>
          <w:szCs w:val="22"/>
          <w:u w:val="single"/>
        </w:rPr>
        <w:t>PAK/3_UO_Damníkov_Dolní Boříkovice,Lanškroun, Rudoltice u Lanškrouna_Výprachtice_pozemky</w:t>
      </w:r>
      <w:r w:rsidR="00B80D44">
        <w:rPr>
          <w:rFonts w:ascii="Arial" w:hAnsi="Arial" w:cs="Arial"/>
          <w:b/>
          <w:sz w:val="22"/>
          <w:szCs w:val="22"/>
          <w:u w:val="single"/>
        </w:rPr>
        <w:t>“</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0E5C7C9" w14:textId="7E9CB784" w:rsidR="000A7C8B" w:rsidRPr="00A00CFE" w:rsidRDefault="00476D2D" w:rsidP="000A7C8B">
      <w:pPr>
        <w:jc w:val="both"/>
        <w:rPr>
          <w:rFonts w:ascii="Arial" w:eastAsia="MS Mincho" w:hAnsi="Arial" w:cs="Arial"/>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045A8" w:rsidRPr="00282060">
        <w:rPr>
          <w:rFonts w:ascii="Arial" w:hAnsi="Arial" w:cs="Arial"/>
          <w:bCs/>
          <w:sz w:val="22"/>
          <w:szCs w:val="22"/>
        </w:rPr>
        <w:t>Pardubický kraj,</w:t>
      </w:r>
    </w:p>
    <w:bookmarkEnd w:id="1"/>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76500432" w:rsidR="00CD5DCC"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pro ocenění převáděných (náhradních) pozemků</w:t>
      </w:r>
      <w:r>
        <w:rPr>
          <w:rFonts w:ascii="Arial" w:eastAsia="MS Mincho" w:hAnsi="Arial" w:cs="Arial"/>
          <w:sz w:val="22"/>
          <w:szCs w:val="22"/>
          <w:lang w:eastAsia="en-US"/>
        </w:rPr>
        <w:t>.</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5BB8B55A"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7777777" w:rsidR="000D0570" w:rsidRPr="00F90F6D" w:rsidRDefault="000D0570" w:rsidP="000D0570">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3CFD5C5E" w14:textId="1E51B5BA" w:rsidR="000D0570" w:rsidRPr="004D7825" w:rsidRDefault="005C0862" w:rsidP="000D0570">
      <w:pPr>
        <w:pStyle w:val="obec1"/>
        <w:widowControl/>
        <w:ind w:right="-568"/>
        <w:rPr>
          <w:rFonts w:ascii="Arial" w:hAnsi="Arial" w:cs="Arial"/>
          <w:sz w:val="18"/>
          <w:szCs w:val="18"/>
        </w:rPr>
      </w:pPr>
      <w:r>
        <w:rPr>
          <w:rFonts w:ascii="Arial" w:hAnsi="Arial" w:cs="Arial"/>
          <w:sz w:val="18"/>
          <w:szCs w:val="18"/>
        </w:rPr>
        <w:t>Damníkov</w:t>
      </w:r>
      <w:r w:rsidR="000D0570" w:rsidRPr="00F90F6D">
        <w:rPr>
          <w:rFonts w:ascii="Arial" w:hAnsi="Arial" w:cs="Arial"/>
          <w:sz w:val="18"/>
          <w:szCs w:val="18"/>
        </w:rPr>
        <w:tab/>
      </w:r>
      <w:r w:rsidR="002C6B74">
        <w:rPr>
          <w:rFonts w:ascii="Arial" w:hAnsi="Arial" w:cs="Arial"/>
          <w:sz w:val="18"/>
          <w:szCs w:val="18"/>
        </w:rPr>
        <w:t>Damníkov</w:t>
      </w:r>
      <w:r w:rsidR="000D0570" w:rsidRPr="004D7825">
        <w:rPr>
          <w:rFonts w:ascii="Arial" w:hAnsi="Arial" w:cs="Arial"/>
          <w:sz w:val="18"/>
          <w:szCs w:val="18"/>
        </w:rPr>
        <w:tab/>
      </w:r>
      <w:r w:rsidR="002C6B74">
        <w:rPr>
          <w:rFonts w:ascii="Arial" w:hAnsi="Arial" w:cs="Arial"/>
          <w:sz w:val="18"/>
          <w:szCs w:val="18"/>
        </w:rPr>
        <w:t>1458/5</w:t>
      </w:r>
      <w:r w:rsidR="000D0570" w:rsidRPr="004D7825">
        <w:rPr>
          <w:rFonts w:ascii="Arial" w:hAnsi="Arial" w:cs="Arial"/>
          <w:sz w:val="18"/>
          <w:szCs w:val="18"/>
        </w:rPr>
        <w:tab/>
      </w:r>
      <w:r w:rsidR="001460B8">
        <w:rPr>
          <w:rFonts w:ascii="Arial" w:hAnsi="Arial" w:cs="Arial"/>
          <w:sz w:val="18"/>
          <w:szCs w:val="18"/>
        </w:rPr>
        <w:t>trvalý travní porost</w:t>
      </w:r>
      <w:r w:rsidR="000D0570" w:rsidRPr="004D7825">
        <w:rPr>
          <w:rFonts w:ascii="Arial" w:hAnsi="Arial" w:cs="Arial"/>
          <w:sz w:val="18"/>
          <w:szCs w:val="18"/>
        </w:rPr>
        <w:tab/>
      </w:r>
      <w:r w:rsidR="002C6B74">
        <w:rPr>
          <w:rFonts w:ascii="Arial" w:hAnsi="Arial" w:cs="Arial"/>
          <w:sz w:val="18"/>
          <w:szCs w:val="18"/>
        </w:rPr>
        <w:t>2476</w:t>
      </w:r>
    </w:p>
    <w:p w14:paraId="33B3D68B" w14:textId="77777777" w:rsidR="00F90F6D" w:rsidRPr="00F90F6D" w:rsidRDefault="00F90F6D" w:rsidP="00F90F6D">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049CE9A0" w14:textId="2A91B71A" w:rsidR="000D0570" w:rsidRPr="004D7825" w:rsidRDefault="005C0862" w:rsidP="00F90F6D">
      <w:pPr>
        <w:pStyle w:val="obec1"/>
        <w:widowControl/>
        <w:ind w:right="-568"/>
        <w:rPr>
          <w:rFonts w:ascii="Arial" w:hAnsi="Arial" w:cs="Arial"/>
          <w:sz w:val="18"/>
          <w:szCs w:val="18"/>
        </w:rPr>
      </w:pPr>
      <w:r>
        <w:rPr>
          <w:rFonts w:ascii="Arial" w:hAnsi="Arial" w:cs="Arial"/>
          <w:sz w:val="18"/>
          <w:szCs w:val="18"/>
        </w:rPr>
        <w:t>Králíky</w:t>
      </w:r>
      <w:r w:rsidR="00F90F6D" w:rsidRPr="00F90F6D">
        <w:rPr>
          <w:rFonts w:ascii="Arial" w:hAnsi="Arial" w:cs="Arial"/>
          <w:sz w:val="18"/>
          <w:szCs w:val="18"/>
        </w:rPr>
        <w:tab/>
      </w:r>
      <w:r>
        <w:rPr>
          <w:rFonts w:ascii="Arial" w:hAnsi="Arial" w:cs="Arial"/>
          <w:sz w:val="18"/>
          <w:szCs w:val="18"/>
        </w:rPr>
        <w:t>Dolní Boříkovice</w:t>
      </w:r>
      <w:r w:rsidR="000D0570" w:rsidRPr="004D7825">
        <w:rPr>
          <w:rFonts w:ascii="Arial" w:hAnsi="Arial" w:cs="Arial"/>
          <w:sz w:val="18"/>
          <w:szCs w:val="18"/>
        </w:rPr>
        <w:tab/>
      </w:r>
      <w:r w:rsidR="002C6B74">
        <w:rPr>
          <w:rFonts w:ascii="Arial" w:hAnsi="Arial" w:cs="Arial"/>
          <w:sz w:val="18"/>
          <w:szCs w:val="18"/>
        </w:rPr>
        <w:t>3030/4</w:t>
      </w:r>
      <w:r w:rsidR="000D0570" w:rsidRPr="004D7825">
        <w:rPr>
          <w:rFonts w:ascii="Arial" w:hAnsi="Arial" w:cs="Arial"/>
          <w:sz w:val="18"/>
          <w:szCs w:val="18"/>
        </w:rPr>
        <w:tab/>
      </w:r>
      <w:r w:rsidR="001460B8">
        <w:rPr>
          <w:rFonts w:ascii="Arial" w:hAnsi="Arial" w:cs="Arial"/>
          <w:sz w:val="18"/>
          <w:szCs w:val="18"/>
        </w:rPr>
        <w:t>trvalý travní porost</w:t>
      </w:r>
      <w:r w:rsidR="000D0570" w:rsidRPr="004D7825">
        <w:rPr>
          <w:rFonts w:ascii="Arial" w:hAnsi="Arial" w:cs="Arial"/>
          <w:sz w:val="18"/>
          <w:szCs w:val="18"/>
        </w:rPr>
        <w:tab/>
      </w:r>
      <w:r w:rsidR="001460B8">
        <w:rPr>
          <w:rFonts w:ascii="Arial" w:hAnsi="Arial" w:cs="Arial"/>
          <w:sz w:val="18"/>
          <w:szCs w:val="18"/>
        </w:rPr>
        <w:t>1960</w:t>
      </w:r>
    </w:p>
    <w:p w14:paraId="5F499E36" w14:textId="77777777" w:rsidR="00F90F6D" w:rsidRPr="00F90F6D" w:rsidRDefault="00F90F6D" w:rsidP="00F90F6D">
      <w:pPr>
        <w:pStyle w:val="obec1"/>
        <w:widowControl/>
        <w:ind w:right="-568"/>
        <w:rPr>
          <w:rFonts w:ascii="Arial" w:hAnsi="Arial" w:cs="Arial"/>
          <w:sz w:val="18"/>
          <w:szCs w:val="18"/>
        </w:rPr>
      </w:pPr>
      <w:r w:rsidRPr="00F90F6D">
        <w:rPr>
          <w:rFonts w:ascii="Arial" w:hAnsi="Arial" w:cs="Arial"/>
          <w:sz w:val="18"/>
          <w:szCs w:val="18"/>
        </w:rPr>
        <w:t>Katastr nemovitostí - pozemkové</w:t>
      </w:r>
    </w:p>
    <w:p w14:paraId="541F30AE" w14:textId="072DB789" w:rsidR="000D0570" w:rsidRPr="004D7825" w:rsidRDefault="005C0862" w:rsidP="00F90F6D">
      <w:pPr>
        <w:pStyle w:val="obec1"/>
        <w:widowControl/>
        <w:ind w:right="-568"/>
        <w:rPr>
          <w:rFonts w:ascii="Arial" w:hAnsi="Arial" w:cs="Arial"/>
          <w:sz w:val="18"/>
          <w:szCs w:val="18"/>
        </w:rPr>
      </w:pPr>
      <w:r>
        <w:rPr>
          <w:rFonts w:ascii="Arial" w:hAnsi="Arial" w:cs="Arial"/>
          <w:sz w:val="18"/>
          <w:szCs w:val="18"/>
        </w:rPr>
        <w:t>Lanškroun</w:t>
      </w:r>
      <w:r w:rsidR="007D449C">
        <w:rPr>
          <w:rFonts w:ascii="Arial" w:hAnsi="Arial" w:cs="Arial"/>
          <w:sz w:val="18"/>
          <w:szCs w:val="18"/>
        </w:rPr>
        <w:t xml:space="preserve">                              </w:t>
      </w:r>
      <w:r>
        <w:rPr>
          <w:rFonts w:ascii="Arial" w:hAnsi="Arial" w:cs="Arial"/>
          <w:sz w:val="18"/>
          <w:szCs w:val="18"/>
        </w:rPr>
        <w:t>Lanškroun</w:t>
      </w:r>
      <w:r w:rsidR="00F90F6D" w:rsidRPr="00F90F6D">
        <w:rPr>
          <w:rFonts w:ascii="Arial" w:hAnsi="Arial" w:cs="Arial"/>
          <w:sz w:val="18"/>
          <w:szCs w:val="18"/>
        </w:rPr>
        <w:tab/>
      </w:r>
      <w:r w:rsidR="002C6B74">
        <w:rPr>
          <w:rFonts w:ascii="Arial" w:hAnsi="Arial" w:cs="Arial"/>
          <w:sz w:val="18"/>
          <w:szCs w:val="18"/>
        </w:rPr>
        <w:t>8171</w:t>
      </w:r>
      <w:r w:rsidR="000D0570" w:rsidRPr="004D7825">
        <w:rPr>
          <w:rFonts w:ascii="Arial" w:hAnsi="Arial" w:cs="Arial"/>
          <w:sz w:val="18"/>
          <w:szCs w:val="18"/>
        </w:rPr>
        <w:tab/>
      </w:r>
      <w:r w:rsidR="001460B8">
        <w:rPr>
          <w:rFonts w:ascii="Arial" w:hAnsi="Arial" w:cs="Arial"/>
          <w:sz w:val="18"/>
          <w:szCs w:val="18"/>
        </w:rPr>
        <w:t>trvalý travní porost                       2380</w:t>
      </w:r>
      <w:r w:rsidR="00CD5DCC">
        <w:rPr>
          <w:rFonts w:ascii="Arial" w:hAnsi="Arial" w:cs="Arial"/>
          <w:sz w:val="18"/>
          <w:szCs w:val="18"/>
        </w:rPr>
        <w:t xml:space="preserve">                                  </w:t>
      </w:r>
      <w:r w:rsidR="00E90216">
        <w:rPr>
          <w:rFonts w:ascii="Arial" w:hAnsi="Arial" w:cs="Arial"/>
          <w:sz w:val="18"/>
          <w:szCs w:val="18"/>
        </w:rPr>
        <w:t xml:space="preserve"> </w:t>
      </w:r>
    </w:p>
    <w:p w14:paraId="4B9B6EE2" w14:textId="77777777" w:rsidR="000D0570" w:rsidRPr="004D7825" w:rsidRDefault="000D0570" w:rsidP="000D0570">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4F9AE9E" w14:textId="5EC98166" w:rsidR="000D0570" w:rsidRPr="004D7825" w:rsidRDefault="005C0862" w:rsidP="000D0570">
      <w:pPr>
        <w:pStyle w:val="obec1"/>
        <w:widowControl/>
        <w:ind w:right="-568"/>
        <w:rPr>
          <w:rFonts w:ascii="Arial" w:hAnsi="Arial" w:cs="Arial"/>
          <w:sz w:val="18"/>
          <w:szCs w:val="18"/>
        </w:rPr>
      </w:pPr>
      <w:r>
        <w:rPr>
          <w:rFonts w:ascii="Arial" w:hAnsi="Arial" w:cs="Arial"/>
          <w:sz w:val="18"/>
          <w:szCs w:val="18"/>
        </w:rPr>
        <w:t>Rudoltice</w:t>
      </w:r>
      <w:r w:rsidR="00F90F6D" w:rsidRPr="00F90F6D">
        <w:rPr>
          <w:rFonts w:ascii="Arial" w:hAnsi="Arial" w:cs="Arial"/>
          <w:sz w:val="18"/>
          <w:szCs w:val="18"/>
        </w:rPr>
        <w:tab/>
      </w:r>
      <w:r>
        <w:rPr>
          <w:rFonts w:ascii="Arial" w:hAnsi="Arial" w:cs="Arial"/>
          <w:sz w:val="18"/>
          <w:szCs w:val="18"/>
        </w:rPr>
        <w:t>Rudoltice u Lanškrouna</w:t>
      </w:r>
      <w:r w:rsidR="00F90F6D" w:rsidRPr="004D7825">
        <w:rPr>
          <w:rFonts w:ascii="Arial" w:hAnsi="Arial" w:cs="Arial"/>
          <w:sz w:val="18"/>
          <w:szCs w:val="18"/>
        </w:rPr>
        <w:tab/>
      </w:r>
      <w:r w:rsidR="002C6B74">
        <w:rPr>
          <w:rFonts w:ascii="Arial" w:hAnsi="Arial" w:cs="Arial"/>
          <w:sz w:val="18"/>
          <w:szCs w:val="18"/>
        </w:rPr>
        <w:t>888/1</w:t>
      </w:r>
      <w:r w:rsidR="000D0570" w:rsidRPr="004D7825">
        <w:rPr>
          <w:rFonts w:ascii="Arial" w:hAnsi="Arial" w:cs="Arial"/>
          <w:sz w:val="18"/>
          <w:szCs w:val="18"/>
        </w:rPr>
        <w:tab/>
      </w:r>
      <w:r w:rsidR="001460B8">
        <w:rPr>
          <w:rFonts w:ascii="Arial" w:hAnsi="Arial" w:cs="Arial"/>
          <w:sz w:val="18"/>
          <w:szCs w:val="18"/>
        </w:rPr>
        <w:t>trvalý travní porost</w:t>
      </w:r>
      <w:r w:rsidR="000D0570" w:rsidRPr="004D7825">
        <w:rPr>
          <w:rFonts w:ascii="Arial" w:hAnsi="Arial" w:cs="Arial"/>
          <w:sz w:val="18"/>
          <w:szCs w:val="18"/>
        </w:rPr>
        <w:tab/>
      </w:r>
      <w:r w:rsidR="001460B8">
        <w:rPr>
          <w:rFonts w:ascii="Arial" w:hAnsi="Arial" w:cs="Arial"/>
          <w:sz w:val="18"/>
          <w:szCs w:val="18"/>
        </w:rPr>
        <w:t>5370</w:t>
      </w:r>
    </w:p>
    <w:p w14:paraId="19ACA710" w14:textId="5ABD982A" w:rsidR="000D0570" w:rsidRDefault="000D0570" w:rsidP="000D0570">
      <w:pPr>
        <w:pStyle w:val="obec1"/>
        <w:widowControl/>
        <w:ind w:right="-568"/>
        <w:rPr>
          <w:rFonts w:ascii="Arial" w:hAnsi="Arial" w:cs="Arial"/>
          <w:sz w:val="18"/>
          <w:szCs w:val="18"/>
        </w:rPr>
      </w:pPr>
      <w:r w:rsidRPr="004D7825">
        <w:rPr>
          <w:rFonts w:ascii="Arial" w:hAnsi="Arial" w:cs="Arial"/>
          <w:sz w:val="18"/>
          <w:szCs w:val="18"/>
        </w:rPr>
        <w:t xml:space="preserve">Katastr nemovitostí </w:t>
      </w:r>
      <w:r w:rsidR="001460B8">
        <w:rPr>
          <w:rFonts w:ascii="Arial" w:hAnsi="Arial" w:cs="Arial"/>
          <w:sz w:val="18"/>
          <w:szCs w:val="18"/>
        </w:rPr>
        <w:t>-</w:t>
      </w:r>
      <w:r w:rsidRPr="004D7825">
        <w:rPr>
          <w:rFonts w:ascii="Arial" w:hAnsi="Arial" w:cs="Arial"/>
          <w:sz w:val="18"/>
          <w:szCs w:val="18"/>
        </w:rPr>
        <w:t xml:space="preserve"> pozemkové</w:t>
      </w:r>
    </w:p>
    <w:p w14:paraId="418B6F38" w14:textId="24CAE358" w:rsidR="005C0862" w:rsidRPr="004D7825" w:rsidRDefault="005C0862" w:rsidP="005C0862">
      <w:pPr>
        <w:pStyle w:val="obec1"/>
        <w:widowControl/>
        <w:ind w:right="-568"/>
        <w:rPr>
          <w:rFonts w:ascii="Arial" w:hAnsi="Arial" w:cs="Arial"/>
          <w:sz w:val="18"/>
          <w:szCs w:val="18"/>
        </w:rPr>
      </w:pPr>
      <w:r>
        <w:rPr>
          <w:rFonts w:ascii="Arial" w:hAnsi="Arial" w:cs="Arial"/>
          <w:sz w:val="18"/>
          <w:szCs w:val="18"/>
        </w:rPr>
        <w:t>Výprachtice</w:t>
      </w:r>
      <w:r w:rsidRPr="00F90F6D">
        <w:rPr>
          <w:rFonts w:ascii="Arial" w:hAnsi="Arial" w:cs="Arial"/>
          <w:sz w:val="18"/>
          <w:szCs w:val="18"/>
        </w:rPr>
        <w:tab/>
      </w:r>
      <w:r>
        <w:rPr>
          <w:rFonts w:ascii="Arial" w:hAnsi="Arial" w:cs="Arial"/>
          <w:sz w:val="18"/>
          <w:szCs w:val="18"/>
        </w:rPr>
        <w:t>Výprachtice</w:t>
      </w:r>
      <w:r w:rsidRPr="004D7825">
        <w:rPr>
          <w:rFonts w:ascii="Arial" w:hAnsi="Arial" w:cs="Arial"/>
          <w:sz w:val="18"/>
          <w:szCs w:val="18"/>
        </w:rPr>
        <w:tab/>
      </w:r>
      <w:r w:rsidR="002C6B74">
        <w:rPr>
          <w:rFonts w:ascii="Arial" w:hAnsi="Arial" w:cs="Arial"/>
          <w:sz w:val="18"/>
          <w:szCs w:val="18"/>
        </w:rPr>
        <w:t>790/4</w:t>
      </w:r>
      <w:r w:rsidRPr="004D7825">
        <w:rPr>
          <w:rFonts w:ascii="Arial" w:hAnsi="Arial" w:cs="Arial"/>
          <w:sz w:val="18"/>
          <w:szCs w:val="18"/>
        </w:rPr>
        <w:tab/>
      </w:r>
      <w:r>
        <w:rPr>
          <w:rFonts w:ascii="Arial" w:hAnsi="Arial" w:cs="Arial"/>
          <w:sz w:val="18"/>
          <w:szCs w:val="18"/>
        </w:rPr>
        <w:t>orná půda</w:t>
      </w:r>
      <w:r w:rsidRPr="004D7825">
        <w:rPr>
          <w:rFonts w:ascii="Arial" w:hAnsi="Arial" w:cs="Arial"/>
          <w:sz w:val="18"/>
          <w:szCs w:val="18"/>
        </w:rPr>
        <w:tab/>
      </w:r>
      <w:r w:rsidR="001460B8">
        <w:rPr>
          <w:rFonts w:ascii="Arial" w:hAnsi="Arial" w:cs="Arial"/>
          <w:sz w:val="18"/>
          <w:szCs w:val="18"/>
        </w:rPr>
        <w:t>18834</w:t>
      </w:r>
    </w:p>
    <w:p w14:paraId="45496D81" w14:textId="77777777" w:rsidR="005C0862" w:rsidRPr="004D7825" w:rsidRDefault="005C0862" w:rsidP="000D0570">
      <w:pPr>
        <w:pStyle w:val="obec1"/>
        <w:widowControl/>
        <w:ind w:right="-568"/>
        <w:rPr>
          <w:rFonts w:ascii="Arial" w:hAnsi="Arial" w:cs="Arial"/>
          <w:sz w:val="18"/>
          <w:szCs w:val="18"/>
        </w:rPr>
      </w:pPr>
    </w:p>
    <w:p w14:paraId="7FF6E609" w14:textId="77777777"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75E936DA" w14:textId="77777777" w:rsidR="005F24E6" w:rsidRDefault="005F24E6" w:rsidP="00A01BFA">
      <w:pPr>
        <w:keepNext/>
        <w:tabs>
          <w:tab w:val="num" w:pos="1474"/>
        </w:tabs>
        <w:spacing w:before="240" w:after="120"/>
        <w:jc w:val="both"/>
        <w:rPr>
          <w:rFonts w:ascii="Arial" w:hAnsi="Arial" w:cs="Arial"/>
          <w:sz w:val="22"/>
          <w:szCs w:val="22"/>
        </w:rPr>
      </w:pPr>
    </w:p>
    <w:p w14:paraId="4DCC5744" w14:textId="77777777" w:rsidR="005F24E6" w:rsidRDefault="005F24E6" w:rsidP="00A01BFA">
      <w:pPr>
        <w:keepNext/>
        <w:tabs>
          <w:tab w:val="num" w:pos="1474"/>
        </w:tabs>
        <w:spacing w:before="240" w:after="120"/>
        <w:jc w:val="both"/>
        <w:rPr>
          <w:rFonts w:ascii="Arial" w:hAnsi="Arial" w:cs="Arial"/>
          <w:sz w:val="22"/>
          <w:szCs w:val="22"/>
        </w:rPr>
      </w:pP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111BD810" w:rsidR="005A6DEC" w:rsidRPr="005D535B" w:rsidRDefault="00550C65" w:rsidP="005775C4">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E14DE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C045A8" w:rsidRPr="00282060">
        <w:rPr>
          <w:rFonts w:ascii="Arial" w:hAnsi="Arial" w:cs="Arial"/>
          <w:bCs/>
          <w:sz w:val="22"/>
          <w:szCs w:val="22"/>
        </w:rPr>
        <w:t xml:space="preserve"> B.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Pr="005775C4" w:rsidRDefault="009E6E1E" w:rsidP="005775C4">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FED805B" w14:textId="77777777" w:rsidR="009401F6" w:rsidRDefault="009401F6" w:rsidP="009401F6">
      <w:pPr>
        <w:rPr>
          <w:rFonts w:ascii="Arial" w:hAnsi="Arial" w:cs="Arial"/>
          <w:sz w:val="22"/>
          <w:szCs w:val="22"/>
        </w:rPr>
      </w:pPr>
      <w:r>
        <w:rPr>
          <w:rFonts w:ascii="Arial" w:hAnsi="Arial" w:cs="Arial"/>
          <w:i/>
          <w:iCs/>
          <w:sz w:val="22"/>
          <w:szCs w:val="22"/>
        </w:rPr>
        <w:t>elektronicky podepsáno</w:t>
      </w:r>
    </w:p>
    <w:p w14:paraId="2561D6D6" w14:textId="77777777" w:rsidR="009401F6" w:rsidRDefault="009401F6" w:rsidP="009401F6">
      <w:pPr>
        <w:ind w:left="5670"/>
        <w:rPr>
          <w:rFonts w:ascii="Arial" w:hAnsi="Arial" w:cs="Arial"/>
          <w:sz w:val="22"/>
          <w:szCs w:val="22"/>
        </w:rPr>
      </w:pP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7B32" w14:textId="77777777" w:rsidR="00BC69A4" w:rsidRDefault="00BC69A4" w:rsidP="007B5020">
      <w:r>
        <w:separator/>
      </w:r>
    </w:p>
  </w:endnote>
  <w:endnote w:type="continuationSeparator" w:id="0">
    <w:p w14:paraId="74FF7893" w14:textId="77777777" w:rsidR="00BC69A4" w:rsidRDefault="00BC69A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80D4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B77F" w14:textId="77777777" w:rsidR="00BC69A4" w:rsidRDefault="00BC69A4" w:rsidP="007B5020">
      <w:r>
        <w:separator/>
      </w:r>
    </w:p>
  </w:footnote>
  <w:footnote w:type="continuationSeparator" w:id="0">
    <w:p w14:paraId="29F81E23" w14:textId="77777777" w:rsidR="00BC69A4" w:rsidRDefault="00BC69A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4DF3"/>
    <w:rsid w:val="0009658F"/>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2C5E"/>
    <w:rsid w:val="001460B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C6B74"/>
    <w:rsid w:val="002D1FB9"/>
    <w:rsid w:val="002D23D3"/>
    <w:rsid w:val="002D5BB1"/>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3F6"/>
    <w:rsid w:val="003462A0"/>
    <w:rsid w:val="00356207"/>
    <w:rsid w:val="00356B3F"/>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32AF"/>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20AB"/>
    <w:rsid w:val="0055379E"/>
    <w:rsid w:val="00557591"/>
    <w:rsid w:val="00562DD4"/>
    <w:rsid w:val="005703E7"/>
    <w:rsid w:val="00573066"/>
    <w:rsid w:val="005755D1"/>
    <w:rsid w:val="00575B99"/>
    <w:rsid w:val="0057733D"/>
    <w:rsid w:val="005775C4"/>
    <w:rsid w:val="00577E60"/>
    <w:rsid w:val="00582363"/>
    <w:rsid w:val="0058487D"/>
    <w:rsid w:val="00585FDF"/>
    <w:rsid w:val="005A40DA"/>
    <w:rsid w:val="005A648F"/>
    <w:rsid w:val="005A6DEC"/>
    <w:rsid w:val="005A77D0"/>
    <w:rsid w:val="005B10CF"/>
    <w:rsid w:val="005B26C0"/>
    <w:rsid w:val="005B2A69"/>
    <w:rsid w:val="005B4C1B"/>
    <w:rsid w:val="005C0862"/>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2AE7"/>
    <w:rsid w:val="00730875"/>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49C"/>
    <w:rsid w:val="007D4C25"/>
    <w:rsid w:val="007D53B4"/>
    <w:rsid w:val="007E184D"/>
    <w:rsid w:val="007E1D76"/>
    <w:rsid w:val="00803F15"/>
    <w:rsid w:val="00810B29"/>
    <w:rsid w:val="00812169"/>
    <w:rsid w:val="00812D42"/>
    <w:rsid w:val="008167A1"/>
    <w:rsid w:val="0082434D"/>
    <w:rsid w:val="00833644"/>
    <w:rsid w:val="00834C18"/>
    <w:rsid w:val="00846597"/>
    <w:rsid w:val="008537DF"/>
    <w:rsid w:val="0085577E"/>
    <w:rsid w:val="0086097E"/>
    <w:rsid w:val="00861F47"/>
    <w:rsid w:val="008637CE"/>
    <w:rsid w:val="00863BE9"/>
    <w:rsid w:val="008701DE"/>
    <w:rsid w:val="00870AF3"/>
    <w:rsid w:val="00881F4D"/>
    <w:rsid w:val="00882DEE"/>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01F6"/>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4C6B"/>
    <w:rsid w:val="009B2AB4"/>
    <w:rsid w:val="009B548E"/>
    <w:rsid w:val="009C088E"/>
    <w:rsid w:val="009C0ABF"/>
    <w:rsid w:val="009C0D91"/>
    <w:rsid w:val="009C0F6C"/>
    <w:rsid w:val="009C52F9"/>
    <w:rsid w:val="009C563B"/>
    <w:rsid w:val="009C7286"/>
    <w:rsid w:val="009D05AC"/>
    <w:rsid w:val="009E55F6"/>
    <w:rsid w:val="009E6E1E"/>
    <w:rsid w:val="00A00CFE"/>
    <w:rsid w:val="00A01BFA"/>
    <w:rsid w:val="00A03C47"/>
    <w:rsid w:val="00A167A0"/>
    <w:rsid w:val="00A2115A"/>
    <w:rsid w:val="00A26537"/>
    <w:rsid w:val="00A300F2"/>
    <w:rsid w:val="00A3322B"/>
    <w:rsid w:val="00A357C3"/>
    <w:rsid w:val="00A433F7"/>
    <w:rsid w:val="00A50287"/>
    <w:rsid w:val="00A508EB"/>
    <w:rsid w:val="00A518B2"/>
    <w:rsid w:val="00A5365F"/>
    <w:rsid w:val="00A657FA"/>
    <w:rsid w:val="00A75453"/>
    <w:rsid w:val="00A7600A"/>
    <w:rsid w:val="00AB0431"/>
    <w:rsid w:val="00AB2DEB"/>
    <w:rsid w:val="00AB3A52"/>
    <w:rsid w:val="00AB41AD"/>
    <w:rsid w:val="00AC2522"/>
    <w:rsid w:val="00AC4BA6"/>
    <w:rsid w:val="00AC7560"/>
    <w:rsid w:val="00AC7653"/>
    <w:rsid w:val="00AD3112"/>
    <w:rsid w:val="00AD71D4"/>
    <w:rsid w:val="00AD7956"/>
    <w:rsid w:val="00AE19AB"/>
    <w:rsid w:val="00AE2341"/>
    <w:rsid w:val="00AE6B99"/>
    <w:rsid w:val="00AE7E67"/>
    <w:rsid w:val="00AF307C"/>
    <w:rsid w:val="00AF36D9"/>
    <w:rsid w:val="00AF4182"/>
    <w:rsid w:val="00B04064"/>
    <w:rsid w:val="00B22C14"/>
    <w:rsid w:val="00B243A3"/>
    <w:rsid w:val="00B27982"/>
    <w:rsid w:val="00B338B8"/>
    <w:rsid w:val="00B3493B"/>
    <w:rsid w:val="00B352AB"/>
    <w:rsid w:val="00B405DA"/>
    <w:rsid w:val="00B44150"/>
    <w:rsid w:val="00B539C7"/>
    <w:rsid w:val="00B53A7E"/>
    <w:rsid w:val="00B60BC5"/>
    <w:rsid w:val="00B62F8C"/>
    <w:rsid w:val="00B726A9"/>
    <w:rsid w:val="00B73A77"/>
    <w:rsid w:val="00B77736"/>
    <w:rsid w:val="00B8086B"/>
    <w:rsid w:val="00B80D44"/>
    <w:rsid w:val="00B844F6"/>
    <w:rsid w:val="00B9151F"/>
    <w:rsid w:val="00BA57D4"/>
    <w:rsid w:val="00BB2835"/>
    <w:rsid w:val="00BB771A"/>
    <w:rsid w:val="00BB7A86"/>
    <w:rsid w:val="00BC0939"/>
    <w:rsid w:val="00BC215D"/>
    <w:rsid w:val="00BC69A4"/>
    <w:rsid w:val="00BD044C"/>
    <w:rsid w:val="00BD5108"/>
    <w:rsid w:val="00BD52C4"/>
    <w:rsid w:val="00BD56CE"/>
    <w:rsid w:val="00BD5F4E"/>
    <w:rsid w:val="00BD7B28"/>
    <w:rsid w:val="00BE03A5"/>
    <w:rsid w:val="00BE07BC"/>
    <w:rsid w:val="00BF0750"/>
    <w:rsid w:val="00BF2919"/>
    <w:rsid w:val="00BF32EB"/>
    <w:rsid w:val="00BF4434"/>
    <w:rsid w:val="00C03BA4"/>
    <w:rsid w:val="00C045A8"/>
    <w:rsid w:val="00C108EF"/>
    <w:rsid w:val="00C12C43"/>
    <w:rsid w:val="00C149A6"/>
    <w:rsid w:val="00C21CC8"/>
    <w:rsid w:val="00C220FD"/>
    <w:rsid w:val="00C22812"/>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75C1"/>
    <w:rsid w:val="00CC0146"/>
    <w:rsid w:val="00CC45F3"/>
    <w:rsid w:val="00CC4C01"/>
    <w:rsid w:val="00CC5762"/>
    <w:rsid w:val="00CD0534"/>
    <w:rsid w:val="00CD5DCC"/>
    <w:rsid w:val="00CD61F3"/>
    <w:rsid w:val="00CE43F8"/>
    <w:rsid w:val="00D03433"/>
    <w:rsid w:val="00D05F20"/>
    <w:rsid w:val="00D11436"/>
    <w:rsid w:val="00D170A9"/>
    <w:rsid w:val="00D173CD"/>
    <w:rsid w:val="00D220A0"/>
    <w:rsid w:val="00D23AAD"/>
    <w:rsid w:val="00D24D97"/>
    <w:rsid w:val="00D32E3E"/>
    <w:rsid w:val="00D35599"/>
    <w:rsid w:val="00D409A3"/>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193E"/>
    <w:rsid w:val="00E437BD"/>
    <w:rsid w:val="00E53A5B"/>
    <w:rsid w:val="00E60DF8"/>
    <w:rsid w:val="00E65DDB"/>
    <w:rsid w:val="00E70E12"/>
    <w:rsid w:val="00E7679B"/>
    <w:rsid w:val="00E80807"/>
    <w:rsid w:val="00E86738"/>
    <w:rsid w:val="00E90216"/>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272E"/>
    <w:rsid w:val="00F76903"/>
    <w:rsid w:val="00F844C3"/>
    <w:rsid w:val="00F9079B"/>
    <w:rsid w:val="00F90F6D"/>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HCUZCRXN6NH5-581495652-31561</_dlc_DocId>
    <_dlc_DocIdUrl xmlns="85f4b5cc-4033-44c7-b405-f5eed34c8154">
      <Url>https://spucr.sharepoint.com/sites/Portal/544101/_layouts/15/DocIdRedir.aspx?ID=HCUZCRXN6NH5-581495652-31561</Url>
      <Description>HCUZCRXN6NH5-581495652-31561</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A3FA8-9702-4B50-88E6-724E3718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3763</Words>
  <Characters>22206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2025-11-24T13:29:00Z</dcterms:created>
  <dcterms:modified xsi:type="dcterms:W3CDTF">2025-11-24T15:52:00Z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2679598d-eb73-4adf-b507-ddf8d83b0a22</vt:lpwstr>
  </property>
  <property fmtid="{D5CDD505-2E9C-101B-9397-08002B2CF9AE}" pid="4" name="MediaServiceImageTags">
    <vt:lpwstr/>
  </property>
</Properties>
</file>