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667726">
      <w:pPr>
        <w:pStyle w:val="Nzev"/>
        <w:spacing w:before="0" w:after="0" w:line="240" w:lineRule="auto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667726">
      <w:pPr>
        <w:pStyle w:val="Nzev"/>
        <w:spacing w:before="0" w:after="0" w:line="240" w:lineRule="auto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667726">
      <w:pPr>
        <w:pStyle w:val="Nzev"/>
        <w:spacing w:before="0" w:after="0" w:line="240" w:lineRule="auto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667726">
      <w:pPr>
        <w:pStyle w:val="Nzev"/>
        <w:spacing w:before="0" w:after="0" w:line="240" w:lineRule="auto"/>
        <w:rPr>
          <w:bCs/>
          <w:sz w:val="20"/>
          <w:szCs w:val="20"/>
        </w:rPr>
      </w:pPr>
    </w:p>
    <w:p w14:paraId="7A98E868" w14:textId="77777777" w:rsidR="00E24120" w:rsidRPr="0031011B" w:rsidRDefault="00E24120" w:rsidP="00667726">
      <w:pPr>
        <w:pStyle w:val="Nzev"/>
        <w:spacing w:before="0" w:after="0" w:line="240" w:lineRule="auto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667726">
      <w:pPr>
        <w:spacing w:before="0" w:after="0" w:line="240" w:lineRule="auto"/>
      </w:pPr>
    </w:p>
    <w:p w14:paraId="6D683C8E" w14:textId="77777777" w:rsidR="00E24120" w:rsidRPr="00E24120" w:rsidRDefault="00E24120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284F8BF8" w14:textId="77777777" w:rsidR="00E24120" w:rsidRPr="00E24120" w:rsidRDefault="00E24120" w:rsidP="00667726">
      <w:pPr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667726">
      <w:pPr>
        <w:spacing w:before="0" w:after="0" w:line="240" w:lineRule="auto"/>
        <w:jc w:val="both"/>
        <w:rPr>
          <w:rFonts w:cs="Arial"/>
          <w:b/>
          <w:szCs w:val="24"/>
        </w:rPr>
      </w:pPr>
      <w:r w:rsidRPr="006415A7">
        <w:rPr>
          <w:rFonts w:cs="Arial"/>
          <w:bCs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78D6368F" w14:textId="0F1C36AB" w:rsidR="00E24120" w:rsidRPr="00FE468B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/>
          <w:bCs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FE468B" w:rsidRPr="00CC6A12">
        <w:rPr>
          <w:rFonts w:cs="Arial"/>
          <w:b/>
          <w:bCs/>
          <w:snapToGrid w:val="0"/>
          <w:szCs w:val="24"/>
        </w:rPr>
        <w:t>pro Jihomoravský kraj</w:t>
      </w:r>
    </w:p>
    <w:p w14:paraId="4CF8149E" w14:textId="393AFCFC" w:rsidR="00E24120" w:rsidRPr="00E24120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/>
          <w:szCs w:val="24"/>
        </w:rPr>
      </w:pPr>
      <w:r w:rsidRPr="006415A7">
        <w:rPr>
          <w:rFonts w:cs="Arial"/>
          <w:bCs/>
          <w:szCs w:val="24"/>
        </w:rPr>
        <w:t>Adresa:</w:t>
      </w:r>
      <w:r w:rsidR="00CC6A12">
        <w:rPr>
          <w:rFonts w:cs="Arial"/>
          <w:b/>
          <w:szCs w:val="24"/>
        </w:rPr>
        <w:t xml:space="preserve"> Hroznová 227/17, 603 00 Brno</w:t>
      </w:r>
    </w:p>
    <w:p w14:paraId="643BD739" w14:textId="5BEB37C5" w:rsidR="00E24120" w:rsidRPr="00E24120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Pobočka </w:t>
      </w:r>
      <w:r w:rsidR="00CC6A12">
        <w:rPr>
          <w:rFonts w:cs="Arial"/>
          <w:b/>
          <w:szCs w:val="24"/>
        </w:rPr>
        <w:t>Blansko</w:t>
      </w:r>
    </w:p>
    <w:p w14:paraId="66BCA023" w14:textId="171F45C4" w:rsidR="00E24120" w:rsidRPr="00E24120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/>
          <w:szCs w:val="24"/>
        </w:rPr>
      </w:pPr>
      <w:r w:rsidRPr="006415A7">
        <w:rPr>
          <w:rFonts w:cs="Arial"/>
          <w:bCs/>
          <w:szCs w:val="24"/>
        </w:rPr>
        <w:t>Adresa:</w:t>
      </w:r>
      <w:r w:rsidR="00CC6A12">
        <w:rPr>
          <w:rFonts w:cs="Arial"/>
          <w:b/>
          <w:szCs w:val="24"/>
        </w:rPr>
        <w:t xml:space="preserve"> Poříčí 1569/18, 678 01</w:t>
      </w:r>
    </w:p>
    <w:p w14:paraId="6D585746" w14:textId="27598883" w:rsidR="00E24120" w:rsidRPr="00E24120" w:rsidRDefault="00206A4E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Z</w:t>
      </w:r>
      <w:r w:rsidR="00E24120" w:rsidRPr="00E24120">
        <w:rPr>
          <w:rFonts w:eastAsia="Lucida Sans Unicode" w:cs="Arial"/>
          <w:szCs w:val="24"/>
        </w:rPr>
        <w:t xml:space="preserve">astoupený: </w:t>
      </w:r>
      <w:r w:rsidR="00CC6A12">
        <w:rPr>
          <w:rFonts w:eastAsia="Lucida Sans Unicode" w:cs="Arial"/>
          <w:szCs w:val="24"/>
        </w:rPr>
        <w:t>JUDr. Ivana Antlová, vedoucí pobočky Blansko</w:t>
      </w:r>
    </w:p>
    <w:p w14:paraId="7118FC3B" w14:textId="3C19C494" w:rsidR="00E24120" w:rsidRPr="00E24120" w:rsidRDefault="00206A4E" w:rsidP="00667726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jc w:val="both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V</w:t>
      </w:r>
      <w:r w:rsidR="00E24120" w:rsidRPr="00E24120">
        <w:rPr>
          <w:rFonts w:eastAsia="Lucida Sans Unicode" w:cs="Arial"/>
          <w:szCs w:val="24"/>
        </w:rPr>
        <w:t>e smluvních záležitostech oprávněn jednat:</w:t>
      </w:r>
      <w:r w:rsidR="00E24120" w:rsidRPr="00E24120">
        <w:rPr>
          <w:rFonts w:eastAsia="Lucida Sans Unicode" w:cs="Arial"/>
          <w:szCs w:val="24"/>
        </w:rPr>
        <w:tab/>
      </w:r>
      <w:r w:rsidR="00CC6A12">
        <w:rPr>
          <w:rFonts w:eastAsia="Lucida Sans Unicode" w:cs="Arial"/>
          <w:szCs w:val="24"/>
        </w:rPr>
        <w:t>JUDr. Ivana Antlová</w:t>
      </w:r>
    </w:p>
    <w:p w14:paraId="66916189" w14:textId="19163AAB" w:rsidR="00E24120" w:rsidRPr="00E24120" w:rsidRDefault="00206A4E" w:rsidP="00667726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jc w:val="both"/>
        <w:rPr>
          <w:rFonts w:eastAsia="Lucida Sans Unicode" w:cs="Arial"/>
          <w:snapToGrid w:val="0"/>
          <w:szCs w:val="24"/>
        </w:rPr>
      </w:pPr>
      <w:r>
        <w:rPr>
          <w:rFonts w:eastAsia="Lucida Sans Unicode" w:cs="Arial"/>
          <w:szCs w:val="24"/>
        </w:rPr>
        <w:t>V</w:t>
      </w:r>
      <w:r w:rsidR="00E24120" w:rsidRPr="00E24120">
        <w:rPr>
          <w:rFonts w:eastAsia="Lucida Sans Unicode" w:cs="Arial"/>
          <w:szCs w:val="24"/>
        </w:rPr>
        <w:t xml:space="preserve"> </w:t>
      </w:r>
      <w:r w:rsidR="00E24120"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="00E24120" w:rsidRPr="00E24120">
        <w:rPr>
          <w:rFonts w:eastAsia="Lucida Sans Unicode" w:cs="Arial"/>
          <w:snapToGrid w:val="0"/>
          <w:szCs w:val="24"/>
        </w:rPr>
        <w:tab/>
      </w:r>
      <w:r w:rsidR="00CC6A12">
        <w:rPr>
          <w:rFonts w:eastAsia="Lucida Sans Unicode" w:cs="Arial"/>
          <w:snapToGrid w:val="0"/>
          <w:szCs w:val="24"/>
        </w:rPr>
        <w:t>Ing. Zdenka Hebelková</w:t>
      </w:r>
      <w:r w:rsidR="00E24120" w:rsidRPr="00E24120">
        <w:rPr>
          <w:rFonts w:eastAsia="Lucida Sans Unicode" w:cs="Arial"/>
          <w:szCs w:val="24"/>
        </w:rPr>
        <w:t xml:space="preserve"> </w:t>
      </w:r>
    </w:p>
    <w:p w14:paraId="2A7769CA" w14:textId="04D5715D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CC6A12">
        <w:rPr>
          <w:rFonts w:eastAsia="Lucida Sans Unicode" w:cs="Arial"/>
          <w:szCs w:val="24"/>
        </w:rPr>
        <w:t> 725 765 796</w:t>
      </w:r>
    </w:p>
    <w:p w14:paraId="42222A26" w14:textId="0B6ABBF4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E-mail:</w:t>
      </w:r>
      <w:r w:rsidRPr="00E24120">
        <w:rPr>
          <w:rFonts w:eastAsia="Lucida Sans Unicode" w:cs="Arial"/>
          <w:szCs w:val="24"/>
        </w:rPr>
        <w:tab/>
      </w:r>
      <w:r w:rsidR="00CC6A12">
        <w:rPr>
          <w:rFonts w:eastAsia="Lucida Sans Unicode" w:cs="Arial"/>
          <w:szCs w:val="24"/>
        </w:rPr>
        <w:t>zdenka.hebelkova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18B937D7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149FEF6D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56B0E48A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5B3C67F6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376D1C70" w:rsidR="00E24120" w:rsidRPr="00E24120" w:rsidRDefault="00E24120" w:rsidP="0066772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667726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Cs/>
          <w:szCs w:val="24"/>
        </w:rPr>
      </w:pPr>
    </w:p>
    <w:p w14:paraId="6FB062A0" w14:textId="2068D383" w:rsidR="00E24120" w:rsidRPr="00667726" w:rsidRDefault="00667726" w:rsidP="00667726">
      <w:pPr>
        <w:spacing w:before="0" w:after="0" w:line="240" w:lineRule="auto"/>
        <w:rPr>
          <w:rFonts w:cs="Arial"/>
          <w:bCs/>
          <w:szCs w:val="24"/>
        </w:rPr>
      </w:pPr>
      <w:r w:rsidRPr="00667726">
        <w:rPr>
          <w:rFonts w:cs="Arial"/>
          <w:bCs/>
          <w:szCs w:val="24"/>
        </w:rPr>
        <w:t>a</w:t>
      </w:r>
    </w:p>
    <w:p w14:paraId="0C6F639F" w14:textId="77777777" w:rsidR="00667726" w:rsidRPr="00E24120" w:rsidRDefault="00667726" w:rsidP="00667726">
      <w:pPr>
        <w:spacing w:before="0" w:after="0" w:line="240" w:lineRule="auto"/>
        <w:rPr>
          <w:rFonts w:cs="Arial"/>
          <w:b/>
          <w:szCs w:val="24"/>
        </w:rPr>
      </w:pPr>
    </w:p>
    <w:p w14:paraId="5CC48710" w14:textId="77777777" w:rsidR="00E24120" w:rsidRPr="00E24120" w:rsidRDefault="00E24120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224FFF55" w:rsidR="00E24120" w:rsidRPr="00E24120" w:rsidRDefault="006415A7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6415A7">
        <w:rPr>
          <w:rFonts w:cs="Arial"/>
          <w:bCs/>
          <w:szCs w:val="24"/>
        </w:rPr>
        <w:t>Název</w:t>
      </w:r>
      <w:r w:rsidR="00E24120" w:rsidRPr="006415A7">
        <w:rPr>
          <w:rFonts w:cs="Arial"/>
          <w:bCs/>
          <w:szCs w:val="24"/>
        </w:rPr>
        <w:t>:</w:t>
      </w:r>
      <w:r w:rsidR="00E24120" w:rsidRPr="00E24120">
        <w:rPr>
          <w:rFonts w:cs="Arial"/>
          <w:b/>
          <w:szCs w:val="24"/>
        </w:rPr>
        <w:t xml:space="preserve"> </w:t>
      </w:r>
      <w:r w:rsidR="009A0462">
        <w:rPr>
          <w:rFonts w:cs="Arial"/>
          <w:b/>
          <w:szCs w:val="24"/>
        </w:rPr>
        <w:t>Vodohospodářský atelier, s.r.o.</w:t>
      </w:r>
    </w:p>
    <w:p w14:paraId="5DB18FEB" w14:textId="14D2D119" w:rsidR="00E24120" w:rsidRPr="00E24120" w:rsidRDefault="00E24120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6415A7">
        <w:rPr>
          <w:rFonts w:cs="Arial"/>
          <w:bCs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2A1176">
        <w:rPr>
          <w:rFonts w:cs="Arial"/>
          <w:bCs/>
          <w:szCs w:val="24"/>
        </w:rPr>
        <w:tab/>
      </w:r>
      <w:r w:rsidR="002A1176">
        <w:rPr>
          <w:rFonts w:cs="Arial"/>
          <w:bCs/>
          <w:szCs w:val="24"/>
        </w:rPr>
        <w:tab/>
      </w:r>
      <w:r w:rsidR="009A0462">
        <w:rPr>
          <w:rFonts w:cs="Arial"/>
          <w:bCs/>
          <w:szCs w:val="24"/>
        </w:rPr>
        <w:t>Růženec 54, 644 00 Brno</w:t>
      </w:r>
    </w:p>
    <w:p w14:paraId="7FEB2147" w14:textId="0FD05D96" w:rsidR="00E24120" w:rsidRDefault="00206A4E" w:rsidP="00667726">
      <w:pPr>
        <w:tabs>
          <w:tab w:val="left" w:pos="4253"/>
        </w:tabs>
        <w:spacing w:before="0" w:after="0" w:line="240" w:lineRule="auto"/>
        <w:jc w:val="both"/>
        <w:rPr>
          <w:rFonts w:cs="Arial"/>
          <w:i/>
          <w:szCs w:val="24"/>
        </w:rPr>
      </w:pPr>
      <w:r>
        <w:rPr>
          <w:rFonts w:cs="Arial"/>
          <w:szCs w:val="24"/>
        </w:rPr>
        <w:t>Z</w:t>
      </w:r>
      <w:r w:rsidR="00E24120" w:rsidRPr="00E24120">
        <w:rPr>
          <w:rFonts w:cs="Arial"/>
          <w:szCs w:val="24"/>
        </w:rPr>
        <w:t xml:space="preserve">astoupený: </w:t>
      </w:r>
      <w:r w:rsidR="009A0462">
        <w:rPr>
          <w:rFonts w:cs="Arial"/>
          <w:szCs w:val="24"/>
        </w:rPr>
        <w:tab/>
      </w:r>
      <w:r w:rsidR="002A1176">
        <w:rPr>
          <w:rFonts w:cs="Arial"/>
          <w:szCs w:val="24"/>
        </w:rPr>
        <w:tab/>
      </w:r>
      <w:r w:rsidR="009A0462">
        <w:rPr>
          <w:rFonts w:cs="Arial"/>
          <w:szCs w:val="24"/>
        </w:rPr>
        <w:t>Ing. Vítězslav Hráček</w:t>
      </w:r>
    </w:p>
    <w:p w14:paraId="41DCAE95" w14:textId="47A30128" w:rsidR="00206A4E" w:rsidRPr="00E24120" w:rsidRDefault="00206A4E" w:rsidP="00667726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Pr="00E24120">
        <w:rPr>
          <w:rFonts w:cs="Arial"/>
          <w:szCs w:val="24"/>
        </w:rPr>
        <w:t> technických záležitostech je oprávněn jednat:</w:t>
      </w:r>
      <w:r w:rsidRPr="00E24120">
        <w:rPr>
          <w:rFonts w:cs="Arial"/>
          <w:szCs w:val="24"/>
        </w:rPr>
        <w:tab/>
      </w:r>
      <w:r w:rsidR="002A1176">
        <w:rPr>
          <w:rFonts w:cs="Arial"/>
          <w:szCs w:val="24"/>
        </w:rPr>
        <w:tab/>
      </w:r>
      <w:proofErr w:type="spellStart"/>
      <w:r w:rsidR="002A1176">
        <w:rPr>
          <w:rFonts w:cs="Arial"/>
          <w:szCs w:val="24"/>
        </w:rPr>
        <w:t>xxx</w:t>
      </w:r>
      <w:proofErr w:type="spellEnd"/>
    </w:p>
    <w:p w14:paraId="7A68AB1B" w14:textId="5370482D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="002A1176">
        <w:rPr>
          <w:rFonts w:cs="Arial"/>
          <w:szCs w:val="24"/>
        </w:rPr>
        <w:tab/>
      </w:r>
      <w:proofErr w:type="spellStart"/>
      <w:r w:rsidR="009C6340">
        <w:rPr>
          <w:rFonts w:cs="Arial"/>
          <w:szCs w:val="24"/>
        </w:rPr>
        <w:t>xxx</w:t>
      </w:r>
      <w:proofErr w:type="spellEnd"/>
    </w:p>
    <w:p w14:paraId="1C793700" w14:textId="158DCEBA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="002A1176">
        <w:rPr>
          <w:rFonts w:cs="Arial"/>
          <w:szCs w:val="24"/>
        </w:rPr>
        <w:tab/>
      </w:r>
      <w:proofErr w:type="spellStart"/>
      <w:r w:rsidR="009C6340">
        <w:rPr>
          <w:rFonts w:cs="Arial"/>
          <w:szCs w:val="24"/>
        </w:rPr>
        <w:t>xxx</w:t>
      </w:r>
      <w:proofErr w:type="spellEnd"/>
    </w:p>
    <w:p w14:paraId="713FCF24" w14:textId="7C406A04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>ID DS:</w:t>
      </w:r>
      <w:r w:rsidRPr="00E24120">
        <w:rPr>
          <w:rFonts w:cs="Arial"/>
          <w:bCs/>
          <w:snapToGrid w:val="0"/>
          <w:szCs w:val="24"/>
        </w:rPr>
        <w:tab/>
      </w:r>
      <w:r w:rsidR="002A1176">
        <w:rPr>
          <w:rFonts w:cs="Arial"/>
          <w:bCs/>
          <w:snapToGrid w:val="0"/>
          <w:szCs w:val="24"/>
        </w:rPr>
        <w:tab/>
      </w:r>
      <w:r w:rsidR="009A0462">
        <w:rPr>
          <w:rFonts w:cs="Arial"/>
          <w:bCs/>
          <w:snapToGrid w:val="0"/>
          <w:szCs w:val="24"/>
        </w:rPr>
        <w:t>rz4a5mz</w:t>
      </w:r>
    </w:p>
    <w:p w14:paraId="574076F6" w14:textId="4E302159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Bankovní spojení:</w:t>
      </w:r>
      <w:r w:rsidR="002A1176">
        <w:rPr>
          <w:rFonts w:cs="Arial"/>
          <w:szCs w:val="24"/>
        </w:rPr>
        <w:tab/>
      </w:r>
      <w:r w:rsidRPr="00E24120">
        <w:rPr>
          <w:rFonts w:cs="Arial"/>
          <w:szCs w:val="24"/>
        </w:rPr>
        <w:tab/>
      </w:r>
      <w:r w:rsidR="009A0462">
        <w:rPr>
          <w:rFonts w:cs="Arial"/>
          <w:szCs w:val="24"/>
        </w:rPr>
        <w:t>Česká spořitelna, a.s.</w:t>
      </w:r>
    </w:p>
    <w:p w14:paraId="5F20A7A3" w14:textId="277C43F3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Číslo účtu:</w:t>
      </w:r>
      <w:r w:rsidRPr="00E24120">
        <w:rPr>
          <w:rFonts w:cs="Arial"/>
          <w:szCs w:val="24"/>
        </w:rPr>
        <w:tab/>
      </w:r>
      <w:r w:rsidR="002A1176">
        <w:rPr>
          <w:rFonts w:cs="Arial"/>
          <w:szCs w:val="24"/>
        </w:rPr>
        <w:tab/>
      </w:r>
      <w:r w:rsidR="009A0462">
        <w:rPr>
          <w:rFonts w:cs="Arial"/>
          <w:szCs w:val="24"/>
        </w:rPr>
        <w:t>2059572379/0800</w:t>
      </w:r>
    </w:p>
    <w:p w14:paraId="02CC041E" w14:textId="65479B57" w:rsidR="00E24120" w:rsidRPr="00E24120" w:rsidRDefault="00E24120" w:rsidP="00667726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IČO:</w:t>
      </w:r>
      <w:r w:rsidRPr="00E24120">
        <w:rPr>
          <w:rFonts w:cs="Arial"/>
          <w:szCs w:val="24"/>
        </w:rPr>
        <w:tab/>
      </w:r>
      <w:r w:rsidR="002A1176">
        <w:rPr>
          <w:rFonts w:cs="Arial"/>
          <w:szCs w:val="24"/>
        </w:rPr>
        <w:tab/>
      </w:r>
      <w:r w:rsidR="009A0462">
        <w:rPr>
          <w:rFonts w:cs="Arial"/>
          <w:szCs w:val="24"/>
        </w:rPr>
        <w:t>27724905</w:t>
      </w:r>
    </w:p>
    <w:p w14:paraId="67D7439A" w14:textId="071F3F30" w:rsidR="009A0462" w:rsidRDefault="00E24120" w:rsidP="009A0462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DIČ:</w:t>
      </w:r>
      <w:r w:rsidRPr="00E24120">
        <w:rPr>
          <w:rFonts w:cs="Arial"/>
          <w:szCs w:val="24"/>
        </w:rPr>
        <w:tab/>
      </w:r>
      <w:r w:rsidR="002A1176">
        <w:rPr>
          <w:rFonts w:cs="Arial"/>
          <w:szCs w:val="24"/>
        </w:rPr>
        <w:tab/>
      </w:r>
      <w:r w:rsidR="009A0462">
        <w:rPr>
          <w:rFonts w:cs="Arial"/>
          <w:szCs w:val="24"/>
        </w:rPr>
        <w:t>CZ27724905</w:t>
      </w:r>
    </w:p>
    <w:p w14:paraId="48659F85" w14:textId="6FBD1AD2" w:rsidR="00E24120" w:rsidRPr="00E24120" w:rsidRDefault="00E24120" w:rsidP="009A0462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9A0462">
        <w:rPr>
          <w:rFonts w:cs="Arial"/>
          <w:szCs w:val="24"/>
        </w:rPr>
        <w:t>Krajského soudu v Brně</w:t>
      </w:r>
      <w:r w:rsidRPr="00E24120">
        <w:rPr>
          <w:rFonts w:cs="Arial"/>
          <w:szCs w:val="24"/>
        </w:rPr>
        <w:t xml:space="preserve">, oddíl </w:t>
      </w:r>
      <w:r w:rsidR="009A0462">
        <w:rPr>
          <w:rFonts w:cs="Arial"/>
          <w:szCs w:val="24"/>
        </w:rPr>
        <w:t>C</w:t>
      </w:r>
      <w:r w:rsidRPr="00E24120">
        <w:rPr>
          <w:rFonts w:cs="Arial"/>
          <w:szCs w:val="24"/>
        </w:rPr>
        <w:t xml:space="preserve">, vložka </w:t>
      </w:r>
      <w:r w:rsidR="009A0462">
        <w:rPr>
          <w:rFonts w:cs="Arial"/>
          <w:szCs w:val="24"/>
        </w:rPr>
        <w:t>54725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667726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667726">
      <w:pPr>
        <w:spacing w:before="0" w:after="0" w:line="240" w:lineRule="auto"/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667726">
      <w:pPr>
        <w:spacing w:before="0" w:after="0" w:line="240" w:lineRule="auto"/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Default="00E24120" w:rsidP="00667726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</w:p>
    <w:p w14:paraId="0971DC75" w14:textId="77777777" w:rsidR="00667726" w:rsidRPr="00E24120" w:rsidRDefault="00667726" w:rsidP="00667726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667726">
      <w:pPr>
        <w:pStyle w:val="l-L1"/>
        <w:spacing w:before="0" w:after="0" w:line="240" w:lineRule="auto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667726">
      <w:pPr>
        <w:pStyle w:val="l-L2"/>
        <w:numPr>
          <w:ilvl w:val="0"/>
          <w:numId w:val="15"/>
        </w:numPr>
        <w:spacing w:before="0" w:after="0" w:line="240" w:lineRule="auto"/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 xml:space="preserve">, </w:t>
      </w:r>
      <w:r w:rsidR="00CF38A5" w:rsidRPr="00CD628A">
        <w:lastRenderedPageBreak/>
        <w:t>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667726">
      <w:pPr>
        <w:pStyle w:val="l-L2"/>
        <w:numPr>
          <w:ilvl w:val="0"/>
          <w:numId w:val="15"/>
        </w:numPr>
        <w:spacing w:before="0" w:after="0" w:line="240" w:lineRule="auto"/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667726">
      <w:pPr>
        <w:pStyle w:val="l-L2"/>
        <w:numPr>
          <w:ilvl w:val="0"/>
          <w:numId w:val="15"/>
        </w:numPr>
        <w:spacing w:before="0" w:after="0" w:line="240" w:lineRule="auto"/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4E543231" w:rsidR="009B22A4" w:rsidRDefault="009B22A4" w:rsidP="00667726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CC6A12">
        <w:rPr>
          <w:rStyle w:val="l-L2Char"/>
          <w:rFonts w:cs="Arial"/>
          <w:szCs w:val="22"/>
        </w:rPr>
        <w:t>Průlehy Pru5,</w:t>
      </w:r>
      <w:r w:rsidR="00667726">
        <w:rPr>
          <w:rStyle w:val="l-L2Char"/>
          <w:rFonts w:cs="Arial"/>
          <w:szCs w:val="22"/>
        </w:rPr>
        <w:t xml:space="preserve"> </w:t>
      </w:r>
      <w:r w:rsidR="00CC6A12">
        <w:rPr>
          <w:rStyle w:val="l-L2Char"/>
          <w:rFonts w:cs="Arial"/>
          <w:szCs w:val="22"/>
        </w:rPr>
        <w:t xml:space="preserve">Pru6, Pru7 </w:t>
      </w:r>
    </w:p>
    <w:p w14:paraId="500349FE" w14:textId="35737DA0" w:rsidR="009B22A4" w:rsidRDefault="009B22A4" w:rsidP="00667726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293665">
        <w:rPr>
          <w:rStyle w:val="l-L2Char"/>
          <w:rFonts w:cs="Arial"/>
          <w:szCs w:val="22"/>
        </w:rPr>
        <w:t xml:space="preserve"> </w:t>
      </w:r>
      <w:r w:rsidR="00CC6A12">
        <w:rPr>
          <w:rStyle w:val="l-L2Char"/>
          <w:rFonts w:cs="Arial"/>
          <w:szCs w:val="22"/>
        </w:rPr>
        <w:t>katastrální území Bořitov</w:t>
      </w:r>
    </w:p>
    <w:p w14:paraId="6460A1F7" w14:textId="383E4C93" w:rsidR="009B22A4" w:rsidRDefault="009B22A4" w:rsidP="00667726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  <w:rFonts w:cs="Arial"/>
          <w:szCs w:val="22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  <w:r w:rsidR="00911160" w:rsidRPr="005C59DC">
        <w:rPr>
          <w:rStyle w:val="l-L2Char"/>
          <w:rFonts w:cs="Arial"/>
          <w:szCs w:val="22"/>
        </w:rPr>
        <w:tab/>
      </w:r>
    </w:p>
    <w:p w14:paraId="0CCC1AA5" w14:textId="69B7E0B8" w:rsidR="00602491" w:rsidRDefault="00602491" w:rsidP="00667726">
      <w:pPr>
        <w:spacing w:before="0" w:after="0" w:line="240" w:lineRule="auto"/>
        <w:jc w:val="both"/>
        <w:rPr>
          <w:rFonts w:cs="Arial"/>
          <w:bCs/>
          <w:szCs w:val="22"/>
        </w:rPr>
      </w:pPr>
      <w:bookmarkStart w:id="1" w:name="_Hlk118364453"/>
      <w:r w:rsidRPr="00E24C75">
        <w:rPr>
          <w:rFonts w:cs="Arial"/>
          <w:b/>
          <w:szCs w:val="22"/>
        </w:rPr>
        <w:t>Průleh Pru5</w:t>
      </w:r>
      <w:r w:rsidRPr="00E24C75">
        <w:rPr>
          <w:rFonts w:cs="Arial"/>
          <w:bCs/>
          <w:szCs w:val="22"/>
        </w:rPr>
        <w:t xml:space="preserve"> je navržen lichoběžníkového tvaru s šířkou dna 0,5 m, hloubkou minimálně 0,4 m a</w:t>
      </w:r>
      <w:r w:rsidR="00667726">
        <w:rPr>
          <w:rFonts w:cs="Arial"/>
          <w:bCs/>
          <w:szCs w:val="22"/>
        </w:rPr>
        <w:t> </w:t>
      </w:r>
      <w:r w:rsidRPr="00E24C75">
        <w:rPr>
          <w:rFonts w:cs="Arial"/>
          <w:bCs/>
          <w:szCs w:val="22"/>
        </w:rPr>
        <w:t>sklony svahu 1:5. Délka průlehu bude 340,0 m. Průleh bude v celé své délce zatravněn. Dno a</w:t>
      </w:r>
      <w:r w:rsidR="00667726">
        <w:rPr>
          <w:rFonts w:cs="Arial"/>
          <w:bCs/>
          <w:szCs w:val="22"/>
        </w:rPr>
        <w:t> </w:t>
      </w:r>
      <w:r w:rsidRPr="00E24C75">
        <w:rPr>
          <w:rFonts w:cs="Arial"/>
          <w:bCs/>
          <w:szCs w:val="22"/>
        </w:rPr>
        <w:t>0,75 m svahu budou opatřeny protierozní kokosovou sítí ukotvenou dřevěnými kolíky. V místech změn podélného sklonu průlehu jsou navrženy stabilizační prahy z lomového kamene do 80 kg na sucho. Na hranici pozemku budou po 20 m osazeny solitérní kameny hmotnosti minimálně 500 kg. Podél průlehu je navržena liniová výsadba stromů (SO-04).</w:t>
      </w:r>
    </w:p>
    <w:p w14:paraId="55C6DF59" w14:textId="77777777" w:rsidR="00667726" w:rsidRDefault="00667726" w:rsidP="00667726">
      <w:pPr>
        <w:spacing w:before="0" w:after="0" w:line="240" w:lineRule="auto"/>
        <w:jc w:val="both"/>
        <w:rPr>
          <w:rFonts w:cs="Arial"/>
          <w:b/>
          <w:szCs w:val="22"/>
        </w:rPr>
      </w:pPr>
    </w:p>
    <w:p w14:paraId="0D26D4EE" w14:textId="7E8BD713" w:rsidR="00602491" w:rsidRDefault="00602491" w:rsidP="00667726">
      <w:pPr>
        <w:spacing w:before="0" w:after="0" w:line="240" w:lineRule="auto"/>
        <w:jc w:val="both"/>
        <w:rPr>
          <w:rFonts w:cs="Arial"/>
          <w:bCs/>
          <w:szCs w:val="22"/>
        </w:rPr>
      </w:pPr>
      <w:r w:rsidRPr="00E24C75">
        <w:rPr>
          <w:rFonts w:cs="Arial"/>
          <w:b/>
          <w:szCs w:val="22"/>
        </w:rPr>
        <w:t>Průleh Pru6</w:t>
      </w:r>
      <w:r w:rsidRPr="00E24C75">
        <w:rPr>
          <w:rFonts w:cs="Arial"/>
          <w:bCs/>
          <w:szCs w:val="22"/>
        </w:rPr>
        <w:t xml:space="preserve"> je navržen lichoběžníkového tvaru s šířkou dna 0,5 m, hloubkou minimálně 0,4 m a</w:t>
      </w:r>
      <w:r w:rsidR="00667726">
        <w:rPr>
          <w:rFonts w:cs="Arial"/>
          <w:bCs/>
          <w:szCs w:val="22"/>
        </w:rPr>
        <w:t> </w:t>
      </w:r>
      <w:r w:rsidRPr="00E24C75">
        <w:rPr>
          <w:rFonts w:cs="Arial"/>
          <w:bCs/>
          <w:szCs w:val="22"/>
        </w:rPr>
        <w:t>sklony svahu 1:5. Délka průlehu bude 138,0 m. Průleh bude v celé své délce zatravněn. Dno a</w:t>
      </w:r>
      <w:r w:rsidR="00667726">
        <w:rPr>
          <w:rFonts w:cs="Arial"/>
          <w:bCs/>
          <w:szCs w:val="22"/>
        </w:rPr>
        <w:t> </w:t>
      </w:r>
      <w:r w:rsidRPr="00E24C75">
        <w:rPr>
          <w:rFonts w:cs="Arial"/>
          <w:bCs/>
          <w:szCs w:val="22"/>
        </w:rPr>
        <w:t>0,75 m svahu budou opatřeny protierozní kokosovou sítí ukotvenou dřevěnými kolíky. V místě změny podélného sklonu průlehu je navržen stabilizační práh z lomového kamene do 80 kg na</w:t>
      </w:r>
      <w:r w:rsidR="00667726">
        <w:rPr>
          <w:rFonts w:cs="Arial"/>
          <w:bCs/>
          <w:szCs w:val="22"/>
        </w:rPr>
        <w:t> </w:t>
      </w:r>
      <w:r w:rsidRPr="00E24C75">
        <w:rPr>
          <w:rFonts w:cs="Arial"/>
          <w:bCs/>
          <w:szCs w:val="22"/>
        </w:rPr>
        <w:t>sucho. Na hranici pozemku budou po 20 m osazeny solitérní kameny hmotnosti minimálně 500 kg. Podél průlehu je navržena liniová výsadba stromů (SO-04).</w:t>
      </w:r>
    </w:p>
    <w:p w14:paraId="663C5119" w14:textId="77777777" w:rsidR="00667726" w:rsidRDefault="00667726" w:rsidP="00667726">
      <w:pPr>
        <w:spacing w:before="0" w:after="0" w:line="240" w:lineRule="auto"/>
        <w:jc w:val="both"/>
        <w:rPr>
          <w:rFonts w:cs="Arial"/>
          <w:b/>
          <w:szCs w:val="22"/>
        </w:rPr>
      </w:pPr>
    </w:p>
    <w:p w14:paraId="25C36FA7" w14:textId="49734574" w:rsidR="00602491" w:rsidRPr="00E24C75" w:rsidRDefault="00602491" w:rsidP="00667726">
      <w:pPr>
        <w:spacing w:before="0" w:after="0" w:line="240" w:lineRule="auto"/>
        <w:jc w:val="both"/>
        <w:rPr>
          <w:rFonts w:cs="Arial"/>
          <w:bCs/>
          <w:szCs w:val="22"/>
        </w:rPr>
      </w:pPr>
      <w:r w:rsidRPr="00E24C75">
        <w:rPr>
          <w:rFonts w:cs="Arial"/>
          <w:b/>
          <w:szCs w:val="22"/>
        </w:rPr>
        <w:t>Průleh Pru7</w:t>
      </w:r>
      <w:r w:rsidRPr="00E24C75">
        <w:rPr>
          <w:rFonts w:cs="Arial"/>
          <w:bCs/>
          <w:szCs w:val="22"/>
        </w:rPr>
        <w:t xml:space="preserve"> je navržen lichoběžníkového tvaru s šířkou dna 0,5 m, hloubkou 0, m a sklony svahu 1:7. Délka průlehu bude 197,0 m včetně brodu a propustku. Průleh Pru7 bude v celé své délce zatravněn. Dno a 0,75 m svahu budou opatřeny protierozní kokosovou sítí ukotvenou dřevěnými kolíky (2 kusy/m</w:t>
      </w:r>
      <w:r w:rsidRPr="00E24C75">
        <w:rPr>
          <w:rFonts w:cs="Arial"/>
          <w:bCs/>
          <w:szCs w:val="22"/>
          <w:vertAlign w:val="superscript"/>
        </w:rPr>
        <w:t>2</w:t>
      </w:r>
      <w:r w:rsidRPr="00E24C75">
        <w:rPr>
          <w:rFonts w:cs="Arial"/>
          <w:bCs/>
          <w:szCs w:val="22"/>
        </w:rPr>
        <w:t xml:space="preserve">). V místech změn podélného sklonu průlehu jsou navrženy stabilizační prahy z lomového kamene do 80 kg na sucho. Na hranici pozemku budou po 20 m osazeny solitérní kameny hmotnosti minimálně 500 kg. V rámci stavebního objektu bude provedeno zatravnění </w:t>
      </w:r>
      <w:r>
        <w:rPr>
          <w:rFonts w:cs="Arial"/>
          <w:bCs/>
          <w:szCs w:val="22"/>
        </w:rPr>
        <w:t xml:space="preserve">pozemku </w:t>
      </w:r>
      <w:proofErr w:type="spellStart"/>
      <w:r>
        <w:rPr>
          <w:rFonts w:cs="Arial"/>
          <w:bCs/>
          <w:szCs w:val="22"/>
        </w:rPr>
        <w:t>p.č</w:t>
      </w:r>
      <w:proofErr w:type="spellEnd"/>
      <w:r>
        <w:rPr>
          <w:rFonts w:cs="Arial"/>
          <w:bCs/>
          <w:szCs w:val="22"/>
        </w:rPr>
        <w:t>.</w:t>
      </w:r>
      <w:r w:rsidRPr="00E24C75">
        <w:rPr>
          <w:rFonts w:cs="Arial"/>
          <w:bCs/>
          <w:szCs w:val="22"/>
        </w:rPr>
        <w:t xml:space="preserve"> 2957. Podél průlehu je navržena liniová výsadba stromů (SO-04).</w:t>
      </w:r>
      <w:r>
        <w:rPr>
          <w:rFonts w:cs="Arial"/>
          <w:bCs/>
          <w:szCs w:val="22"/>
        </w:rPr>
        <w:t xml:space="preserve"> </w:t>
      </w:r>
      <w:r w:rsidRPr="00E24C75">
        <w:rPr>
          <w:rFonts w:cs="Arial"/>
          <w:bCs/>
          <w:szCs w:val="22"/>
        </w:rPr>
        <w:t>Propustek</w:t>
      </w:r>
      <w:r>
        <w:rPr>
          <w:rFonts w:cs="Arial"/>
          <w:bCs/>
          <w:szCs w:val="22"/>
        </w:rPr>
        <w:t xml:space="preserve"> P2</w:t>
      </w:r>
      <w:r w:rsidRPr="00E24C75">
        <w:rPr>
          <w:rFonts w:cs="Arial"/>
          <w:bCs/>
          <w:szCs w:val="22"/>
        </w:rPr>
        <w:t xml:space="preserve"> délky 10,0 m je navržen pod zatravněnou cestou na </w:t>
      </w:r>
      <w:r>
        <w:rPr>
          <w:rFonts w:cs="Arial"/>
          <w:bCs/>
          <w:szCs w:val="22"/>
        </w:rPr>
        <w:t xml:space="preserve">pozemku </w:t>
      </w:r>
      <w:proofErr w:type="spellStart"/>
      <w:r>
        <w:rPr>
          <w:rFonts w:cs="Arial"/>
          <w:bCs/>
          <w:szCs w:val="22"/>
        </w:rPr>
        <w:t>p.č</w:t>
      </w:r>
      <w:proofErr w:type="spellEnd"/>
      <w:r>
        <w:rPr>
          <w:rFonts w:cs="Arial"/>
          <w:bCs/>
          <w:szCs w:val="22"/>
        </w:rPr>
        <w:t>.</w:t>
      </w:r>
      <w:r w:rsidRPr="00E24C75">
        <w:rPr>
          <w:rFonts w:cs="Arial"/>
          <w:bCs/>
          <w:szCs w:val="22"/>
        </w:rPr>
        <w:t xml:space="preserve"> 2955, zajišťuje vyústění vody z průlehů Pru5 a Pru6 do průlehu Pru7. Propustek je navržen z železobetonových hrdlových trub TZH-Q60/250 obetonovaných betonem</w:t>
      </w:r>
      <w:r>
        <w:rPr>
          <w:rFonts w:cs="Arial"/>
          <w:bCs/>
          <w:szCs w:val="22"/>
        </w:rPr>
        <w:t>.</w:t>
      </w:r>
      <w:r w:rsidRPr="00E24C75">
        <w:rPr>
          <w:bCs/>
          <w:sz w:val="26"/>
          <w:szCs w:val="26"/>
        </w:rPr>
        <w:t xml:space="preserve"> </w:t>
      </w:r>
      <w:r w:rsidRPr="00E24C75">
        <w:rPr>
          <w:rFonts w:cs="Arial"/>
          <w:bCs/>
          <w:szCs w:val="22"/>
        </w:rPr>
        <w:t>Na křížení průlehu Pru7 se stávající zpevněnou polní cestou je navržen brod. Šířka brodu ve dně je navržena 3,0 m, sklon svahů 1:7 a 1:8. Svahy brodu budou zpevněny povrchem z</w:t>
      </w:r>
      <w:r>
        <w:rPr>
          <w:rFonts w:cs="Arial"/>
          <w:bCs/>
          <w:szCs w:val="22"/>
        </w:rPr>
        <w:t> </w:t>
      </w:r>
      <w:r w:rsidRPr="00E24C75">
        <w:rPr>
          <w:rFonts w:cs="Arial"/>
          <w:bCs/>
          <w:szCs w:val="22"/>
        </w:rPr>
        <w:t>asfaltobetonu</w:t>
      </w:r>
      <w:r>
        <w:rPr>
          <w:rFonts w:cs="Arial"/>
          <w:bCs/>
          <w:szCs w:val="22"/>
        </w:rPr>
        <w:t>.</w:t>
      </w:r>
    </w:p>
    <w:p w14:paraId="559F0E31" w14:textId="77777777" w:rsidR="00602491" w:rsidRPr="00E24C75" w:rsidRDefault="00602491" w:rsidP="00667726">
      <w:pPr>
        <w:spacing w:before="0" w:after="0" w:line="240" w:lineRule="auto"/>
        <w:jc w:val="both"/>
        <w:rPr>
          <w:rFonts w:cs="Arial"/>
          <w:bCs/>
          <w:szCs w:val="22"/>
        </w:rPr>
      </w:pPr>
    </w:p>
    <w:bookmarkEnd w:id="1"/>
    <w:p w14:paraId="51F0544D" w14:textId="1F3CE78D" w:rsidR="00602491" w:rsidRPr="00407304" w:rsidRDefault="00602491" w:rsidP="00667726">
      <w:pPr>
        <w:spacing w:before="0" w:after="0" w:line="240" w:lineRule="auto"/>
        <w:jc w:val="both"/>
        <w:rPr>
          <w:szCs w:val="22"/>
        </w:rPr>
      </w:pPr>
      <w:r w:rsidRPr="00407304">
        <w:rPr>
          <w:rFonts w:cs="Arial"/>
          <w:b/>
          <w:szCs w:val="22"/>
        </w:rPr>
        <w:t>Vegetační úpravy</w:t>
      </w:r>
      <w:r w:rsidRPr="00407304">
        <w:rPr>
          <w:szCs w:val="22"/>
        </w:rPr>
        <w:t xml:space="preserve"> </w:t>
      </w:r>
      <w:r>
        <w:rPr>
          <w:szCs w:val="22"/>
        </w:rPr>
        <w:t>- v rámci stavby bude vysázeno 74 stromů</w:t>
      </w:r>
      <w:r w:rsidR="00667726">
        <w:rPr>
          <w:szCs w:val="22"/>
        </w:rPr>
        <w:t>.</w:t>
      </w:r>
      <w:r>
        <w:rPr>
          <w:szCs w:val="22"/>
        </w:rPr>
        <w:t xml:space="preserve"> </w:t>
      </w:r>
    </w:p>
    <w:p w14:paraId="28F9E596" w14:textId="6AAC059F" w:rsidR="00911160" w:rsidRPr="009B22A4" w:rsidRDefault="00911160" w:rsidP="00667726">
      <w:pPr>
        <w:pStyle w:val="l-L2"/>
        <w:spacing w:before="0" w:after="0" w:line="240" w:lineRule="auto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Default="00397219" w:rsidP="00667726">
      <w:pPr>
        <w:pStyle w:val="l-L2"/>
        <w:spacing w:before="0" w:after="0" w:line="240" w:lineRule="auto"/>
        <w:rPr>
          <w:rStyle w:val="l-L2Char"/>
        </w:rPr>
      </w:pPr>
    </w:p>
    <w:p w14:paraId="230B9B72" w14:textId="77777777" w:rsidR="00667726" w:rsidRPr="00397219" w:rsidRDefault="00667726" w:rsidP="00667726">
      <w:pPr>
        <w:pStyle w:val="l-L2"/>
        <w:spacing w:before="0" w:after="0" w:line="240" w:lineRule="auto"/>
        <w:rPr>
          <w:rStyle w:val="l-L2Char"/>
        </w:rPr>
      </w:pPr>
    </w:p>
    <w:p w14:paraId="41B2CF88" w14:textId="6A40D70F" w:rsidR="00531C6F" w:rsidRPr="00F32916" w:rsidRDefault="00B83F26" w:rsidP="00667726">
      <w:pPr>
        <w:pStyle w:val="l-L1"/>
        <w:spacing w:before="0" w:after="0" w:line="240" w:lineRule="auto"/>
      </w:pPr>
      <w:r w:rsidRPr="00D53952">
        <w:t>Specifikace díla</w:t>
      </w:r>
    </w:p>
    <w:p w14:paraId="6DC07CF4" w14:textId="7E1C0AE1" w:rsidR="00B83F26" w:rsidRPr="00654BF5" w:rsidRDefault="00B83F26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lastRenderedPageBreak/>
        <w:t>sleduje postup výstavby z technického hlediska a z hlediska časového plánu výstavby</w:t>
      </w:r>
    </w:p>
    <w:p w14:paraId="0A06C75A" w14:textId="2C2DBA57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667726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2" w:name="_Hlk16163141"/>
    </w:p>
    <w:p w14:paraId="5F732522" w14:textId="549B39CA" w:rsidR="009C6A12" w:rsidRPr="009C6A12" w:rsidRDefault="009B4D42" w:rsidP="00667726">
      <w:pPr>
        <w:pStyle w:val="l-L2"/>
        <w:numPr>
          <w:ilvl w:val="0"/>
          <w:numId w:val="13"/>
        </w:numPr>
        <w:spacing w:before="0" w:after="0" w:line="240" w:lineRule="auto"/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Pr="00293665">
        <w:t>výběrového</w:t>
      </w:r>
      <w:r w:rsidRPr="00602491">
        <w:t xml:space="preserve"> ř</w:t>
      </w:r>
      <w:r w:rsidRPr="00397219">
        <w:t>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</w:t>
      </w:r>
      <w:r w:rsidR="00602491">
        <w:t xml:space="preserve"> „Průlehy Pru5, Pru6, Pru7 v k. </w:t>
      </w:r>
      <w:proofErr w:type="spellStart"/>
      <w:r w:rsidR="00602491">
        <w:t>ú.</w:t>
      </w:r>
      <w:proofErr w:type="spellEnd"/>
      <w:r w:rsidR="00602491">
        <w:t xml:space="preserve"> Bořitov“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2"/>
    </w:p>
    <w:p w14:paraId="2C7FBAF8" w14:textId="77777777" w:rsidR="009C6A12" w:rsidRDefault="009C6A12" w:rsidP="00667726">
      <w:pPr>
        <w:pStyle w:val="l-L2"/>
        <w:spacing w:before="0" w:after="0" w:line="240" w:lineRule="auto"/>
      </w:pPr>
    </w:p>
    <w:p w14:paraId="116546FA" w14:textId="77777777" w:rsidR="00667726" w:rsidRDefault="00667726" w:rsidP="00667726">
      <w:pPr>
        <w:pStyle w:val="l-L2"/>
        <w:spacing w:before="0" w:after="0" w:line="240" w:lineRule="auto"/>
      </w:pPr>
    </w:p>
    <w:p w14:paraId="395FEFEA" w14:textId="0E67C728" w:rsidR="00B83F26" w:rsidRPr="00D53952" w:rsidRDefault="00B83F26" w:rsidP="00667726">
      <w:pPr>
        <w:pStyle w:val="l-L1"/>
        <w:spacing w:before="0" w:after="0" w:line="240" w:lineRule="auto"/>
      </w:pPr>
      <w:r w:rsidRPr="00D53952">
        <w:t>Doba plnění</w:t>
      </w:r>
    </w:p>
    <w:p w14:paraId="49FFD507" w14:textId="177FD91C" w:rsidR="00015DD0" w:rsidRDefault="00B83F26" w:rsidP="00667726">
      <w:pPr>
        <w:pStyle w:val="l-L2"/>
        <w:numPr>
          <w:ilvl w:val="0"/>
          <w:numId w:val="12"/>
        </w:numPr>
        <w:spacing w:before="0" w:after="0" w:line="240" w:lineRule="auto"/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>zjištění vad nebo nedodělku při</w:t>
      </w:r>
      <w:r w:rsidR="00667726">
        <w:t> </w:t>
      </w:r>
      <w:r w:rsidR="00716FB1">
        <w:t xml:space="preserve">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667726">
      <w:pPr>
        <w:pStyle w:val="l-L2"/>
        <w:spacing w:before="0" w:after="0" w:line="240" w:lineRule="auto"/>
      </w:pPr>
    </w:p>
    <w:p w14:paraId="643D4895" w14:textId="77777777" w:rsidR="00293665" w:rsidRDefault="00293665" w:rsidP="00667726">
      <w:pPr>
        <w:pStyle w:val="l-L2"/>
        <w:spacing w:before="0" w:after="0" w:line="240" w:lineRule="auto"/>
      </w:pPr>
    </w:p>
    <w:p w14:paraId="6611D943" w14:textId="492BBC2D" w:rsidR="00015DD0" w:rsidRDefault="002F28FF" w:rsidP="00667726">
      <w:pPr>
        <w:pStyle w:val="l-L1"/>
        <w:spacing w:before="0" w:after="0" w:line="240" w:lineRule="auto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667726">
      <w:pPr>
        <w:pStyle w:val="l-L2"/>
        <w:numPr>
          <w:ilvl w:val="0"/>
          <w:numId w:val="11"/>
        </w:numPr>
        <w:spacing w:before="0" w:after="0" w:line="240" w:lineRule="auto"/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</w:t>
      </w:r>
      <w:r w:rsidR="000E6467" w:rsidRPr="009C6A12">
        <w:lastRenderedPageBreak/>
        <w:t>související s plněním vyhotovené zhotovitelem budou objednateli předávány dle dohody, jinak v sídle objednatele.</w:t>
      </w:r>
    </w:p>
    <w:p w14:paraId="2EFDEBE2" w14:textId="77777777" w:rsidR="009C6A12" w:rsidRDefault="009C6A12" w:rsidP="00667726">
      <w:pPr>
        <w:pStyle w:val="l-L2"/>
        <w:spacing w:before="0" w:after="0" w:line="240" w:lineRule="auto"/>
      </w:pPr>
    </w:p>
    <w:p w14:paraId="31363475" w14:textId="77777777" w:rsidR="00667726" w:rsidRPr="009C6A12" w:rsidRDefault="00667726" w:rsidP="00667726">
      <w:pPr>
        <w:pStyle w:val="l-L2"/>
        <w:spacing w:before="0" w:after="0" w:line="240" w:lineRule="auto"/>
      </w:pPr>
    </w:p>
    <w:p w14:paraId="1C8ACEE4" w14:textId="771065F2" w:rsidR="00B83F26" w:rsidRDefault="00B83F26" w:rsidP="00667726">
      <w:pPr>
        <w:pStyle w:val="l-L1"/>
        <w:spacing w:before="0" w:after="0" w:line="240" w:lineRule="auto"/>
      </w:pPr>
      <w:r w:rsidRPr="00D53952">
        <w:t>Práva a povinnosti</w:t>
      </w:r>
    </w:p>
    <w:p w14:paraId="1D82CE56" w14:textId="77777777" w:rsidR="00987BFF" w:rsidRPr="00395879" w:rsidRDefault="00B83F26" w:rsidP="00667726">
      <w:pPr>
        <w:pStyle w:val="l-L2"/>
        <w:numPr>
          <w:ilvl w:val="0"/>
          <w:numId w:val="8"/>
        </w:numPr>
        <w:spacing w:before="0" w:after="0" w:line="240" w:lineRule="auto"/>
      </w:pPr>
      <w:r w:rsidRPr="00395879">
        <w:t>Povinnosti objednatele:</w:t>
      </w:r>
    </w:p>
    <w:p w14:paraId="0A0FED5E" w14:textId="4EAE8B76" w:rsidR="00B83F26" w:rsidRPr="00987BFF" w:rsidRDefault="00B83F26" w:rsidP="00667726">
      <w:pPr>
        <w:pStyle w:val="l-L2"/>
        <w:numPr>
          <w:ilvl w:val="1"/>
          <w:numId w:val="10"/>
        </w:numPr>
        <w:spacing w:before="0" w:after="0" w:line="240" w:lineRule="auto"/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667726">
      <w:pPr>
        <w:pStyle w:val="l-L2"/>
        <w:numPr>
          <w:ilvl w:val="1"/>
          <w:numId w:val="10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667726">
      <w:pPr>
        <w:pStyle w:val="l-L2"/>
        <w:numPr>
          <w:ilvl w:val="1"/>
          <w:numId w:val="10"/>
        </w:num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667726">
      <w:pPr>
        <w:pStyle w:val="l-L2"/>
        <w:numPr>
          <w:ilvl w:val="1"/>
          <w:numId w:val="10"/>
        </w:numPr>
        <w:spacing w:before="0" w:after="0" w:line="240" w:lineRule="auto"/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667726">
      <w:pPr>
        <w:pStyle w:val="l-L2"/>
        <w:numPr>
          <w:ilvl w:val="0"/>
          <w:numId w:val="8"/>
        </w:numPr>
        <w:spacing w:before="0" w:after="0" w:line="240" w:lineRule="auto"/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667726">
      <w:pPr>
        <w:pStyle w:val="l-L2"/>
        <w:numPr>
          <w:ilvl w:val="1"/>
          <w:numId w:val="9"/>
        </w:numPr>
        <w:spacing w:before="0" w:after="0" w:line="240" w:lineRule="auto"/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1D45777" w:rsidR="00653A09" w:rsidRDefault="00DC05CC" w:rsidP="00667726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5765A8C5" w:rsidRPr="00602491">
        <w:rPr>
          <w:rFonts w:cs="Arial"/>
          <w:i/>
          <w:iCs/>
        </w:rPr>
        <w:t>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Default="00F16EEB" w:rsidP="00667726">
      <w:pPr>
        <w:pStyle w:val="l-L2"/>
        <w:spacing w:before="0" w:after="0" w:line="240" w:lineRule="auto"/>
        <w:rPr>
          <w:rFonts w:cs="Arial"/>
          <w:szCs w:val="22"/>
        </w:rPr>
      </w:pPr>
    </w:p>
    <w:p w14:paraId="6C32292C" w14:textId="77777777" w:rsidR="00667726" w:rsidRPr="00F16EEB" w:rsidRDefault="00667726" w:rsidP="00667726">
      <w:pPr>
        <w:pStyle w:val="l-L2"/>
        <w:spacing w:before="0" w:after="0" w:line="240" w:lineRule="auto"/>
        <w:rPr>
          <w:rFonts w:cs="Arial"/>
          <w:szCs w:val="22"/>
        </w:rPr>
      </w:pPr>
    </w:p>
    <w:p w14:paraId="4B3E1838" w14:textId="77777777" w:rsidR="009C0CA5" w:rsidRPr="00BB4EEA" w:rsidRDefault="009C0CA5" w:rsidP="00667726">
      <w:pPr>
        <w:pStyle w:val="l-L1"/>
        <w:spacing w:before="0" w:after="0" w:line="240" w:lineRule="auto"/>
      </w:pPr>
      <w:r w:rsidRPr="00BB4EEA">
        <w:t>Pojištění zhotovitele</w:t>
      </w:r>
    </w:p>
    <w:p w14:paraId="4B611416" w14:textId="624AC83D" w:rsidR="00E75F8D" w:rsidRDefault="009C0CA5" w:rsidP="00667726">
      <w:pPr>
        <w:pStyle w:val="l-L2"/>
        <w:numPr>
          <w:ilvl w:val="0"/>
          <w:numId w:val="7"/>
        </w:numPr>
        <w:spacing w:before="0" w:after="0" w:line="240" w:lineRule="auto"/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9A0462">
        <w:t>5 mil Kč</w:t>
      </w:r>
      <w:r w:rsidR="00E36A32" w:rsidRPr="00F16EEB">
        <w:t xml:space="preserve">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Default="00C76848" w:rsidP="00667726">
      <w:pPr>
        <w:pStyle w:val="l-L2"/>
        <w:spacing w:before="0" w:after="0" w:line="240" w:lineRule="auto"/>
      </w:pPr>
    </w:p>
    <w:p w14:paraId="364D3C27" w14:textId="77777777" w:rsidR="00293665" w:rsidRPr="00F16EEB" w:rsidRDefault="00293665" w:rsidP="00667726">
      <w:pPr>
        <w:pStyle w:val="l-L2"/>
        <w:spacing w:before="0" w:after="0" w:line="240" w:lineRule="auto"/>
      </w:pPr>
    </w:p>
    <w:p w14:paraId="34ECE874" w14:textId="03E37062" w:rsidR="00B83F26" w:rsidRPr="00D53952" w:rsidRDefault="00B83F26" w:rsidP="00667726">
      <w:pPr>
        <w:pStyle w:val="l-L1"/>
        <w:spacing w:before="0" w:after="0" w:line="240" w:lineRule="auto"/>
      </w:pPr>
      <w:r w:rsidRPr="00D53952">
        <w:t xml:space="preserve">Cena předmětu </w:t>
      </w:r>
      <w:r w:rsidR="0085556B" w:rsidRPr="00D53952">
        <w:t>díla</w:t>
      </w:r>
    </w:p>
    <w:p w14:paraId="4FE3AEF2" w14:textId="2EDD6487" w:rsidR="005C23CD" w:rsidRDefault="00254993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293665">
        <w:t xml:space="preserve">Objednatel se zavazuje zaplatit zhotoviteli za </w:t>
      </w:r>
      <w:r w:rsidR="006C3E38" w:rsidRPr="00293665">
        <w:t xml:space="preserve">řádné </w:t>
      </w:r>
      <w:r w:rsidRPr="00293665">
        <w:t>provedení díla cenu ve výš</w:t>
      </w:r>
      <w:r w:rsidR="00CE7F49" w:rsidRPr="00293665">
        <w:t>i</w:t>
      </w:r>
      <w:r w:rsidR="00E7769C" w:rsidRPr="00293665">
        <w:t xml:space="preserve"> 60 500,00</w:t>
      </w:r>
      <w:r w:rsidR="005C23CD" w:rsidRPr="00293665">
        <w:t xml:space="preserve"> </w:t>
      </w:r>
      <w:r w:rsidRPr="00293665">
        <w:t xml:space="preserve">Kč </w:t>
      </w:r>
      <w:r w:rsidR="000B3EB9" w:rsidRPr="00293665">
        <w:t>včetně</w:t>
      </w:r>
      <w:r w:rsidRPr="00293665">
        <w:t xml:space="preserve"> DPH </w:t>
      </w:r>
      <w:r w:rsidR="007C5C7F" w:rsidRPr="00293665">
        <w:t>(slovy:</w:t>
      </w:r>
      <w:r w:rsidR="00E7769C" w:rsidRPr="00293665">
        <w:t xml:space="preserve"> </w:t>
      </w:r>
      <w:proofErr w:type="spellStart"/>
      <w:r w:rsidR="00E7769C" w:rsidRPr="00293665">
        <w:t>šedesáttisícpětset</w:t>
      </w:r>
      <w:proofErr w:type="spellEnd"/>
      <w:r w:rsidR="00E7769C" w:rsidRPr="00293665">
        <w:t xml:space="preserve"> </w:t>
      </w:r>
      <w:r w:rsidR="005C23CD" w:rsidRPr="00293665">
        <w:t>korun českých</w:t>
      </w:r>
      <w:r w:rsidR="007C5C7F" w:rsidRPr="00293665">
        <w:t xml:space="preserve">.). Výše </w:t>
      </w:r>
      <w:r w:rsidRPr="00293665">
        <w:t xml:space="preserve">ceny díla </w:t>
      </w:r>
      <w:r w:rsidR="007C5C7F" w:rsidRPr="00293665">
        <w:t xml:space="preserve">byla stanovena dohodou smluvních stran na základě nabídky </w:t>
      </w:r>
      <w:r w:rsidR="002C491C" w:rsidRPr="00293665">
        <w:t xml:space="preserve">zhotovitele </w:t>
      </w:r>
      <w:r w:rsidR="007C5C7F" w:rsidRPr="00293665">
        <w:t xml:space="preserve">ze dne </w:t>
      </w:r>
      <w:r w:rsidR="00E7769C" w:rsidRPr="00293665">
        <w:t>23.</w:t>
      </w:r>
      <w:r w:rsidR="00293665">
        <w:t xml:space="preserve"> října </w:t>
      </w:r>
      <w:r w:rsidR="00E7769C" w:rsidRPr="00293665">
        <w:t>2025</w:t>
      </w:r>
      <w:r w:rsidR="00EC535B" w:rsidRPr="00293665">
        <w:t xml:space="preserve">. </w:t>
      </w:r>
      <w:r w:rsidR="007C5C7F" w:rsidRPr="00293665">
        <w:t xml:space="preserve">Tato </w:t>
      </w:r>
      <w:r w:rsidRPr="00293665">
        <w:t xml:space="preserve">cena </w:t>
      </w:r>
      <w:r w:rsidR="007C5C7F" w:rsidRPr="00293665">
        <w:t>je</w:t>
      </w:r>
      <w:r w:rsidR="00A22E65" w:rsidRPr="00293665">
        <w:t xml:space="preserve"> konečná</w:t>
      </w:r>
      <w:r w:rsidR="007C5C7F" w:rsidRPr="00293665">
        <w:t xml:space="preserve">. </w:t>
      </w:r>
      <w:r w:rsidR="00063376" w:rsidRPr="00293665">
        <w:t>V ceně jsou zahrnuty veškeré náklady poskytovatele související s</w:t>
      </w:r>
      <w:r w:rsidR="0096742C" w:rsidRPr="00293665">
        <w:t> </w:t>
      </w:r>
      <w:r w:rsidR="00063376" w:rsidRPr="00293665">
        <w:t>komplexním zajištěním celého předmětu smlouvy</w:t>
      </w:r>
      <w:r w:rsidR="0003533D" w:rsidRPr="00293665">
        <w:t>.</w:t>
      </w:r>
      <w:r w:rsidR="007214D7" w:rsidRPr="00293665">
        <w:t xml:space="preserve"> Celkovou cenu lze také změnit v souladu se ZZVZ a</w:t>
      </w:r>
      <w:r w:rsidR="00293665">
        <w:t> </w:t>
      </w:r>
      <w:r w:rsidR="007214D7" w:rsidRPr="00293665">
        <w:t>s</w:t>
      </w:r>
      <w:r w:rsidR="00293665">
        <w:t> </w:t>
      </w:r>
      <w:r w:rsidR="007214D7" w:rsidRPr="00293665">
        <w:t>ohledem na změnu termínu plnění.</w:t>
      </w:r>
    </w:p>
    <w:p w14:paraId="2162395A" w14:textId="77777777" w:rsidR="00293665" w:rsidRDefault="00293665" w:rsidP="00293665">
      <w:pPr>
        <w:pStyle w:val="l-L2"/>
        <w:spacing w:before="0" w:after="0" w:line="240" w:lineRule="auto"/>
      </w:pPr>
    </w:p>
    <w:p w14:paraId="1A2980CB" w14:textId="77777777" w:rsidR="00293665" w:rsidRPr="00293665" w:rsidRDefault="00293665" w:rsidP="00293665">
      <w:pPr>
        <w:pStyle w:val="l-L2"/>
        <w:spacing w:before="0" w:after="0" w:line="240" w:lineRule="auto"/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25496D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4158D5" w:rsidRPr="0025496D" w:rsidRDefault="004158D5" w:rsidP="00667726">
            <w:pPr>
              <w:spacing w:before="0" w:after="0" w:line="240" w:lineRule="auto"/>
              <w:rPr>
                <w:i/>
                <w:iCs/>
              </w:rPr>
            </w:pPr>
            <w:bookmarkStart w:id="3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25496D" w:rsidRDefault="004158D5" w:rsidP="00667726">
            <w:pPr>
              <w:spacing w:before="0" w:after="0" w:line="240" w:lineRule="auto"/>
              <w:rPr>
                <w:i/>
                <w:iCs/>
              </w:rPr>
            </w:pPr>
            <w:r w:rsidRPr="0025496D">
              <w:rPr>
                <w:i/>
                <w:iCs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25496D" w:rsidRDefault="004158D5" w:rsidP="00667726">
            <w:pPr>
              <w:spacing w:before="0" w:after="0" w:line="240" w:lineRule="auto"/>
              <w:rPr>
                <w:i/>
                <w:iCs/>
              </w:rPr>
            </w:pPr>
            <w:r w:rsidRPr="0025496D">
              <w:rPr>
                <w:i/>
                <w:iCs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25496D" w:rsidRDefault="004158D5" w:rsidP="00667726">
            <w:pPr>
              <w:spacing w:before="0" w:after="0" w:line="240" w:lineRule="auto"/>
              <w:rPr>
                <w:i/>
                <w:iCs/>
              </w:rPr>
            </w:pPr>
            <w:r w:rsidRPr="0025496D">
              <w:rPr>
                <w:i/>
                <w:iCs/>
              </w:rPr>
              <w:t>Cena vč. DPH (Kč)</w:t>
            </w:r>
          </w:p>
        </w:tc>
      </w:tr>
      <w:tr w:rsidR="004158D5" w:rsidRPr="0025496D" w14:paraId="20F2B23A" w14:textId="77777777" w:rsidTr="00E7769C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51C" w14:textId="7E665459" w:rsidR="004158D5" w:rsidRPr="00E7769C" w:rsidRDefault="00E7769C" w:rsidP="00667726">
            <w:pPr>
              <w:spacing w:before="0" w:after="0" w:line="240" w:lineRule="auto"/>
            </w:pPr>
            <w:r w:rsidRPr="00E7769C">
              <w:t>Průleh Pru5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2C1D" w14:textId="635ADF1E" w:rsidR="004158D5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1F50" w14:textId="15089B8E" w:rsidR="004158D5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C248B" w14:textId="064453E2" w:rsidR="004158D5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24 200,00</w:t>
            </w:r>
          </w:p>
        </w:tc>
      </w:tr>
      <w:tr w:rsidR="004158D5" w:rsidRPr="0025496D" w14:paraId="4365B59C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2AB9" w14:textId="36BEDB36" w:rsidR="004158D5" w:rsidRPr="00E7769C" w:rsidRDefault="00E7769C" w:rsidP="00667726">
            <w:pPr>
              <w:spacing w:before="0" w:after="0" w:line="240" w:lineRule="auto"/>
            </w:pPr>
            <w:r w:rsidRPr="00E7769C">
              <w:t>Průleh Pru6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B1E7" w14:textId="0A4BCE79" w:rsidR="004158D5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10 000,00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DBB0" w14:textId="41788C0B" w:rsidR="004158D5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2 100,00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0B0A7" w14:textId="4DC8CF9C" w:rsidR="004158D5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12 100,00</w:t>
            </w:r>
          </w:p>
        </w:tc>
      </w:tr>
      <w:tr w:rsidR="00E7769C" w:rsidRPr="0025496D" w14:paraId="4B66D02D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BBE9" w14:textId="31B62617" w:rsidR="00E7769C" w:rsidRPr="00E7769C" w:rsidRDefault="00E7769C" w:rsidP="00667726">
            <w:pPr>
              <w:spacing w:before="0" w:after="0" w:line="240" w:lineRule="auto"/>
            </w:pPr>
            <w:r w:rsidRPr="00E7769C">
              <w:t>Průleh Pru7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D821" w14:textId="11BD9294" w:rsidR="00E7769C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10 000,00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0E7A" w14:textId="589D8C1B" w:rsidR="00E7769C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C49C4" w14:textId="20774973" w:rsidR="00E7769C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12 100,00</w:t>
            </w:r>
          </w:p>
        </w:tc>
      </w:tr>
      <w:tr w:rsidR="00E7769C" w:rsidRPr="0025496D" w14:paraId="0B9FF32D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388D" w14:textId="19497428" w:rsidR="00E7769C" w:rsidRPr="00E7769C" w:rsidRDefault="00E7769C" w:rsidP="00667726">
            <w:pPr>
              <w:spacing w:before="0" w:after="0" w:line="240" w:lineRule="auto"/>
            </w:pPr>
            <w:r w:rsidRPr="00E7769C">
              <w:t>Propustek P2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2CB2" w14:textId="3A90AC9A" w:rsidR="00E7769C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A0B2" w14:textId="1F948F9D" w:rsidR="00E7769C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1 050,00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5CC6A" w14:textId="2BE9999B" w:rsidR="00E7769C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6 050,00</w:t>
            </w:r>
          </w:p>
        </w:tc>
      </w:tr>
      <w:tr w:rsidR="00E7769C" w:rsidRPr="0025496D" w14:paraId="6E59036C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B1C9" w14:textId="58AA67CB" w:rsidR="00E7769C" w:rsidRPr="00E7769C" w:rsidRDefault="00E7769C" w:rsidP="00667726">
            <w:pPr>
              <w:spacing w:before="0" w:after="0" w:line="240" w:lineRule="auto"/>
            </w:pPr>
            <w:r w:rsidRPr="00E7769C">
              <w:t>Brod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147B" w14:textId="1F195507" w:rsidR="00E7769C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8FD1" w14:textId="34449A09" w:rsidR="00E7769C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1 050,00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93CA9" w14:textId="370B297A" w:rsidR="00E7769C" w:rsidRPr="00E7769C" w:rsidRDefault="00E7769C" w:rsidP="00E7769C">
            <w:pPr>
              <w:spacing w:before="0" w:after="0" w:line="240" w:lineRule="auto"/>
              <w:jc w:val="right"/>
            </w:pPr>
            <w:r w:rsidRPr="00E7769C">
              <w:t>6 050,00</w:t>
            </w:r>
          </w:p>
        </w:tc>
      </w:tr>
      <w:tr w:rsidR="004158D5" w:rsidRPr="001068B7" w14:paraId="3AB1A1F2" w14:textId="77777777" w:rsidTr="00E7769C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4158D5" w:rsidRPr="0025496D" w:rsidRDefault="004158D5" w:rsidP="00667726">
            <w:pPr>
              <w:spacing w:before="0" w:after="0" w:line="240" w:lineRule="auto"/>
              <w:rPr>
                <w:i/>
                <w:iCs/>
              </w:rPr>
            </w:pPr>
            <w:r w:rsidRPr="0025496D">
              <w:rPr>
                <w:i/>
                <w:iCs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1F4BE32" w14:textId="77BCAF99" w:rsidR="004158D5" w:rsidRPr="0025496D" w:rsidRDefault="00E7769C" w:rsidP="00E7769C">
            <w:pPr>
              <w:spacing w:before="0"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531655A" w14:textId="4E0ECC90" w:rsidR="004158D5" w:rsidRPr="0025496D" w:rsidRDefault="00E7769C" w:rsidP="00E7769C">
            <w:pPr>
              <w:spacing w:before="0"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5309D15C" w14:textId="7C15A144" w:rsidR="004158D5" w:rsidRPr="0025496D" w:rsidRDefault="00E7769C" w:rsidP="00E7769C">
            <w:pPr>
              <w:spacing w:before="0"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60 500,00</w:t>
            </w:r>
          </w:p>
        </w:tc>
      </w:tr>
    </w:tbl>
    <w:bookmarkEnd w:id="3"/>
    <w:p w14:paraId="2E3897DA" w14:textId="707310BD" w:rsidR="003C6AA3" w:rsidRDefault="00701D8A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DA4B06">
        <w:t>Na faktuře pro objednatele bude zhotovitel uvádět:</w:t>
      </w:r>
    </w:p>
    <w:p w14:paraId="031E5C7A" w14:textId="791B82A4" w:rsidR="000A6E48" w:rsidRPr="00DA4B06" w:rsidRDefault="00FF0932" w:rsidP="00667726">
      <w:pPr>
        <w:pStyle w:val="l-L2"/>
        <w:spacing w:before="0" w:after="0" w:line="240" w:lineRule="auto"/>
        <w:ind w:left="357"/>
      </w:pPr>
      <w:r w:rsidRPr="00DA4B06">
        <w:t>Odběratel: Státní pozemkový úřad, Husinecká 1024/</w:t>
      </w:r>
      <w:proofErr w:type="gramStart"/>
      <w:r w:rsidRPr="00DA4B06">
        <w:t>11a</w:t>
      </w:r>
      <w:proofErr w:type="gramEnd"/>
      <w:r w:rsidRPr="00DA4B06">
        <w:t>, 130 00</w:t>
      </w:r>
      <w:r w:rsidR="00667726">
        <w:t xml:space="preserve"> </w:t>
      </w:r>
      <w:r w:rsidR="00667726" w:rsidRPr="00DA4B06">
        <w:t>Praha 3,</w:t>
      </w:r>
      <w:r w:rsidRPr="00DA4B06">
        <w:t xml:space="preserve"> IČO 01312774.</w:t>
      </w:r>
    </w:p>
    <w:p w14:paraId="4058E53E" w14:textId="6E02B12A" w:rsidR="000A6E48" w:rsidRPr="00DA4B06" w:rsidRDefault="00FF0932" w:rsidP="00667726">
      <w:pPr>
        <w:pStyle w:val="l-L2"/>
        <w:spacing w:before="0" w:after="0" w:line="240" w:lineRule="auto"/>
        <w:ind w:left="357"/>
      </w:pPr>
      <w:r>
        <w:t>Konečný příjemce: Státní pozemkový úřad</w:t>
      </w:r>
      <w:r w:rsidR="00667726">
        <w:t xml:space="preserve">, </w:t>
      </w:r>
      <w:r>
        <w:t>K</w:t>
      </w:r>
      <w:r w:rsidR="00667726">
        <w:t>rajský pozemkový úřad pro Jihomoravský kraj,</w:t>
      </w:r>
      <w:r>
        <w:t xml:space="preserve"> </w:t>
      </w:r>
      <w:r w:rsidR="00667726">
        <w:t>p</w:t>
      </w:r>
      <w:r>
        <w:t xml:space="preserve">obočka </w:t>
      </w:r>
      <w:r w:rsidR="00602491">
        <w:t>Blansko, Poříčí 1569/18, 678 01 Blansko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</w:t>
      </w:r>
      <w:r w:rsidR="00667726">
        <w:rPr>
          <w:rFonts w:eastAsia="Arial" w:cs="Arial"/>
          <w:szCs w:val="22"/>
        </w:rPr>
        <w:t> </w:t>
      </w:r>
      <w:r w:rsidR="58558F23" w:rsidRPr="000A7219">
        <w:rPr>
          <w:rFonts w:eastAsia="Arial" w:cs="Arial"/>
          <w:szCs w:val="22"/>
        </w:rPr>
        <w:t>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8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667726">
      <w:pPr>
        <w:pStyle w:val="l-L2"/>
        <w:numPr>
          <w:ilvl w:val="0"/>
          <w:numId w:val="16"/>
        </w:numPr>
        <w:spacing w:before="0" w:after="0" w:line="240" w:lineRule="auto"/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161575F4" w:rsidR="009F43E6" w:rsidRPr="009966C5" w:rsidRDefault="009F43E6" w:rsidP="00667726">
      <w:pPr>
        <w:pStyle w:val="l-L2"/>
        <w:numPr>
          <w:ilvl w:val="0"/>
          <w:numId w:val="16"/>
        </w:numPr>
        <w:spacing w:before="0" w:after="0" w:line="240" w:lineRule="auto"/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</w:t>
      </w:r>
      <w:r w:rsidR="00293665">
        <w:rPr>
          <w:bCs/>
        </w:rPr>
        <w:t> </w:t>
      </w:r>
      <w:r w:rsidRPr="009966C5">
        <w:rPr>
          <w:bCs/>
        </w:rPr>
        <w:t>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667726">
      <w:pPr>
        <w:pStyle w:val="l-L2"/>
        <w:numPr>
          <w:ilvl w:val="0"/>
          <w:numId w:val="16"/>
        </w:numPr>
        <w:spacing w:before="0" w:after="0" w:line="240" w:lineRule="auto"/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Default="0089381F" w:rsidP="00667726">
      <w:pPr>
        <w:pStyle w:val="l-L2"/>
        <w:spacing w:before="0" w:after="0" w:line="240" w:lineRule="auto"/>
      </w:pPr>
    </w:p>
    <w:p w14:paraId="3712FAF6" w14:textId="77777777" w:rsidR="00667726" w:rsidRPr="00D91927" w:rsidRDefault="00667726" w:rsidP="00667726">
      <w:pPr>
        <w:pStyle w:val="l-L2"/>
        <w:spacing w:before="0" w:after="0" w:line="240" w:lineRule="auto"/>
      </w:pPr>
    </w:p>
    <w:p w14:paraId="7BEDCDE7" w14:textId="7F7D51C2" w:rsidR="003620AC" w:rsidRPr="00D53952" w:rsidRDefault="003620AC" w:rsidP="00667726">
      <w:pPr>
        <w:pStyle w:val="l-L1"/>
        <w:spacing w:before="0" w:after="0" w:line="240" w:lineRule="auto"/>
      </w:pPr>
      <w:r w:rsidRPr="00D53952">
        <w:t>Smluvní pokuty a sankce</w:t>
      </w:r>
    </w:p>
    <w:p w14:paraId="6D0106EF" w14:textId="006325A9" w:rsidR="003620AC" w:rsidRPr="001C168E" w:rsidRDefault="003620AC" w:rsidP="00667726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667726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lastRenderedPageBreak/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 xml:space="preserve">smluvní pokutě </w:t>
      </w:r>
      <w:proofErr w:type="gramStart"/>
      <w:r w:rsidRPr="001C168E">
        <w:t>neruší</w:t>
      </w:r>
      <w:proofErr w:type="gramEnd"/>
      <w:r w:rsidRPr="001C168E">
        <w:t xml:space="preserve">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667726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667726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667726">
      <w:pPr>
        <w:pStyle w:val="l-L2"/>
        <w:spacing w:before="0" w:after="0" w:line="240" w:lineRule="auto"/>
      </w:pPr>
    </w:p>
    <w:p w14:paraId="4EAAFC05" w14:textId="77777777" w:rsidR="00863567" w:rsidRDefault="00863567" w:rsidP="00667726">
      <w:pPr>
        <w:pStyle w:val="l-L2"/>
        <w:spacing w:before="0" w:after="0" w:line="240" w:lineRule="auto"/>
      </w:pPr>
    </w:p>
    <w:p w14:paraId="605A530E" w14:textId="56D71DC7" w:rsidR="003620AC" w:rsidRPr="00D53952" w:rsidRDefault="003620AC" w:rsidP="00667726">
      <w:pPr>
        <w:pStyle w:val="l-L1"/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496D91D9" w:rsidR="003620AC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Objednatel si vyhrazuje právo na odstoupení od smlouvy ve vztahu k plnění v případě, že</w:t>
      </w:r>
      <w:r w:rsidR="00293665">
        <w:t> </w:t>
      </w:r>
      <w:r w:rsidRPr="00D12D68">
        <w:t xml:space="preserve">objednatel </w:t>
      </w:r>
      <w:proofErr w:type="gramStart"/>
      <w:r w:rsidRPr="00D12D68">
        <w:t>obdrží</w:t>
      </w:r>
      <w:proofErr w:type="gramEnd"/>
      <w:r w:rsidRPr="00D12D68">
        <w:t xml:space="preserve"> ze státního rozpočtu snížené množství finančních prostředků oproti množství požadovanému v období před započetím poskytování plnění, a dále v případě, pokud nedojde k realizaci stavby do </w:t>
      </w:r>
      <w:r w:rsidR="00602491">
        <w:t>31.12.2026</w:t>
      </w:r>
      <w:r w:rsidRPr="00D12D68">
        <w:t>.</w:t>
      </w:r>
    </w:p>
    <w:p w14:paraId="7E15ABA8" w14:textId="77777777" w:rsidR="00212DC4" w:rsidRPr="009966C5" w:rsidRDefault="00212DC4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Smlouva může být ukončena dohodou smluvních stran.</w:t>
      </w:r>
    </w:p>
    <w:p w14:paraId="5B50A7CA" w14:textId="77777777" w:rsidR="003620AC" w:rsidRDefault="003620AC" w:rsidP="00667726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Default="00D12D68" w:rsidP="00667726">
      <w:pPr>
        <w:pStyle w:val="l-L2"/>
        <w:spacing w:before="0" w:after="0" w:line="240" w:lineRule="auto"/>
      </w:pPr>
    </w:p>
    <w:p w14:paraId="72AC2001" w14:textId="77777777" w:rsidR="00293665" w:rsidRPr="00D12D68" w:rsidRDefault="00293665" w:rsidP="00667726">
      <w:pPr>
        <w:pStyle w:val="l-L2"/>
        <w:spacing w:before="0" w:after="0" w:line="240" w:lineRule="auto"/>
      </w:pPr>
    </w:p>
    <w:p w14:paraId="42518E4D" w14:textId="57E0EB93" w:rsidR="00B83F26" w:rsidRPr="00BC3C0B" w:rsidRDefault="00BC3C0B" w:rsidP="00667726">
      <w:pPr>
        <w:pStyle w:val="l-L1"/>
        <w:spacing w:before="0" w:after="0" w:line="240" w:lineRule="auto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E7769C" w:rsidRDefault="00E64472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E7769C">
        <w:t>Smluvní strany jsou si plně vědomy zákonné povinnosti u</w:t>
      </w:r>
      <w:r w:rsidR="003C703B" w:rsidRPr="00E7769C">
        <w:t>veřejnit dle zákona č.</w:t>
      </w:r>
      <w:r w:rsidR="00A2459C" w:rsidRPr="00E7769C">
        <w:t> </w:t>
      </w:r>
      <w:r w:rsidR="003C703B" w:rsidRPr="00E7769C">
        <w:t>340/2015 Sb., o zvláštních podmínkách účinnosti některých smluv, uveřejňování těchto smluv a o registru smluv (zákon o registru smluv)</w:t>
      </w:r>
      <w:r w:rsidRPr="00E7769C">
        <w:t xml:space="preserve"> ve znění pozdějších předpisů (dále jen „zákon o registru smluv“), tuto smlouvu včetně všech případných dohod, kterými se tato smlouva doplňuje, mění, nahrazuje nebo </w:t>
      </w:r>
      <w:proofErr w:type="gramStart"/>
      <w:r w:rsidRPr="00E7769C">
        <w:t>ruší</w:t>
      </w:r>
      <w:proofErr w:type="gramEnd"/>
      <w:r w:rsidRPr="00E7769C">
        <w:t>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E7769C" w:rsidRDefault="000571AA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E7769C">
        <w:t>Zhotovitel dále výslovně prohlašuje a bere na vědomí, že tato smlouva nepředstavuje jeho obchodní tajemství ani neobsahuje jeho důvěrné informace</w:t>
      </w:r>
      <w:r w:rsidR="001C5582" w:rsidRPr="00E7769C">
        <w:t xml:space="preserve"> a souhlasí s tím, aby </w:t>
      </w:r>
      <w:r w:rsidR="001C5582" w:rsidRPr="00E7769C">
        <w:lastRenderedPageBreak/>
        <w:t>tato smlouva, včetně veškerých změn a dodatků, byla v plném rozsahu</w:t>
      </w:r>
      <w:r w:rsidRPr="00E7769C">
        <w:t xml:space="preserve"> </w:t>
      </w:r>
      <w:r w:rsidR="001C5582" w:rsidRPr="00E7769C">
        <w:t>uv</w:t>
      </w:r>
      <w:r w:rsidR="00E7616C" w:rsidRPr="00E7769C">
        <w:t xml:space="preserve">eřejněna </w:t>
      </w:r>
      <w:r w:rsidRPr="00E7769C">
        <w:t>v registru smluv.</w:t>
      </w:r>
    </w:p>
    <w:p w14:paraId="16BED5EE" w14:textId="0AFD09D9" w:rsidR="00824479" w:rsidRPr="00BC3C0B" w:rsidRDefault="00616346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5DF0EA41" w:rsidR="000571AA" w:rsidRPr="00BC3C0B" w:rsidRDefault="000571AA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</w:t>
      </w:r>
      <w:r w:rsidR="00293665">
        <w:t> </w:t>
      </w:r>
      <w:r w:rsidRPr="00BC3C0B">
        <w:t>zákona č.</w:t>
      </w:r>
      <w:r w:rsidR="00A2459C">
        <w:t> </w:t>
      </w:r>
      <w:r w:rsidRPr="00BC3C0B">
        <w:t>110/2019 Sb.</w:t>
      </w:r>
      <w:r w:rsidR="00863567">
        <w:t>,</w:t>
      </w:r>
      <w:r w:rsidR="00863567" w:rsidRPr="00BC3C0B">
        <w:t xml:space="preserve"> o zpracování osobních údajů</w:t>
      </w:r>
      <w:r w:rsidR="00863567">
        <w:t>, ve znění pozdějších předpisů,</w:t>
      </w:r>
      <w:r w:rsidR="00863567" w:rsidRPr="00BC3C0B">
        <w:t xml:space="preserve"> </w:t>
      </w:r>
      <w:r w:rsidRPr="00BC3C0B">
        <w:t>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863567">
        <w:t>o</w:t>
      </w:r>
      <w:r w:rsidR="006160AE">
        <w:t>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2E1D6E53" w:rsidR="0076345A" w:rsidRPr="00691E86" w:rsidRDefault="0076345A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Smlouva nabývá platnosti dnem podpisu smluvních stran</w:t>
      </w:r>
      <w:r w:rsidR="00035616">
        <w:t xml:space="preserve"> </w:t>
      </w:r>
      <w:r w:rsidR="00035616" w:rsidRPr="00691E86">
        <w:t>a účinnosti dnem jejího uveřejnění v</w:t>
      </w:r>
      <w:r w:rsidRPr="00691E86">
        <w:t xml:space="preserve"> registru smluv dle </w:t>
      </w:r>
      <w:proofErr w:type="spellStart"/>
      <w:r w:rsidRPr="00691E86">
        <w:t>ust</w:t>
      </w:r>
      <w:proofErr w:type="spellEnd"/>
      <w:r w:rsidRPr="00691E86">
        <w:t>. §</w:t>
      </w:r>
      <w:r w:rsidR="00281042" w:rsidRPr="00691E86">
        <w:t> </w:t>
      </w:r>
      <w:r w:rsidRPr="00691E86">
        <w:t>6 odst.</w:t>
      </w:r>
      <w:r w:rsidR="00281042" w:rsidRPr="00691E86">
        <w:t> </w:t>
      </w:r>
      <w:r w:rsidRPr="00691E86">
        <w:t>1 zákona</w:t>
      </w:r>
      <w:r w:rsidR="00293665" w:rsidRPr="00293665">
        <w:t xml:space="preserve"> </w:t>
      </w:r>
      <w:r w:rsidR="00293665" w:rsidRPr="00E7769C">
        <w:t>č. 340/2015 Sb., o zvláštních podmínkách účinnosti některých smluv, uveřejňování těchto smluv a o registru smluv (zákon o registru smluv) ve znění pozdějších předpisů</w:t>
      </w:r>
      <w:r w:rsidRPr="00691E86">
        <w:t>.</w:t>
      </w:r>
    </w:p>
    <w:p w14:paraId="0EA3CAA4" w14:textId="77777777" w:rsidR="0076345A" w:rsidRPr="00BC3C0B" w:rsidRDefault="0076345A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691E86">
        <w:t>Stane-li se některé ustanovení této smlouvy neplatné či neúčinné, nedotýká se to ostatních</w:t>
      </w:r>
      <w:r w:rsidRPr="00BC3C0B">
        <w:t xml:space="preserve">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</w:t>
      </w:r>
      <w:r w:rsidRPr="00BC3C0B">
        <w:lastRenderedPageBreak/>
        <w:t>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667726">
      <w:pPr>
        <w:pStyle w:val="l-L2"/>
        <w:numPr>
          <w:ilvl w:val="0"/>
          <w:numId w:val="3"/>
        </w:numPr>
        <w:spacing w:before="0" w:after="0" w:line="240" w:lineRule="auto"/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667726">
      <w:pPr>
        <w:pStyle w:val="l-L2"/>
        <w:spacing w:before="0" w:after="0" w:line="240" w:lineRule="auto"/>
      </w:pPr>
    </w:p>
    <w:p w14:paraId="4A17A44D" w14:textId="515EF9CF" w:rsidR="00654BF5" w:rsidRPr="00654BF5" w:rsidRDefault="009133E2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F11E47">
        <w:rPr>
          <w:rFonts w:cs="Arial"/>
          <w:szCs w:val="24"/>
        </w:rPr>
        <w:t xml:space="preserve"> Blansku,</w:t>
      </w:r>
      <w:r w:rsidR="00654BF5" w:rsidRPr="00654BF5">
        <w:rPr>
          <w:rFonts w:cs="Arial"/>
          <w:szCs w:val="24"/>
        </w:rPr>
        <w:t xml:space="preserve"> dne</w:t>
      </w:r>
      <w:r w:rsidR="00F11E47">
        <w:rPr>
          <w:rFonts w:cs="Arial"/>
          <w:szCs w:val="24"/>
        </w:rPr>
        <w:t xml:space="preserve"> </w:t>
      </w:r>
      <w:r w:rsidR="009C6340">
        <w:rPr>
          <w:rFonts w:cs="Arial"/>
          <w:szCs w:val="24"/>
        </w:rPr>
        <w:t>6. listopadu 2025</w:t>
      </w:r>
      <w:r w:rsidR="00654BF5" w:rsidRPr="00654BF5">
        <w:rPr>
          <w:rFonts w:cs="Arial"/>
          <w:szCs w:val="24"/>
        </w:rPr>
        <w:tab/>
        <w:t>V</w:t>
      </w:r>
      <w:r w:rsidR="00691E86">
        <w:rPr>
          <w:rFonts w:cs="Arial"/>
          <w:szCs w:val="24"/>
        </w:rPr>
        <w:t xml:space="preserve"> Brně</w:t>
      </w:r>
      <w:r w:rsidR="00F11E47">
        <w:rPr>
          <w:rFonts w:cs="Arial"/>
          <w:szCs w:val="24"/>
        </w:rPr>
        <w:t>,</w:t>
      </w:r>
      <w:r w:rsidR="00654BF5" w:rsidRPr="00654BF5">
        <w:rPr>
          <w:rFonts w:cs="Arial"/>
          <w:szCs w:val="24"/>
        </w:rPr>
        <w:t xml:space="preserve"> dne</w:t>
      </w:r>
      <w:r w:rsidR="00F11E47">
        <w:rPr>
          <w:rFonts w:cs="Arial"/>
          <w:szCs w:val="24"/>
        </w:rPr>
        <w:t xml:space="preserve"> </w:t>
      </w:r>
      <w:r w:rsidR="009C6340">
        <w:rPr>
          <w:rFonts w:cs="Arial"/>
          <w:szCs w:val="24"/>
        </w:rPr>
        <w:t>6. listopadu 2025</w:t>
      </w:r>
    </w:p>
    <w:p w14:paraId="0807000F" w14:textId="77777777" w:rsidR="00654BF5" w:rsidRDefault="00654BF5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0944B062" w14:textId="77777777" w:rsidR="00F11E47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5333C52F" w14:textId="77777777" w:rsidR="00F11E47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6EB6E864" w14:textId="77777777" w:rsidR="00F11E47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26B273F5" w14:textId="53139C59" w:rsidR="00F11E47" w:rsidRPr="00F11E47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i/>
          <w:iCs/>
          <w:sz w:val="20"/>
        </w:rPr>
      </w:pPr>
      <w:r w:rsidRPr="00F11E47">
        <w:rPr>
          <w:rFonts w:cs="Arial"/>
          <w:i/>
          <w:iCs/>
          <w:sz w:val="20"/>
        </w:rPr>
        <w:t>„elektronicky podepsáno“</w:t>
      </w:r>
      <w:r w:rsidR="009C6340">
        <w:rPr>
          <w:rFonts w:cs="Arial"/>
          <w:i/>
          <w:iCs/>
          <w:sz w:val="20"/>
        </w:rPr>
        <w:tab/>
        <w:t>„elektronicky podepsáno“</w:t>
      </w:r>
    </w:p>
    <w:p w14:paraId="4158FBC4" w14:textId="77777777" w:rsidR="00F11E47" w:rsidRPr="00654BF5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0E5B9C10" w14:textId="0A374D91" w:rsidR="00602491" w:rsidRDefault="00602491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JUDr. Ivana Antlová</w:t>
      </w:r>
      <w:r w:rsidR="00F11E47">
        <w:rPr>
          <w:rFonts w:cs="Arial"/>
          <w:szCs w:val="24"/>
        </w:rPr>
        <w:tab/>
      </w:r>
      <w:r w:rsidR="00691E86">
        <w:rPr>
          <w:rFonts w:cs="Arial"/>
          <w:szCs w:val="24"/>
        </w:rPr>
        <w:t>Ing. Vítězslav Hráček</w:t>
      </w:r>
    </w:p>
    <w:p w14:paraId="0D6F049E" w14:textId="51B8E449" w:rsidR="00602491" w:rsidRDefault="00602491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vedoucí pobočky Blansko</w:t>
      </w:r>
      <w:r w:rsidR="00F11E47">
        <w:rPr>
          <w:rFonts w:cs="Arial"/>
          <w:szCs w:val="24"/>
        </w:rPr>
        <w:tab/>
      </w:r>
      <w:r w:rsidR="00691E86">
        <w:rPr>
          <w:rFonts w:cs="Arial"/>
          <w:szCs w:val="24"/>
        </w:rPr>
        <w:t>Vodohospodářský atelier, s.r.o.</w:t>
      </w:r>
    </w:p>
    <w:p w14:paraId="471BDC27" w14:textId="0652FD2E" w:rsidR="00602491" w:rsidRDefault="00602491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Státní pozemkový úřad</w:t>
      </w:r>
      <w:r w:rsidR="00F11E47">
        <w:rPr>
          <w:rFonts w:cs="Arial"/>
          <w:szCs w:val="24"/>
        </w:rPr>
        <w:tab/>
      </w:r>
    </w:p>
    <w:p w14:paraId="1EB32F29" w14:textId="7CFA485F" w:rsidR="00654BF5" w:rsidRPr="00654BF5" w:rsidRDefault="00F11E47" w:rsidP="00667726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(o</w:t>
      </w:r>
      <w:r w:rsidR="00654BF5" w:rsidRPr="00654BF5">
        <w:rPr>
          <w:rFonts w:cs="Arial"/>
          <w:szCs w:val="24"/>
        </w:rPr>
        <w:t>bjednatel</w:t>
      </w:r>
      <w:r>
        <w:rPr>
          <w:rFonts w:cs="Arial"/>
          <w:szCs w:val="24"/>
        </w:rPr>
        <w:t>)</w:t>
      </w:r>
      <w:r w:rsidR="00654BF5" w:rsidRPr="00654BF5">
        <w:rPr>
          <w:rFonts w:cs="Arial"/>
          <w:szCs w:val="24"/>
        </w:rPr>
        <w:tab/>
      </w:r>
      <w:r>
        <w:rPr>
          <w:rFonts w:cs="Arial"/>
          <w:szCs w:val="24"/>
        </w:rPr>
        <w:t>(z</w:t>
      </w:r>
      <w:r w:rsidR="00654BF5" w:rsidRPr="00654BF5">
        <w:rPr>
          <w:rFonts w:cs="Arial"/>
          <w:szCs w:val="24"/>
        </w:rPr>
        <w:t>hotovitel</w:t>
      </w:r>
      <w:r>
        <w:rPr>
          <w:rFonts w:cs="Arial"/>
          <w:szCs w:val="24"/>
        </w:rPr>
        <w:t>)</w:t>
      </w:r>
    </w:p>
    <w:sectPr w:rsidR="00654BF5" w:rsidRPr="00654BF5" w:rsidSect="008915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667726" w:rsidRDefault="00B94C77" w:rsidP="00DB5561">
    <w:pPr>
      <w:jc w:val="center"/>
      <w:rPr>
        <w:sz w:val="16"/>
        <w:szCs w:val="16"/>
      </w:rPr>
    </w:pPr>
    <w:r w:rsidRPr="00667726">
      <w:rPr>
        <w:sz w:val="16"/>
        <w:szCs w:val="16"/>
      </w:rPr>
      <w:fldChar w:fldCharType="begin"/>
    </w:r>
    <w:r w:rsidRPr="00667726">
      <w:rPr>
        <w:sz w:val="16"/>
        <w:szCs w:val="16"/>
      </w:rPr>
      <w:instrText xml:space="preserve"> PAGE   \* MERGEFORMAT </w:instrText>
    </w:r>
    <w:r w:rsidRPr="00667726">
      <w:rPr>
        <w:sz w:val="16"/>
        <w:szCs w:val="16"/>
      </w:rPr>
      <w:fldChar w:fldCharType="separate"/>
    </w:r>
    <w:r w:rsidRPr="00667726">
      <w:rPr>
        <w:noProof/>
        <w:sz w:val="16"/>
        <w:szCs w:val="16"/>
      </w:rPr>
      <w:t>2</w:t>
    </w:r>
    <w:r w:rsidRPr="00667726">
      <w:rPr>
        <w:sz w:val="16"/>
        <w:szCs w:val="16"/>
      </w:rPr>
      <w:fldChar w:fldCharType="end"/>
    </w:r>
    <w:r w:rsidRPr="00667726">
      <w:rPr>
        <w:sz w:val="16"/>
        <w:szCs w:val="16"/>
      </w:rPr>
      <w:t>/</w:t>
    </w:r>
    <w:r w:rsidR="00F11E47" w:rsidRPr="00667726">
      <w:rPr>
        <w:sz w:val="16"/>
        <w:szCs w:val="16"/>
      </w:rPr>
      <w:fldChar w:fldCharType="begin"/>
    </w:r>
    <w:r w:rsidR="00F11E47" w:rsidRPr="00667726">
      <w:rPr>
        <w:sz w:val="16"/>
        <w:szCs w:val="16"/>
      </w:rPr>
      <w:instrText>NUMPAGES   \* MERGEFORMAT</w:instrText>
    </w:r>
    <w:r w:rsidR="00F11E47" w:rsidRPr="00667726">
      <w:rPr>
        <w:sz w:val="16"/>
        <w:szCs w:val="16"/>
      </w:rPr>
      <w:fldChar w:fldCharType="separate"/>
    </w:r>
    <w:r w:rsidRPr="00667726">
      <w:rPr>
        <w:noProof/>
        <w:sz w:val="16"/>
        <w:szCs w:val="16"/>
      </w:rPr>
      <w:t>9</w:t>
    </w:r>
    <w:r w:rsidR="00F11E47" w:rsidRPr="0066772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7B33" w14:textId="7E0636C5" w:rsidR="00667726" w:rsidRPr="00667726" w:rsidRDefault="00667726" w:rsidP="00667726">
    <w:pPr>
      <w:spacing w:before="0" w:after="0" w:line="240" w:lineRule="auto"/>
      <w:jc w:val="right"/>
      <w:rPr>
        <w:sz w:val="16"/>
        <w:szCs w:val="16"/>
      </w:rPr>
    </w:pPr>
    <w:r w:rsidRPr="00667726">
      <w:rPr>
        <w:sz w:val="16"/>
        <w:szCs w:val="16"/>
      </w:rPr>
      <w:t>Číslo smlouvy objednatele:</w:t>
    </w:r>
    <w:r w:rsidR="009A0462">
      <w:rPr>
        <w:sz w:val="16"/>
        <w:szCs w:val="16"/>
      </w:rPr>
      <w:t>1168-2025-523202</w:t>
    </w:r>
  </w:p>
  <w:p w14:paraId="02A69673" w14:textId="7D5D132E" w:rsidR="00B94C77" w:rsidRPr="00667726" w:rsidRDefault="00B94C77" w:rsidP="00667726">
    <w:pPr>
      <w:spacing w:before="0" w:after="0" w:line="240" w:lineRule="auto"/>
      <w:jc w:val="right"/>
      <w:rPr>
        <w:sz w:val="16"/>
        <w:szCs w:val="16"/>
      </w:rPr>
    </w:pPr>
    <w:r w:rsidRPr="00667726">
      <w:rPr>
        <w:sz w:val="16"/>
        <w:szCs w:val="16"/>
      </w:rPr>
      <w:t>Čj. objednatele:</w:t>
    </w:r>
    <w:r w:rsidR="009A0462" w:rsidRPr="009A0462">
      <w:t xml:space="preserve"> </w:t>
    </w:r>
    <w:r w:rsidR="009A0462" w:rsidRPr="009A0462">
      <w:rPr>
        <w:sz w:val="16"/>
        <w:szCs w:val="16"/>
      </w:rPr>
      <w:t>SPU 446780/2025</w:t>
    </w:r>
  </w:p>
  <w:p w14:paraId="02637811" w14:textId="294BFC35" w:rsidR="00667726" w:rsidRPr="00667726" w:rsidRDefault="00667726" w:rsidP="00667726">
    <w:pPr>
      <w:spacing w:before="0" w:after="0" w:line="240" w:lineRule="auto"/>
      <w:jc w:val="right"/>
      <w:rPr>
        <w:sz w:val="16"/>
        <w:szCs w:val="16"/>
      </w:rPr>
    </w:pPr>
    <w:r w:rsidRPr="00667726">
      <w:rPr>
        <w:sz w:val="16"/>
        <w:szCs w:val="16"/>
      </w:rPr>
      <w:t>UID:</w:t>
    </w:r>
    <w:r w:rsidR="009A0462" w:rsidRPr="009A0462">
      <w:t xml:space="preserve"> </w:t>
    </w:r>
    <w:r w:rsidR="009A0462" w:rsidRPr="009A0462">
      <w:rPr>
        <w:sz w:val="16"/>
        <w:szCs w:val="16"/>
      </w:rPr>
      <w:t>spudms00000016089512</w:t>
    </w:r>
  </w:p>
  <w:p w14:paraId="4BE65E1E" w14:textId="15BD5529" w:rsidR="00B94C77" w:rsidRPr="00667726" w:rsidRDefault="00B94C77" w:rsidP="00667726">
    <w:pPr>
      <w:spacing w:before="0" w:after="0" w:line="240" w:lineRule="auto"/>
      <w:jc w:val="right"/>
      <w:rPr>
        <w:sz w:val="16"/>
        <w:szCs w:val="16"/>
      </w:rPr>
    </w:pPr>
    <w:r w:rsidRPr="00667726">
      <w:rPr>
        <w:sz w:val="16"/>
        <w:szCs w:val="16"/>
      </w:rPr>
      <w:t>Č</w:t>
    </w:r>
    <w:r w:rsidR="00667726" w:rsidRPr="00667726">
      <w:rPr>
        <w:sz w:val="16"/>
        <w:szCs w:val="16"/>
      </w:rPr>
      <w:t>íslo smlouvy</w:t>
    </w:r>
    <w:r w:rsidRPr="00667726">
      <w:rPr>
        <w:sz w:val="16"/>
        <w:szCs w:val="16"/>
      </w:rPr>
      <w:t xml:space="preserve">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245F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8F5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A4E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26EB6"/>
    <w:rsid w:val="00234282"/>
    <w:rsid w:val="002404EF"/>
    <w:rsid w:val="0024062A"/>
    <w:rsid w:val="00245A3C"/>
    <w:rsid w:val="00246039"/>
    <w:rsid w:val="00252B50"/>
    <w:rsid w:val="002540F0"/>
    <w:rsid w:val="0025496D"/>
    <w:rsid w:val="00254993"/>
    <w:rsid w:val="00264E49"/>
    <w:rsid w:val="00265FAA"/>
    <w:rsid w:val="00270033"/>
    <w:rsid w:val="00272DAD"/>
    <w:rsid w:val="00281042"/>
    <w:rsid w:val="002876AC"/>
    <w:rsid w:val="00293665"/>
    <w:rsid w:val="00294A9D"/>
    <w:rsid w:val="00296DB2"/>
    <w:rsid w:val="002973F2"/>
    <w:rsid w:val="002A1176"/>
    <w:rsid w:val="002A2CF6"/>
    <w:rsid w:val="002A41D1"/>
    <w:rsid w:val="002A67F4"/>
    <w:rsid w:val="002B171C"/>
    <w:rsid w:val="002B1C6A"/>
    <w:rsid w:val="002B264E"/>
    <w:rsid w:val="002B326D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0C1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47057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1E9F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02491"/>
    <w:rsid w:val="00613E9A"/>
    <w:rsid w:val="006160AE"/>
    <w:rsid w:val="00616346"/>
    <w:rsid w:val="0061794B"/>
    <w:rsid w:val="00622A24"/>
    <w:rsid w:val="00623772"/>
    <w:rsid w:val="006415A7"/>
    <w:rsid w:val="006464FF"/>
    <w:rsid w:val="00653A09"/>
    <w:rsid w:val="006543D6"/>
    <w:rsid w:val="00654BF5"/>
    <w:rsid w:val="00656DEE"/>
    <w:rsid w:val="006642C9"/>
    <w:rsid w:val="006662DA"/>
    <w:rsid w:val="00667726"/>
    <w:rsid w:val="00683F62"/>
    <w:rsid w:val="00691E86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1CC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3567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0462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340"/>
    <w:rsid w:val="009C6441"/>
    <w:rsid w:val="009C6A12"/>
    <w:rsid w:val="009C6AEC"/>
    <w:rsid w:val="009D3BAE"/>
    <w:rsid w:val="009D5790"/>
    <w:rsid w:val="009D6966"/>
    <w:rsid w:val="009E73D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E72C7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09D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2C41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356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C6A12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7769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1E47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468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05A4-910E-48D2-B72F-83217BB6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3612</Words>
  <Characters>21313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2025-11-06T08:06:00Z</dcterms:created>
  <dcterms:modified xsi:type="dcterms:W3CDTF">2025-11-06T08:06:00Z</dcterms:modified>
</cp:coreProperties>
</file>