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FFCB23C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72589A">
        <w:rPr>
          <w:rFonts w:ascii="Arial" w:hAnsi="Arial" w:cs="Arial"/>
          <w:b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1F5C29" w:rsidRPr="008D5D2A">
        <w:rPr>
          <w:rFonts w:ascii="Arial" w:hAnsi="Arial" w:cs="Arial"/>
          <w:b/>
          <w:bCs/>
          <w:sz w:val="18"/>
          <w:szCs w:val="18"/>
        </w:rPr>
        <w:t>18</w:t>
      </w:r>
      <w:r w:rsidR="0079587D" w:rsidRPr="008D5D2A">
        <w:rPr>
          <w:rFonts w:ascii="Arial" w:hAnsi="Arial" w:cs="Arial"/>
          <w:b/>
          <w:bCs/>
          <w:sz w:val="18"/>
          <w:szCs w:val="18"/>
        </w:rPr>
        <w:t>/</w:t>
      </w:r>
      <w:r w:rsidR="0079587D">
        <w:rPr>
          <w:rFonts w:ascii="Arial" w:hAnsi="Arial" w:cs="Arial"/>
          <w:b/>
          <w:sz w:val="18"/>
          <w:szCs w:val="18"/>
        </w:rPr>
        <w:t>2022-504202</w:t>
      </w:r>
    </w:p>
    <w:p w14:paraId="5BA2FEC2" w14:textId="2AE71D25" w:rsidR="00035962" w:rsidRDefault="006C59F8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 </w:t>
      </w:r>
      <w:r w:rsidR="005A0C8F">
        <w:rPr>
          <w:rFonts w:ascii="Arial" w:hAnsi="Arial" w:cs="Arial"/>
          <w:sz w:val="18"/>
          <w:szCs w:val="18"/>
        </w:rPr>
        <w:t xml:space="preserve"> 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="00035962" w:rsidRPr="00035962">
        <w:rPr>
          <w:rFonts w:ascii="Arial" w:hAnsi="Arial" w:cs="Arial"/>
          <w:sz w:val="18"/>
          <w:szCs w:val="18"/>
        </w:rPr>
        <w:t xml:space="preserve">SPU </w:t>
      </w:r>
      <w:r w:rsidR="001861C9">
        <w:rPr>
          <w:rFonts w:ascii="Arial" w:hAnsi="Arial" w:cs="Arial"/>
          <w:sz w:val="18"/>
          <w:szCs w:val="18"/>
        </w:rPr>
        <w:t>425631/2025</w:t>
      </w:r>
      <w:r w:rsidR="00035962">
        <w:rPr>
          <w:rFonts w:ascii="Arial" w:hAnsi="Arial" w:cs="Arial"/>
          <w:sz w:val="18"/>
          <w:szCs w:val="18"/>
        </w:rPr>
        <w:tab/>
      </w:r>
      <w:r w:rsidR="00035962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UID:</w:t>
      </w:r>
      <w:r w:rsidR="001861C9">
        <w:rPr>
          <w:rFonts w:ascii="Arial" w:hAnsi="Arial" w:cs="Arial"/>
          <w:sz w:val="18"/>
          <w:szCs w:val="18"/>
        </w:rPr>
        <w:t xml:space="preserve"> </w:t>
      </w:r>
      <w:r w:rsidR="001861C9" w:rsidRPr="001861C9">
        <w:rPr>
          <w:rFonts w:ascii="Arial" w:hAnsi="Arial" w:cs="Arial"/>
          <w:sz w:val="18"/>
          <w:szCs w:val="18"/>
        </w:rPr>
        <w:t>spudms00000016040101</w:t>
      </w:r>
    </w:p>
    <w:p w14:paraId="465051C2" w14:textId="1605888D" w:rsidR="00035962" w:rsidRP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SPIS č. j.: </w:t>
      </w:r>
      <w:r w:rsidR="001861C9">
        <w:rPr>
          <w:rFonts w:ascii="Arial" w:hAnsi="Arial" w:cs="Arial"/>
          <w:sz w:val="18"/>
          <w:szCs w:val="18"/>
        </w:rPr>
        <w:t>SP2306/2022-504202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72FA5A9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72589A">
        <w:rPr>
          <w:rFonts w:ascii="Arial" w:hAnsi="Arial" w:cs="Arial"/>
          <w:caps/>
          <w:sz w:val="28"/>
          <w:szCs w:val="28"/>
        </w:rPr>
        <w:t>4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6AE97E2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1F5C29">
        <w:rPr>
          <w:rFonts w:ascii="Arial" w:hAnsi="Arial" w:cs="Arial"/>
          <w:b w:val="0"/>
          <w:sz w:val="22"/>
          <w:szCs w:val="22"/>
        </w:rPr>
        <w:t>18</w:t>
      </w:r>
      <w:r w:rsidR="005D624F" w:rsidRPr="009129F2">
        <w:rPr>
          <w:rFonts w:ascii="Arial" w:hAnsi="Arial" w:cs="Arial"/>
          <w:b w:val="0"/>
          <w:sz w:val="22"/>
          <w:szCs w:val="22"/>
        </w:rPr>
        <w:t>/2022-504202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BF0485">
        <w:rPr>
          <w:rFonts w:ascii="Arial" w:hAnsi="Arial" w:cs="Arial"/>
          <w:b w:val="0"/>
          <w:sz w:val="22"/>
          <w:szCs w:val="22"/>
        </w:rPr>
        <w:t>19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BF0485">
        <w:rPr>
          <w:rFonts w:ascii="Arial" w:hAnsi="Arial" w:cs="Arial"/>
          <w:b w:val="0"/>
          <w:sz w:val="22"/>
          <w:szCs w:val="22"/>
        </w:rPr>
        <w:t>08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2022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69E3EFB0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Mračnice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7F0AE7B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EB48ED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4992F368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F51FDD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6F10421F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900934">
        <w:rPr>
          <w:rFonts w:ascii="Arial" w:hAnsi="Arial" w:cs="Arial"/>
          <w:b/>
          <w:sz w:val="22"/>
          <w:szCs w:val="22"/>
        </w:rPr>
        <w:t>POZEMKOVÉ ÚPRAVY K+V s.r.o.</w:t>
      </w:r>
    </w:p>
    <w:p w14:paraId="07C1B56A" w14:textId="4BFA5143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D1D1A">
        <w:rPr>
          <w:rFonts w:ascii="Arial" w:hAnsi="Arial" w:cs="Arial"/>
          <w:sz w:val="22"/>
          <w:szCs w:val="22"/>
        </w:rPr>
        <w:t>Plachého 40</w:t>
      </w:r>
      <w:r w:rsidRPr="00A0166E">
        <w:rPr>
          <w:rFonts w:ascii="Arial" w:hAnsi="Arial" w:cs="Arial"/>
          <w:sz w:val="22"/>
          <w:szCs w:val="22"/>
        </w:rPr>
        <w:t>, Plzeň</w:t>
      </w:r>
    </w:p>
    <w:p w14:paraId="2D594DFE" w14:textId="24CE17E1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9B3E6B" w:rsidRPr="009B3E6B">
        <w:rPr>
          <w:rFonts w:ascii="Arial" w:hAnsi="Arial" w:cs="Arial"/>
          <w:sz w:val="22"/>
          <w:szCs w:val="22"/>
        </w:rPr>
        <w:t>Mgr. Barbora Salátová, jednatelem společnosti</w:t>
      </w:r>
    </w:p>
    <w:p w14:paraId="5611E2BD" w14:textId="43B63B45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E51C6" w:rsidRPr="007E51C6">
        <w:rPr>
          <w:rFonts w:ascii="Arial" w:hAnsi="Arial" w:cs="Arial"/>
          <w:sz w:val="22"/>
          <w:szCs w:val="22"/>
        </w:rPr>
        <w:t xml:space="preserve">Mgr. Barbora Salátová, </w:t>
      </w:r>
      <w:r w:rsidR="004F6518">
        <w:rPr>
          <w:rFonts w:ascii="Arial" w:hAnsi="Arial" w:cs="Arial"/>
          <w:sz w:val="22"/>
          <w:szCs w:val="22"/>
        </w:rPr>
        <w:t>jednatel společnosti</w:t>
      </w:r>
    </w:p>
    <w:p w14:paraId="073441DB" w14:textId="2E463603" w:rsidR="00762660" w:rsidRPr="00516515" w:rsidRDefault="00762660" w:rsidP="00701C2D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4F6518">
        <w:rPr>
          <w:rFonts w:ascii="Arial" w:hAnsi="Arial" w:cs="Arial"/>
          <w:sz w:val="22"/>
          <w:szCs w:val="22"/>
        </w:rPr>
        <w:t>xxx</w:t>
      </w:r>
      <w:proofErr w:type="spellEnd"/>
    </w:p>
    <w:p w14:paraId="7ACF3630" w14:textId="535A1CE7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4F6518">
        <w:rPr>
          <w:rFonts w:ascii="Arial" w:hAnsi="Arial" w:cs="Arial"/>
          <w:sz w:val="22"/>
          <w:szCs w:val="22"/>
        </w:rPr>
        <w:t>xxx</w:t>
      </w:r>
      <w:proofErr w:type="spellEnd"/>
    </w:p>
    <w:p w14:paraId="7A5EC226" w14:textId="590B697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4F6518">
        <w:rPr>
          <w:rFonts w:ascii="Arial" w:hAnsi="Arial" w:cs="Arial"/>
          <w:sz w:val="22"/>
          <w:szCs w:val="22"/>
        </w:rPr>
        <w:t>xxx</w:t>
      </w:r>
      <w:proofErr w:type="spellEnd"/>
    </w:p>
    <w:p w14:paraId="204B2F9B" w14:textId="51F33BF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4D6541" w:rsidRPr="004D6541">
        <w:rPr>
          <w:rFonts w:ascii="Arial" w:hAnsi="Arial" w:cs="Arial"/>
          <w:sz w:val="22"/>
          <w:szCs w:val="22"/>
        </w:rPr>
        <w:t>qzhp5bf</w:t>
      </w:r>
    </w:p>
    <w:p w14:paraId="7F6E1443" w14:textId="7C12ADF9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6631B4" w:rsidRPr="006631B4">
        <w:rPr>
          <w:rFonts w:ascii="Arial" w:hAnsi="Arial" w:cs="Arial"/>
          <w:sz w:val="22"/>
          <w:szCs w:val="22"/>
        </w:rPr>
        <w:t>Raiffeisenbank a.s.</w:t>
      </w:r>
    </w:p>
    <w:p w14:paraId="3D0C4F11" w14:textId="1BF48B9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3F6A37" w:rsidRPr="003F6A37">
        <w:rPr>
          <w:rFonts w:ascii="Arial" w:hAnsi="Arial" w:cs="Arial"/>
          <w:sz w:val="22"/>
          <w:szCs w:val="22"/>
        </w:rPr>
        <w:t>5279999001/5500</w:t>
      </w:r>
    </w:p>
    <w:p w14:paraId="1C421B6A" w14:textId="4E0AF5D1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F51FDD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 xml:space="preserve">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85C2B" w:rsidRPr="00B85C2B">
        <w:rPr>
          <w:rFonts w:ascii="Arial" w:hAnsi="Arial" w:cs="Arial"/>
          <w:sz w:val="22"/>
          <w:szCs w:val="22"/>
        </w:rPr>
        <w:t>29099323</w:t>
      </w:r>
    </w:p>
    <w:p w14:paraId="2F227BFD" w14:textId="0D1010E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CZ29099323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5773AB31" w14:textId="77777777" w:rsidR="0072029F" w:rsidRDefault="0072029F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37C3322" w14:textId="7E0D188C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4979B096" w14:textId="39262814" w:rsidR="00252107" w:rsidRDefault="00252107" w:rsidP="00252107">
      <w:pPr>
        <w:pStyle w:val="Level1"/>
        <w:keepNext w:val="0"/>
        <w:numPr>
          <w:ilvl w:val="0"/>
          <w:numId w:val="3"/>
        </w:numPr>
        <w:spacing w:after="240" w:line="240" w:lineRule="auto"/>
        <w:jc w:val="both"/>
        <w:outlineLvl w:val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caps w:val="0"/>
        </w:rPr>
        <w:t>P</w:t>
      </w:r>
      <w:r w:rsidRPr="004347CF">
        <w:rPr>
          <w:rFonts w:ascii="Arial" w:hAnsi="Arial" w:cs="Arial"/>
          <w:b w:val="0"/>
          <w:bCs w:val="0"/>
          <w:caps w:val="0"/>
        </w:rPr>
        <w:t xml:space="preserve">ředmětem Dodatku č. </w:t>
      </w:r>
      <w:r w:rsidR="0072589A">
        <w:rPr>
          <w:rFonts w:ascii="Arial" w:hAnsi="Arial" w:cs="Arial"/>
          <w:b w:val="0"/>
          <w:bCs w:val="0"/>
          <w:caps w:val="0"/>
        </w:rPr>
        <w:t>4</w:t>
      </w:r>
      <w:r w:rsidRPr="004347CF">
        <w:rPr>
          <w:rFonts w:ascii="Arial" w:hAnsi="Arial" w:cs="Arial"/>
          <w:b w:val="0"/>
          <w:bCs w:val="0"/>
          <w:caps w:val="0"/>
        </w:rPr>
        <w:t xml:space="preserve"> ke Smlouvě </w:t>
      </w:r>
      <w:r w:rsidR="005A2959">
        <w:rPr>
          <w:rFonts w:ascii="Arial" w:hAnsi="Arial" w:cs="Arial"/>
          <w:b w:val="0"/>
          <w:bCs w:val="0"/>
          <w:caps w:val="0"/>
        </w:rPr>
        <w:t xml:space="preserve">(dále jen „dodatek“) </w:t>
      </w:r>
      <w:r>
        <w:rPr>
          <w:rFonts w:ascii="Arial" w:hAnsi="Arial" w:cs="Arial"/>
          <w:b w:val="0"/>
          <w:bCs w:val="0"/>
          <w:caps w:val="0"/>
        </w:rPr>
        <w:t xml:space="preserve">je </w:t>
      </w:r>
      <w:r w:rsidR="00406DC6">
        <w:rPr>
          <w:rFonts w:ascii="Arial" w:hAnsi="Arial" w:cs="Arial"/>
          <w:b w:val="0"/>
          <w:bCs w:val="0"/>
          <w:caps w:val="0"/>
        </w:rPr>
        <w:t xml:space="preserve">doplnění </w:t>
      </w:r>
      <w:r w:rsidR="007C5198">
        <w:rPr>
          <w:rFonts w:ascii="Arial" w:hAnsi="Arial" w:cs="Arial"/>
          <w:b w:val="0"/>
          <w:bCs w:val="0"/>
          <w:caps w:val="0"/>
        </w:rPr>
        <w:t xml:space="preserve">víceprací (nových fakturačních celků) a následný posun dalších fakturačních celků </w:t>
      </w:r>
      <w:r w:rsidR="006C160F">
        <w:rPr>
          <w:rFonts w:ascii="Arial" w:hAnsi="Arial" w:cs="Arial"/>
          <w:b w:val="0"/>
          <w:bCs w:val="0"/>
          <w:caps w:val="0"/>
        </w:rPr>
        <w:t>z</w:t>
      </w:r>
      <w:r w:rsidR="007C5198">
        <w:rPr>
          <w:rFonts w:ascii="Arial" w:hAnsi="Arial" w:cs="Arial"/>
          <w:b w:val="0"/>
          <w:bCs w:val="0"/>
          <w:caps w:val="0"/>
        </w:rPr>
        <w:t> </w:t>
      </w:r>
      <w:r w:rsidR="006C160F">
        <w:rPr>
          <w:rFonts w:ascii="Arial" w:hAnsi="Arial" w:cs="Arial"/>
          <w:b w:val="0"/>
          <w:bCs w:val="0"/>
          <w:caps w:val="0"/>
        </w:rPr>
        <w:t>důvodu</w:t>
      </w:r>
      <w:r w:rsidR="007C5198">
        <w:rPr>
          <w:rFonts w:ascii="Arial" w:hAnsi="Arial" w:cs="Arial"/>
          <w:b w:val="0"/>
          <w:bCs w:val="0"/>
          <w:caps w:val="0"/>
        </w:rPr>
        <w:t xml:space="preserve"> </w:t>
      </w:r>
      <w:r w:rsidR="00B069E0">
        <w:rPr>
          <w:rFonts w:ascii="Arial" w:hAnsi="Arial" w:cs="Arial"/>
          <w:b w:val="0"/>
          <w:bCs w:val="0"/>
          <w:caps w:val="0"/>
        </w:rPr>
        <w:t xml:space="preserve">samostatného řešení evidence grafických přídělů. </w:t>
      </w:r>
      <w:r w:rsidRPr="004347CF">
        <w:rPr>
          <w:rFonts w:ascii="Arial" w:hAnsi="Arial" w:cs="Arial"/>
          <w:b w:val="0"/>
          <w:bCs w:val="0"/>
          <w:caps w:val="0"/>
        </w:rPr>
        <w:t xml:space="preserve">V důsledku této změny </w:t>
      </w:r>
      <w:r w:rsidRPr="004347CF">
        <w:rPr>
          <w:rFonts w:ascii="Arial" w:hAnsi="Arial" w:cs="Arial"/>
          <w:b w:val="0"/>
          <w:bCs w:val="0"/>
          <w:caps w:val="0"/>
          <w:color w:val="242424"/>
          <w:shd w:val="clear" w:color="auto" w:fill="FFFFFF"/>
        </w:rPr>
        <w:t xml:space="preserve">se mění čl. </w:t>
      </w:r>
      <w:r w:rsidR="009C3725">
        <w:rPr>
          <w:rFonts w:ascii="Arial" w:hAnsi="Arial" w:cs="Arial"/>
          <w:caps w:val="0"/>
          <w:color w:val="242424"/>
          <w:shd w:val="clear" w:color="auto" w:fill="FFFFFF"/>
        </w:rPr>
        <w:t>6.</w:t>
      </w:r>
      <w:r w:rsidRPr="004347CF">
        <w:rPr>
          <w:rFonts w:ascii="Arial" w:hAnsi="Arial" w:cs="Arial"/>
          <w:b w:val="0"/>
          <w:bCs w:val="0"/>
          <w:color w:val="242424"/>
          <w:shd w:val="clear" w:color="auto" w:fill="FFFFFF"/>
        </w:rPr>
        <w:t xml:space="preserve"> </w:t>
      </w:r>
      <w:r w:rsidR="009C3725">
        <w:rPr>
          <w:rFonts w:ascii="Arial" w:hAnsi="Arial" w:cs="Arial"/>
        </w:rPr>
        <w:t xml:space="preserve">ROZSAH </w:t>
      </w:r>
      <w:r w:rsidR="00A44D7A">
        <w:rPr>
          <w:rFonts w:ascii="Arial" w:hAnsi="Arial" w:cs="Arial"/>
        </w:rPr>
        <w:t>DÍLA A JEHO ČLENENÍ NA HLAVNÍ CELKY A DÍLČÍ ČÁSTI HLAVNÍCH CELKŮ</w:t>
      </w:r>
      <w:r w:rsidR="00142209">
        <w:rPr>
          <w:rFonts w:ascii="Arial" w:hAnsi="Arial" w:cs="Arial"/>
        </w:rPr>
        <w:t xml:space="preserve"> </w:t>
      </w:r>
      <w:r w:rsidR="00142209" w:rsidRPr="00191A04">
        <w:rPr>
          <w:rFonts w:ascii="Arial" w:hAnsi="Arial" w:cs="Arial"/>
          <w:b w:val="0"/>
          <w:bCs w:val="0"/>
          <w:caps w:val="0"/>
        </w:rPr>
        <w:t>a</w:t>
      </w:r>
      <w:r w:rsidR="00142209">
        <w:rPr>
          <w:rFonts w:ascii="Arial" w:hAnsi="Arial" w:cs="Arial"/>
          <w:b w:val="0"/>
          <w:bCs w:val="0"/>
        </w:rPr>
        <w:t xml:space="preserve"> </w:t>
      </w:r>
      <w:r w:rsidR="00142209">
        <w:rPr>
          <w:rFonts w:ascii="Arial" w:hAnsi="Arial" w:cs="Arial"/>
        </w:rPr>
        <w:t>7. TECHNICKÉ POŽADAVKY NA PROVEDENÍ DÍLA</w:t>
      </w:r>
      <w:r w:rsidR="008E2487">
        <w:rPr>
          <w:rFonts w:ascii="Arial" w:hAnsi="Arial" w:cs="Arial"/>
        </w:rPr>
        <w:t>.</w:t>
      </w:r>
    </w:p>
    <w:p w14:paraId="6B40EA3C" w14:textId="4B132078" w:rsidR="00EF4B8F" w:rsidRDefault="009320D0" w:rsidP="00F33F1A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F33F1A">
        <w:rPr>
          <w:rFonts w:ascii="Arial" w:hAnsi="Arial" w:cs="Arial"/>
          <w:sz w:val="22"/>
          <w:szCs w:val="22"/>
        </w:rPr>
        <w:t xml:space="preserve"> strany shodně konstatují, že důvodem uzavření tohoto dodatku</w:t>
      </w:r>
      <w:r w:rsidR="00045C70">
        <w:rPr>
          <w:rFonts w:ascii="Arial" w:hAnsi="Arial" w:cs="Arial"/>
          <w:sz w:val="22"/>
          <w:szCs w:val="22"/>
        </w:rPr>
        <w:t xml:space="preserve"> </w:t>
      </w:r>
      <w:r w:rsidR="00045C70" w:rsidRPr="00F33F1A">
        <w:rPr>
          <w:rFonts w:ascii="Arial" w:hAnsi="Arial" w:cs="Arial"/>
          <w:sz w:val="22"/>
          <w:szCs w:val="22"/>
        </w:rPr>
        <w:t xml:space="preserve">je změna ceny za provedení díla. Smluvní strany se tak dohodly v souladu s čl. 17 smlouvy analogicky s § 222 odst. </w:t>
      </w:r>
      <w:r w:rsidR="006F1EE7">
        <w:rPr>
          <w:rFonts w:ascii="Arial" w:hAnsi="Arial" w:cs="Arial"/>
          <w:sz w:val="22"/>
          <w:szCs w:val="22"/>
        </w:rPr>
        <w:t>5</w:t>
      </w:r>
      <w:r w:rsidR="00045C70" w:rsidRPr="00F33F1A">
        <w:rPr>
          <w:rFonts w:ascii="Arial" w:hAnsi="Arial" w:cs="Arial"/>
          <w:sz w:val="22"/>
          <w:szCs w:val="22"/>
        </w:rPr>
        <w:t xml:space="preserve"> zákona č. 134/2019 Sb. o zadávání veřejných zakázek, v platném znění (dále jen „ZZVZ“)</w:t>
      </w:r>
      <w:r w:rsidR="0071534D" w:rsidRPr="00F33F1A">
        <w:rPr>
          <w:rFonts w:ascii="Arial" w:hAnsi="Arial" w:cs="Arial"/>
          <w:sz w:val="22"/>
          <w:szCs w:val="22"/>
        </w:rPr>
        <w:t>.</w:t>
      </w:r>
    </w:p>
    <w:p w14:paraId="0CF13047" w14:textId="77777777" w:rsidR="009320D0" w:rsidRPr="00F33F1A" w:rsidRDefault="009320D0" w:rsidP="009320D0">
      <w:pPr>
        <w:pStyle w:val="Odstavecseseznamem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B3B6ADD" w14:textId="77777777" w:rsidR="00860B1C" w:rsidRPr="00860B1C" w:rsidRDefault="00442137" w:rsidP="00860B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320D0">
        <w:rPr>
          <w:rFonts w:ascii="Arial" w:hAnsi="Arial" w:cs="Arial"/>
          <w:color w:val="000000"/>
          <w:sz w:val="22"/>
          <w:szCs w:val="22"/>
        </w:rPr>
        <w:t xml:space="preserve">Katastrální území </w:t>
      </w:r>
      <w:proofErr w:type="spellStart"/>
      <w:r w:rsidRPr="009320D0">
        <w:rPr>
          <w:rFonts w:ascii="Arial" w:hAnsi="Arial" w:cs="Arial"/>
          <w:color w:val="000000"/>
          <w:sz w:val="22"/>
          <w:szCs w:val="22"/>
        </w:rPr>
        <w:t>Mračnice</w:t>
      </w:r>
      <w:proofErr w:type="spellEnd"/>
      <w:r w:rsidRPr="009320D0">
        <w:rPr>
          <w:rFonts w:ascii="Arial" w:hAnsi="Arial" w:cs="Arial"/>
          <w:color w:val="000000"/>
          <w:sz w:val="22"/>
          <w:szCs w:val="22"/>
        </w:rPr>
        <w:t xml:space="preserve"> eviduje 14 přídělových parcel řešených v rámci </w:t>
      </w:r>
      <w:proofErr w:type="spellStart"/>
      <w:r w:rsidRPr="009320D0">
        <w:rPr>
          <w:rFonts w:ascii="Arial" w:hAnsi="Arial" w:cs="Arial"/>
          <w:color w:val="000000"/>
          <w:sz w:val="22"/>
          <w:szCs w:val="22"/>
        </w:rPr>
        <w:t>KoPÚ</w:t>
      </w:r>
      <w:proofErr w:type="spellEnd"/>
      <w:r w:rsidRPr="009320D0">
        <w:rPr>
          <w:rFonts w:ascii="Arial" w:hAnsi="Arial" w:cs="Arial"/>
          <w:color w:val="000000"/>
          <w:sz w:val="22"/>
          <w:szCs w:val="22"/>
        </w:rPr>
        <w:t>, které je nutno samostatně vyřešit s následným zápisem rozhodnutí o určení hranic pozemků do katastru nemovitostí. Na základě požadavku Katastrálního pracoviště Domažlice na vyřešení přídělových parcel o ploše 14,76 ha, 14 parcel (evidence grafický příděl) a předpokládaný obvod v rozsahu 25 MJ, se objednatel a zhotovitel dohodli na doplnění dalších dílčích celků, které budou řešit přídělové řízení v rámci stávající uzavřené smlouvy o dílo č. 18/2022-504202, tj. dílčí části 6.2.9., 6.2.10., 6.2.11., 6.2.12. Tyto vícepráce zhotovitel nacenil níže uvedeným způsobem a objednatel cenu za MJ akceptuje. Cena je v místě a čase obvyklá.</w:t>
      </w:r>
      <w:r w:rsidR="00083086" w:rsidRPr="009320D0">
        <w:rPr>
          <w:rFonts w:ascii="Arial" w:hAnsi="Arial" w:cs="Arial"/>
          <w:color w:val="000000"/>
          <w:sz w:val="22"/>
          <w:szCs w:val="22"/>
        </w:rPr>
        <w:t xml:space="preserve"> </w:t>
      </w:r>
      <w:r w:rsidR="00435B4B" w:rsidRPr="009320D0">
        <w:rPr>
          <w:rFonts w:ascii="Arial" w:hAnsi="Arial" w:cs="Arial"/>
          <w:color w:val="000000"/>
          <w:sz w:val="22"/>
          <w:szCs w:val="22"/>
        </w:rPr>
        <w:t>Změny</w:t>
      </w:r>
      <w:r w:rsidR="00083086" w:rsidRPr="009320D0">
        <w:rPr>
          <w:rFonts w:ascii="Arial" w:hAnsi="Arial" w:cs="Arial"/>
          <w:color w:val="000000"/>
          <w:sz w:val="22"/>
          <w:szCs w:val="22"/>
        </w:rPr>
        <w:t xml:space="preserve"> j</w:t>
      </w:r>
      <w:r w:rsidR="00435B4B" w:rsidRPr="009320D0">
        <w:rPr>
          <w:rFonts w:ascii="Arial" w:hAnsi="Arial" w:cs="Arial"/>
          <w:color w:val="000000"/>
          <w:sz w:val="22"/>
          <w:szCs w:val="22"/>
        </w:rPr>
        <w:t>sou navrhovány s ohledem na zpracování všech dalších etap předmětné pozemkové úpravy tak, aby byl lépe naplněn smysl a účel těchto pozemkových úprav s tím, že objednatel o těchto zjištěních před zahájením původního výběrového řízení nevěděl.</w:t>
      </w:r>
      <w:r w:rsidR="00860B1C" w:rsidRPr="00860B1C">
        <w:t xml:space="preserve"> </w:t>
      </w:r>
    </w:p>
    <w:p w14:paraId="017F48AD" w14:textId="77777777" w:rsidR="00860B1C" w:rsidRPr="00860B1C" w:rsidRDefault="00860B1C" w:rsidP="00860B1C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77F005A" w14:textId="7178C07E" w:rsidR="0071534D" w:rsidRPr="009320D0" w:rsidRDefault="00860B1C" w:rsidP="00860B1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60B1C">
        <w:rPr>
          <w:rFonts w:ascii="Arial" w:hAnsi="Arial" w:cs="Arial"/>
          <w:color w:val="000000"/>
          <w:sz w:val="22"/>
          <w:szCs w:val="22"/>
        </w:rPr>
        <w:t>Doplnění těchto víceprací (nových fakturačních celků) bude mít časový vliv na termín plnění dalších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fakturačních celků 6.3. Hlavní celek 2 „Návrhové práce“ dle smlouvy. Objednatel a zhotovitel se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dohodli na stanovení nových termínů odevzdání/plnění dílčích částí 6.3.1., 6.3.1.i)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a), 6.3.1.i)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b),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6.3.1.i)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c) a 6.3.2. S ohledem na dokončení přídělového řízení, zejména dílčí části 6.2.12., nelze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60B1C">
        <w:rPr>
          <w:rFonts w:ascii="Arial" w:hAnsi="Arial" w:cs="Arial"/>
          <w:color w:val="000000"/>
          <w:sz w:val="22"/>
          <w:szCs w:val="22"/>
        </w:rPr>
        <w:t>pokračovat na zpracování Hlavního celku 2 „Návrhové práce“, proto je posun termínů plnění u výš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Pr="00860B1C">
        <w:rPr>
          <w:rFonts w:ascii="Arial" w:hAnsi="Arial" w:cs="Arial"/>
          <w:color w:val="000000"/>
          <w:sz w:val="22"/>
          <w:szCs w:val="22"/>
        </w:rPr>
        <w:t>uvedených dílčích částí nezbytně nutný z procesního hlediska.</w:t>
      </w:r>
    </w:p>
    <w:p w14:paraId="0194C284" w14:textId="77777777" w:rsidR="00045C70" w:rsidRDefault="00045C70" w:rsidP="00EF4B8F">
      <w:pPr>
        <w:pStyle w:val="Odstavecseseznamem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171628C" w14:textId="77777777" w:rsidR="00175461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č. 1 smlouvy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5B35C51D" w14:textId="77777777" w:rsidR="00FE617D" w:rsidRPr="00A22C99" w:rsidRDefault="00FE617D" w:rsidP="00FE617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DA0A9AC" w14:textId="3DE96E18" w:rsidR="003F66AF" w:rsidRPr="00FE617D" w:rsidRDefault="00603BFA" w:rsidP="00FE617D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  <w:bookmarkStart w:id="0" w:name="_Hlk21085598"/>
    </w:p>
    <w:p w14:paraId="5BFB882A" w14:textId="0D400F89" w:rsidR="003F66AF" w:rsidRDefault="005155DC" w:rsidP="003F66AF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4D147B0" w14:textId="5E46C272" w:rsidR="00340B58" w:rsidRPr="004A6E6E" w:rsidRDefault="004A6E6E" w:rsidP="007E1A6F">
      <w:pPr>
        <w:pStyle w:val="Level2"/>
        <w:numPr>
          <w:ilvl w:val="0"/>
          <w:numId w:val="14"/>
        </w:numPr>
        <w:snapToGrid/>
        <w:spacing w:after="240" w:line="259" w:lineRule="auto"/>
        <w:ind w:left="426" w:hanging="426"/>
        <w:jc w:val="both"/>
        <w:outlineLvl w:val="1"/>
        <w:rPr>
          <w:rFonts w:ascii="Arial" w:hAnsi="Arial" w:cs="Arial"/>
        </w:rPr>
      </w:pPr>
      <w:r w:rsidRPr="003F7B8C">
        <w:rPr>
          <w:rFonts w:ascii="Arial" w:hAnsi="Arial" w:cs="Arial"/>
        </w:rPr>
        <w:t xml:space="preserve">Smluvní strany shodně konstatují, že pro splnění cílů pozemkových úprav </w:t>
      </w:r>
      <w:sdt>
        <w:sdtPr>
          <w:rPr>
            <w:rFonts w:ascii="Arial" w:eastAsia="Arial" w:hAnsi="Arial" w:cs="Arial"/>
            <w:bCs/>
          </w:rPr>
          <w:id w:val="1435715332"/>
          <w:placeholder>
            <w:docPart w:val="B9285BFC226F46698F851E185021E8C4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Pr="009B5684">
            <w:rPr>
              <w:rFonts w:ascii="Arial" w:eastAsia="Arial" w:hAnsi="Arial" w:cs="Arial"/>
              <w:bCs/>
            </w:rPr>
            <w:t xml:space="preserve">jsou nezbytné změny v doplnění vícepracích těchto dílčích částí: 6.2.9. Zjišťování hranic obvodu přídělů, geometrické plány pro stanovení obvodu přídělů, předepsaná stabilizace dle vyhlášky č. 357/2013 Sb., 6.2.10. Vypracování soupisu vstupních nárokových listů vlastníků pro upřesnění přídělů, 6.2.11. Vypracování soupisu výstupních nárokových listů vlastníků pro upřesnění přídělů a 6.2.12. Vyhotovení podkladů potřebných pro zápis rozhodnutí o určení hranic pozemků do KN. </w:t>
          </w:r>
        </w:sdtContent>
      </w:sdt>
    </w:p>
    <w:p w14:paraId="6D61D40D" w14:textId="02E4708C" w:rsidR="009A335C" w:rsidRPr="00340B58" w:rsidRDefault="00860B1C" w:rsidP="00860B1C">
      <w:pPr>
        <w:pStyle w:val="Level2"/>
        <w:tabs>
          <w:tab w:val="clear" w:pos="1531"/>
          <w:tab w:val="num" w:pos="1276"/>
        </w:tabs>
        <w:ind w:left="1560" w:hanging="1134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A335C" w:rsidRPr="00340B58">
        <w:rPr>
          <w:rFonts w:ascii="Arial" w:hAnsi="Arial" w:cs="Arial"/>
        </w:rPr>
        <w:t xml:space="preserve"> čl. </w:t>
      </w:r>
      <w:r w:rsidR="009F667D" w:rsidRPr="00340B58">
        <w:rPr>
          <w:rFonts w:ascii="Arial" w:hAnsi="Arial" w:cs="Arial"/>
        </w:rPr>
        <w:t>6</w:t>
      </w:r>
      <w:r w:rsidR="00CD40F4" w:rsidRPr="00340B58">
        <w:rPr>
          <w:rFonts w:ascii="Arial" w:hAnsi="Arial" w:cs="Arial"/>
        </w:rPr>
        <w:t>.</w:t>
      </w:r>
      <w:r w:rsidR="009A335C" w:rsidRPr="00340B58">
        <w:rPr>
          <w:rFonts w:ascii="Arial" w:hAnsi="Arial" w:cs="Arial"/>
        </w:rPr>
        <w:t xml:space="preserve"> se </w:t>
      </w:r>
      <w:r w:rsidR="00BF7344" w:rsidRPr="00340B58">
        <w:rPr>
          <w:rFonts w:ascii="Arial" w:hAnsi="Arial" w:cs="Arial"/>
        </w:rPr>
        <w:t>doplní tyto odstavce</w:t>
      </w:r>
      <w:r w:rsidR="009A335C" w:rsidRPr="00340B58">
        <w:rPr>
          <w:rFonts w:ascii="Arial" w:hAnsi="Arial" w:cs="Arial"/>
        </w:rPr>
        <w:t xml:space="preserve">: </w:t>
      </w:r>
    </w:p>
    <w:p w14:paraId="5FA8A398" w14:textId="395F6208" w:rsidR="00390C32" w:rsidRPr="00390C32" w:rsidRDefault="00390C32" w:rsidP="000E34BB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48" w:hanging="680"/>
        <w:outlineLvl w:val="1"/>
        <w:rPr>
          <w:rFonts w:ascii="Arial" w:hAnsi="Arial" w:cs="Arial"/>
        </w:rPr>
      </w:pPr>
      <w:r w:rsidRPr="00390C32">
        <w:rPr>
          <w:rFonts w:ascii="Arial" w:hAnsi="Arial" w:cs="Arial"/>
        </w:rPr>
        <w:t xml:space="preserve">6. 2. </w:t>
      </w:r>
      <w:r w:rsidR="00414940">
        <w:rPr>
          <w:rFonts w:ascii="Arial" w:hAnsi="Arial" w:cs="Arial"/>
        </w:rPr>
        <w:t>9</w:t>
      </w:r>
      <w:r w:rsidRPr="00390C32">
        <w:rPr>
          <w:rFonts w:ascii="Arial" w:hAnsi="Arial" w:cs="Arial"/>
        </w:rPr>
        <w:t xml:space="preserve">. Zjišťování hranic obvodu přídělů </w:t>
      </w:r>
    </w:p>
    <w:p w14:paraId="35C506C5" w14:textId="1700CEDA" w:rsidR="00390C32" w:rsidRPr="00390C32" w:rsidRDefault="00414940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48" w:hanging="6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0C32" w:rsidRPr="00390C32">
        <w:rPr>
          <w:rFonts w:ascii="Arial" w:hAnsi="Arial" w:cs="Arial"/>
        </w:rPr>
        <w:t>a) Vypracování seznamu předpokládaných účastníků řízení pro úvodní jednání ve</w:t>
      </w:r>
      <w:r w:rsidR="003D7078">
        <w:rPr>
          <w:rFonts w:ascii="Arial" w:hAnsi="Arial" w:cs="Arial"/>
        </w:rPr>
        <w:t xml:space="preserve"> </w:t>
      </w:r>
      <w:r w:rsidR="00390C32" w:rsidRPr="00390C32">
        <w:rPr>
          <w:rFonts w:ascii="Arial" w:hAnsi="Arial" w:cs="Arial"/>
        </w:rPr>
        <w:t>smyslu § 7 Zákona. Tento seznam bude předán Objednateli v termínu do</w:t>
      </w:r>
      <w:r w:rsidR="003D7078">
        <w:rPr>
          <w:rFonts w:ascii="Arial" w:hAnsi="Arial" w:cs="Arial"/>
        </w:rPr>
        <w:t xml:space="preserve"> </w:t>
      </w:r>
      <w:r w:rsidR="00390C32" w:rsidRPr="00390C32">
        <w:rPr>
          <w:rFonts w:ascii="Arial" w:hAnsi="Arial" w:cs="Arial"/>
        </w:rPr>
        <w:t>jednoho (1) měsíce od doručení výzvy Objednatele Zhotoviteli;</w:t>
      </w:r>
    </w:p>
    <w:p w14:paraId="70B81744" w14:textId="150C3B91" w:rsidR="003D7078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390C32">
        <w:rPr>
          <w:rFonts w:ascii="Arial" w:hAnsi="Arial" w:cs="Arial"/>
        </w:rPr>
        <w:t xml:space="preserve">b) Zjišťování hranic obvodu </w:t>
      </w:r>
      <w:proofErr w:type="spellStart"/>
      <w:r w:rsidRPr="00390C32">
        <w:rPr>
          <w:rFonts w:ascii="Arial" w:hAnsi="Arial" w:cs="Arial"/>
        </w:rPr>
        <w:t>KoPÚ</w:t>
      </w:r>
      <w:proofErr w:type="spellEnd"/>
      <w:r w:rsidRPr="00390C32">
        <w:rPr>
          <w:rFonts w:ascii="Arial" w:hAnsi="Arial" w:cs="Arial"/>
        </w:rPr>
        <w:t xml:space="preserve"> s upřesněním přídělů, vypracování potřebných geometrických plánů pro stanovení obvodu příděl s upřesněním přídělů, předání elaborátu </w:t>
      </w:r>
      <w:r w:rsidRPr="00390C32">
        <w:rPr>
          <w:rFonts w:ascii="Arial" w:hAnsi="Arial" w:cs="Arial"/>
        </w:rPr>
        <w:lastRenderedPageBreak/>
        <w:t>zjišťování hranic obvodu včetně jeho příloh na katastrální úřad a předepsaného označení hranic pozemků, bude provedeno v souladu s relevantní právní úpravou, týkající se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katastru nemovitostí. Pozvánky na zjišťování hranic rozešle dotčeným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vlastníkům Objednatel na základě podkladů dodaných Zhotovitelem. Zhotovitel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je povinen podklady dle předchozí věty předat Objednateli minimálně jeden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(1) měsíc před zahájením samotného zjišťování hranic;</w:t>
      </w:r>
      <w:r w:rsidR="003D7078">
        <w:rPr>
          <w:rFonts w:ascii="Arial" w:hAnsi="Arial" w:cs="Arial"/>
        </w:rPr>
        <w:t xml:space="preserve"> </w:t>
      </w:r>
    </w:p>
    <w:p w14:paraId="18839694" w14:textId="1155F043" w:rsidR="003D7078" w:rsidRDefault="00390C32" w:rsidP="007C527F">
      <w:pPr>
        <w:pStyle w:val="Level2"/>
        <w:numPr>
          <w:ilvl w:val="0"/>
          <w:numId w:val="0"/>
        </w:numPr>
        <w:tabs>
          <w:tab w:val="left" w:pos="1276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3D7078">
        <w:rPr>
          <w:rFonts w:ascii="Arial" w:hAnsi="Arial" w:cs="Arial"/>
        </w:rPr>
        <w:t>c) Aktualizace místních a pomístních názvů, vypracování jejich seznamu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a grafického přehledu, vše odsouhlasené příslušnou obcí. Souhlas obce dle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předchozí věty je povinen zabezpečit Zhotovitel</w:t>
      </w:r>
      <w:r w:rsidR="003D7078">
        <w:rPr>
          <w:rFonts w:ascii="Arial" w:hAnsi="Arial" w:cs="Arial"/>
        </w:rPr>
        <w:t>,</w:t>
      </w:r>
    </w:p>
    <w:p w14:paraId="6CC030E5" w14:textId="5FD13699" w:rsidR="003D7078" w:rsidRDefault="00390C32" w:rsidP="007C527F">
      <w:pPr>
        <w:pStyle w:val="Level2"/>
        <w:numPr>
          <w:ilvl w:val="0"/>
          <w:numId w:val="0"/>
        </w:numPr>
        <w:tabs>
          <w:tab w:val="left" w:pos="1276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390C32">
        <w:rPr>
          <w:rFonts w:ascii="Arial" w:hAnsi="Arial" w:cs="Arial"/>
        </w:rPr>
        <w:t>d) Vyhotovení grafického přehledu parcel pro dotčená katastrální území v</w:t>
      </w:r>
      <w:r w:rsidR="003D7078">
        <w:rPr>
          <w:rFonts w:ascii="Arial" w:hAnsi="Arial" w:cs="Arial"/>
        </w:rPr>
        <w:t> </w:t>
      </w:r>
      <w:r w:rsidRPr="00390C32">
        <w:rPr>
          <w:rFonts w:ascii="Arial" w:hAnsi="Arial" w:cs="Arial"/>
        </w:rPr>
        <w:t>případě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parcel vedených ve zjednodušené evidenci. Vypracování soupisu nesouladů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mezi souborem popisných informací („SPI“) a souborem grafických informací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(„SGI“). Soupis nesouladů předá k řešení katastrálnímu úřadu Objednatel;</w:t>
      </w:r>
      <w:r w:rsidR="003D7078">
        <w:rPr>
          <w:rFonts w:ascii="Arial" w:hAnsi="Arial" w:cs="Arial"/>
        </w:rPr>
        <w:t xml:space="preserve"> </w:t>
      </w:r>
    </w:p>
    <w:p w14:paraId="5C53F81E" w14:textId="2184E5FB" w:rsidR="003D7078" w:rsidRDefault="00390C32" w:rsidP="007C527F">
      <w:pPr>
        <w:pStyle w:val="Level2"/>
        <w:numPr>
          <w:ilvl w:val="0"/>
          <w:numId w:val="0"/>
        </w:numPr>
        <w:tabs>
          <w:tab w:val="left" w:pos="567"/>
          <w:tab w:val="left" w:pos="1276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3D7078">
        <w:rPr>
          <w:rFonts w:ascii="Arial" w:hAnsi="Arial" w:cs="Arial"/>
        </w:rPr>
        <w:t>e) Doložení kladného stanoviska katastrálního úřadu ve smyslu § 9 odst. 6 Zákona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(viz Pokyn č. 43 Českého úřadu zeměměřického a katastrálního ze dne</w:t>
      </w:r>
      <w:r w:rsidR="003D7078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2. prosince 2013 č.j. ČÚZK-12990/2013-22, v aktuálním znění);</w:t>
      </w:r>
    </w:p>
    <w:p w14:paraId="19295ED4" w14:textId="505A3474" w:rsidR="000E34BB" w:rsidRDefault="00390C32" w:rsidP="000E34BB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568"/>
        <w:outlineLvl w:val="1"/>
        <w:rPr>
          <w:rFonts w:ascii="Arial" w:hAnsi="Arial" w:cs="Arial"/>
        </w:rPr>
      </w:pPr>
      <w:r w:rsidRPr="003D7078">
        <w:rPr>
          <w:rFonts w:ascii="Arial" w:hAnsi="Arial" w:cs="Arial"/>
        </w:rPr>
        <w:t>6. 2.</w:t>
      </w:r>
      <w:r w:rsidR="00253D82">
        <w:rPr>
          <w:rFonts w:ascii="Arial" w:hAnsi="Arial" w:cs="Arial"/>
        </w:rPr>
        <w:t>10</w:t>
      </w:r>
      <w:r w:rsidR="002962CF">
        <w:rPr>
          <w:rFonts w:ascii="Arial" w:hAnsi="Arial" w:cs="Arial"/>
        </w:rPr>
        <w:t>.</w:t>
      </w:r>
      <w:r w:rsidRPr="003D7078">
        <w:rPr>
          <w:rFonts w:ascii="Arial" w:hAnsi="Arial" w:cs="Arial"/>
        </w:rPr>
        <w:t xml:space="preserve"> Vypracování soupisu vstupních nárokových listů vlastníků pro upřesnění přídělů</w:t>
      </w:r>
    </w:p>
    <w:p w14:paraId="5C9A6D78" w14:textId="1C605E46" w:rsidR="00390C32" w:rsidRPr="00390C32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390C32">
        <w:rPr>
          <w:rFonts w:ascii="Arial" w:hAnsi="Arial" w:cs="Arial"/>
        </w:rPr>
        <w:t>a) Vypracování soupisu nároků vlastníků pozemků určených k upřesnění přídělů.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Ustanovení § 8 odst. 1 zákona, které se týká vypracování soupisu nároků, se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použije pouze přiměřeně v tom smyslu, že se kritérium ceny a vzdálenosti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pozemků neposuzuje s ohledem na pouze přibližnou lokalizaci hranic pozemků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přídělu.</w:t>
      </w:r>
    </w:p>
    <w:p w14:paraId="27E4C9F0" w14:textId="7CD6292C" w:rsidR="00390C32" w:rsidRPr="00390C32" w:rsidRDefault="00390C32" w:rsidP="007C527F">
      <w:pPr>
        <w:pStyle w:val="Level2"/>
        <w:numPr>
          <w:ilvl w:val="0"/>
          <w:numId w:val="0"/>
        </w:numPr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0E34BB">
        <w:rPr>
          <w:rFonts w:ascii="Arial" w:hAnsi="Arial" w:cs="Arial"/>
        </w:rPr>
        <w:t>b) Jednotlivé vstupní nárokové listy určené k rozeslání vlastníkům budou opatřeny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originálem razítka a podpisem osoby úředně oprávněné k</w:t>
      </w:r>
      <w:r w:rsidR="000E34BB">
        <w:rPr>
          <w:rFonts w:ascii="Arial" w:hAnsi="Arial" w:cs="Arial"/>
        </w:rPr>
        <w:t> </w:t>
      </w:r>
      <w:r w:rsidRPr="00390C32">
        <w:rPr>
          <w:rFonts w:ascii="Arial" w:hAnsi="Arial" w:cs="Arial"/>
        </w:rPr>
        <w:t>projektování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pozemkových úprav.</w:t>
      </w:r>
    </w:p>
    <w:p w14:paraId="0F23CC5D" w14:textId="55E626A9" w:rsidR="00390C32" w:rsidRPr="00390C32" w:rsidRDefault="00390C32" w:rsidP="002962C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567"/>
        <w:outlineLvl w:val="1"/>
        <w:rPr>
          <w:rFonts w:ascii="Arial" w:hAnsi="Arial" w:cs="Arial"/>
        </w:rPr>
      </w:pPr>
      <w:r w:rsidRPr="00390C32">
        <w:rPr>
          <w:rFonts w:ascii="Arial" w:hAnsi="Arial" w:cs="Arial"/>
        </w:rPr>
        <w:t>6. 2.</w:t>
      </w:r>
      <w:r w:rsidR="002555C7">
        <w:rPr>
          <w:rFonts w:ascii="Arial" w:hAnsi="Arial" w:cs="Arial"/>
        </w:rPr>
        <w:t>11</w:t>
      </w:r>
      <w:r w:rsidRPr="00390C32">
        <w:rPr>
          <w:rFonts w:ascii="Arial" w:hAnsi="Arial" w:cs="Arial"/>
        </w:rPr>
        <w:t>. Vypracování soupisu výstupních nárokových listů vlastníků pro upřesnění přídělů</w:t>
      </w:r>
    </w:p>
    <w:p w14:paraId="6EB86779" w14:textId="6B222EFD" w:rsidR="00390C32" w:rsidRPr="00390C32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390C32">
        <w:rPr>
          <w:rFonts w:ascii="Arial" w:hAnsi="Arial" w:cs="Arial"/>
        </w:rPr>
        <w:t>a) Vypracování soupisu výstupních nároků vlastníků pozemků zahrnutých do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upřesnění přídělů.</w:t>
      </w:r>
    </w:p>
    <w:p w14:paraId="72AD350B" w14:textId="7A0E8E7F" w:rsidR="00390C32" w:rsidRPr="00390C32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0E34BB">
        <w:rPr>
          <w:rFonts w:ascii="Arial" w:hAnsi="Arial" w:cs="Arial"/>
        </w:rPr>
        <w:t>b) Jednotlivé výstupní nárokové listy určené k rozeslání vlastníkům budou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opatřeny originálem razítka a podpisem osoby úředně oprávněné k</w:t>
      </w:r>
      <w:r w:rsidR="000E34BB">
        <w:rPr>
          <w:rFonts w:ascii="Arial" w:hAnsi="Arial" w:cs="Arial"/>
        </w:rPr>
        <w:t> </w:t>
      </w:r>
      <w:r w:rsidRPr="00390C32">
        <w:rPr>
          <w:rFonts w:ascii="Arial" w:hAnsi="Arial" w:cs="Arial"/>
        </w:rPr>
        <w:t>projektování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pozemkových úprav.</w:t>
      </w:r>
    </w:p>
    <w:p w14:paraId="0DFA0602" w14:textId="71E50570" w:rsidR="00390C32" w:rsidRPr="000E34BB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76"/>
        <w:jc w:val="both"/>
        <w:outlineLvl w:val="1"/>
        <w:rPr>
          <w:rFonts w:ascii="Arial" w:hAnsi="Arial" w:cs="Arial"/>
        </w:rPr>
      </w:pPr>
      <w:r w:rsidRPr="000E34BB">
        <w:rPr>
          <w:rFonts w:ascii="Arial" w:hAnsi="Arial" w:cs="Arial"/>
        </w:rPr>
        <w:t>c) U všech pozemků bude uveden druh pozemku dle KN a přiřazen kód BPEJ.</w:t>
      </w:r>
    </w:p>
    <w:p w14:paraId="3E7261A2" w14:textId="0004A237" w:rsidR="00390C32" w:rsidRPr="00390C32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48" w:firstLine="28"/>
        <w:jc w:val="both"/>
        <w:outlineLvl w:val="1"/>
        <w:rPr>
          <w:rFonts w:ascii="Arial" w:hAnsi="Arial" w:cs="Arial"/>
        </w:rPr>
      </w:pPr>
      <w:r w:rsidRPr="000E34BB">
        <w:rPr>
          <w:rFonts w:ascii="Arial" w:hAnsi="Arial" w:cs="Arial"/>
        </w:rPr>
        <w:t>d) Doložení dokladů o projednání upřesnění hranic se všemi vlastníky, popř.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dokladu zhotovitele či objednatele o výzvě k jeho projednání (§ 9 odst. 20 zákona).</w:t>
      </w:r>
    </w:p>
    <w:p w14:paraId="47296484" w14:textId="4CCFBC52" w:rsidR="00BF7344" w:rsidRPr="00390C32" w:rsidRDefault="00390C32" w:rsidP="007C527F">
      <w:pPr>
        <w:pStyle w:val="Level2"/>
        <w:numPr>
          <w:ilvl w:val="0"/>
          <w:numId w:val="0"/>
        </w:numPr>
        <w:tabs>
          <w:tab w:val="left" w:pos="567"/>
        </w:tabs>
        <w:spacing w:after="240" w:line="259" w:lineRule="auto"/>
        <w:ind w:left="1248" w:firstLine="28"/>
        <w:jc w:val="both"/>
        <w:outlineLvl w:val="1"/>
        <w:rPr>
          <w:rFonts w:ascii="Arial" w:hAnsi="Arial" w:cs="Arial"/>
        </w:rPr>
      </w:pPr>
      <w:r w:rsidRPr="000E34BB">
        <w:rPr>
          <w:rFonts w:ascii="Arial" w:hAnsi="Arial" w:cs="Arial"/>
        </w:rPr>
        <w:t>e) Jako doklad o projednání výstupních nárokových listů vlastníků pro upřesnění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přídělů objednateli předložen vlastníkem podepsaný výstupní nárokový list,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jehož nedílnou součástí bude grafická příloha se zobrazením upřesněných či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rekonstruovaných pozemků. Grafická příloha bude rovněž obsahovat zákres</w:t>
      </w:r>
      <w:r w:rsidR="000E34BB"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stávajících a nově zřizovaných věcných břemen. Písemná i grafická část bud</w:t>
      </w:r>
      <w:r w:rsidR="000E34BB">
        <w:rPr>
          <w:rFonts w:ascii="Arial" w:hAnsi="Arial" w:cs="Arial"/>
        </w:rPr>
        <w:t xml:space="preserve">ou </w:t>
      </w:r>
      <w:r w:rsidRPr="00390C32">
        <w:rPr>
          <w:rFonts w:ascii="Arial" w:hAnsi="Arial" w:cs="Arial"/>
        </w:rPr>
        <w:t>opatřena originály razítka a podpisem zhotovitele.</w:t>
      </w:r>
    </w:p>
    <w:p w14:paraId="57E3428E" w14:textId="1102F11D" w:rsidR="00BF7344" w:rsidRDefault="00CC655F" w:rsidP="00BF7344">
      <w:pPr>
        <w:pStyle w:val="Level2"/>
        <w:numPr>
          <w:ilvl w:val="0"/>
          <w:numId w:val="0"/>
        </w:numPr>
        <w:tabs>
          <w:tab w:val="left" w:pos="567"/>
        </w:tabs>
        <w:snapToGrid/>
        <w:spacing w:after="240" w:line="259" w:lineRule="auto"/>
        <w:ind w:left="1248" w:hanging="680"/>
        <w:outlineLvl w:val="1"/>
        <w:rPr>
          <w:rFonts w:ascii="Arial" w:hAnsi="Arial" w:cs="Arial"/>
        </w:rPr>
      </w:pPr>
      <w:r w:rsidRPr="00CC655F">
        <w:rPr>
          <w:rFonts w:ascii="Arial" w:hAnsi="Arial" w:cs="Arial"/>
        </w:rPr>
        <w:t>6.2.12. Vyhotovení podkladů pro potřebný zápis rozhodnutí o určení hranic pozemků do KN</w:t>
      </w:r>
    </w:p>
    <w:p w14:paraId="0470D367" w14:textId="6B289861" w:rsidR="00CC655F" w:rsidRDefault="00F45BE9" w:rsidP="008A3DE6">
      <w:pPr>
        <w:pStyle w:val="Level2"/>
        <w:numPr>
          <w:ilvl w:val="0"/>
          <w:numId w:val="0"/>
        </w:numPr>
        <w:tabs>
          <w:tab w:val="left" w:pos="567"/>
        </w:tabs>
        <w:snapToGrid/>
        <w:spacing w:after="240" w:line="259" w:lineRule="auto"/>
        <w:ind w:left="1248" w:hanging="6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55F">
        <w:rPr>
          <w:rFonts w:ascii="Arial" w:hAnsi="Arial" w:cs="Arial"/>
        </w:rPr>
        <w:t xml:space="preserve">a) </w:t>
      </w:r>
      <w:r w:rsidR="00AD2962">
        <w:rPr>
          <w:rFonts w:ascii="Arial" w:hAnsi="Arial" w:cs="Arial"/>
        </w:rPr>
        <w:t>Provedení případných úprav soupisu nároků na základě námitek a připomínek podle § 8 odst. 1 a odst. 2 zákona</w:t>
      </w:r>
    </w:p>
    <w:p w14:paraId="5126E087" w14:textId="0F6AA14D" w:rsidR="00A71835" w:rsidRDefault="00F45BE9" w:rsidP="008A3DE6">
      <w:pPr>
        <w:pStyle w:val="Level2"/>
        <w:numPr>
          <w:ilvl w:val="0"/>
          <w:numId w:val="0"/>
        </w:numPr>
        <w:tabs>
          <w:tab w:val="left" w:pos="567"/>
        </w:tabs>
        <w:snapToGrid/>
        <w:spacing w:after="240" w:line="259" w:lineRule="auto"/>
        <w:ind w:left="1248" w:hanging="6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A71835">
        <w:rPr>
          <w:rFonts w:ascii="Arial" w:hAnsi="Arial" w:cs="Arial"/>
        </w:rPr>
        <w:t>b) Vypracování tabulkových a grafických výstupů s náležitostmi pro jejich použití jako příloha k Rozhodnutí o určení hranic pozemků, vydaném podle §13 zákona</w:t>
      </w:r>
    </w:p>
    <w:p w14:paraId="11049A14" w14:textId="0D302E01" w:rsidR="00BF7344" w:rsidRPr="00075B49" w:rsidRDefault="00F45BE9" w:rsidP="008A3DE6">
      <w:pPr>
        <w:pStyle w:val="Level2"/>
        <w:numPr>
          <w:ilvl w:val="0"/>
          <w:numId w:val="0"/>
        </w:numPr>
        <w:tabs>
          <w:tab w:val="left" w:pos="567"/>
        </w:tabs>
        <w:snapToGrid/>
        <w:spacing w:after="240" w:line="259" w:lineRule="auto"/>
        <w:ind w:left="1248" w:hanging="6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1835">
        <w:rPr>
          <w:rFonts w:ascii="Arial" w:hAnsi="Arial" w:cs="Arial"/>
        </w:rPr>
        <w:t xml:space="preserve">c) Vyhotovení </w:t>
      </w:r>
      <w:r>
        <w:rPr>
          <w:rFonts w:ascii="Arial" w:hAnsi="Arial" w:cs="Arial"/>
        </w:rPr>
        <w:t>podkladů potřebných pro zavedení výsledků pozemkových úprav do KN (formou GP) jako podkladu pro zápis rozhodnutí o určení hranic pozemků</w:t>
      </w:r>
    </w:p>
    <w:p w14:paraId="6EC3D515" w14:textId="289308D0" w:rsidR="009A335C" w:rsidRPr="00860B1C" w:rsidRDefault="00CD40F4" w:rsidP="00860B1C">
      <w:pPr>
        <w:pStyle w:val="Level2"/>
        <w:tabs>
          <w:tab w:val="clear" w:pos="1531"/>
          <w:tab w:val="num" w:pos="1276"/>
        </w:tabs>
        <w:ind w:hanging="1105"/>
        <w:rPr>
          <w:rFonts w:ascii="Arial" w:hAnsi="Arial" w:cs="Arial"/>
        </w:rPr>
      </w:pPr>
      <w:r w:rsidRPr="00860B1C">
        <w:rPr>
          <w:rFonts w:ascii="Arial" w:hAnsi="Arial" w:cs="Arial"/>
        </w:rPr>
        <w:t>V č</w:t>
      </w:r>
      <w:r w:rsidR="009A335C" w:rsidRPr="00860B1C">
        <w:rPr>
          <w:rFonts w:ascii="Arial" w:hAnsi="Arial" w:cs="Arial"/>
        </w:rPr>
        <w:t xml:space="preserve">l. 7. se </w:t>
      </w:r>
      <w:r w:rsidRPr="00860B1C">
        <w:rPr>
          <w:rFonts w:ascii="Arial" w:hAnsi="Arial" w:cs="Arial"/>
        </w:rPr>
        <w:t>doplní tyto odstavce</w:t>
      </w:r>
      <w:r w:rsidR="00C04213" w:rsidRPr="00860B1C">
        <w:rPr>
          <w:rFonts w:ascii="Arial" w:hAnsi="Arial" w:cs="Arial"/>
        </w:rPr>
        <w:t xml:space="preserve">: </w:t>
      </w:r>
    </w:p>
    <w:p w14:paraId="0D4025F3" w14:textId="03A1DFA0" w:rsidR="00CD5864" w:rsidRDefault="00DE58A8" w:rsidP="008A3DE6">
      <w:pPr>
        <w:pStyle w:val="Level2"/>
        <w:numPr>
          <w:ilvl w:val="0"/>
          <w:numId w:val="0"/>
        </w:numPr>
        <w:tabs>
          <w:tab w:val="num" w:pos="1248"/>
        </w:tabs>
        <w:spacing w:after="240"/>
        <w:ind w:left="1248"/>
        <w:jc w:val="both"/>
        <w:rPr>
          <w:rFonts w:ascii="Arial" w:hAnsi="Arial" w:cs="Arial"/>
        </w:rPr>
      </w:pPr>
      <w:bookmarkStart w:id="1" w:name="1fob9te"/>
      <w:bookmarkEnd w:id="1"/>
      <w:r>
        <w:rPr>
          <w:rFonts w:ascii="Arial" w:hAnsi="Arial" w:cs="Arial"/>
        </w:rPr>
        <w:t xml:space="preserve">7.2. p) </w:t>
      </w:r>
      <w:r w:rsidR="00C57435" w:rsidRPr="00C57435">
        <w:rPr>
          <w:rFonts w:ascii="Arial" w:hAnsi="Arial" w:cs="Arial"/>
        </w:rPr>
        <w:t>Zjišťování hranic obvodu přídělů,</w:t>
      </w:r>
      <w:r w:rsidR="00C57435">
        <w:rPr>
          <w:rFonts w:ascii="Arial" w:hAnsi="Arial" w:cs="Arial"/>
        </w:rPr>
        <w:t xml:space="preserve"> </w:t>
      </w:r>
      <w:r w:rsidR="00C57435" w:rsidRPr="00C57435">
        <w:rPr>
          <w:rFonts w:ascii="Arial" w:hAnsi="Arial" w:cs="Arial"/>
        </w:rPr>
        <w:t>geometrické plány pro stanovení obvodu přídělů, předepsaná</w:t>
      </w:r>
      <w:r w:rsidR="00C57435">
        <w:rPr>
          <w:rFonts w:ascii="Arial" w:hAnsi="Arial" w:cs="Arial"/>
        </w:rPr>
        <w:t xml:space="preserve"> </w:t>
      </w:r>
      <w:r w:rsidR="00C57435" w:rsidRPr="00C57435">
        <w:rPr>
          <w:rFonts w:ascii="Arial" w:hAnsi="Arial" w:cs="Arial"/>
        </w:rPr>
        <w:t>stabilizace dle vyhlášky č</w:t>
      </w:r>
      <w:r w:rsidR="00C57435">
        <w:rPr>
          <w:rFonts w:ascii="Arial" w:hAnsi="Arial" w:cs="Arial"/>
        </w:rPr>
        <w:t xml:space="preserve">. </w:t>
      </w:r>
      <w:r w:rsidR="00C57435" w:rsidRPr="00C57435">
        <w:rPr>
          <w:rFonts w:ascii="Arial" w:hAnsi="Arial" w:cs="Arial"/>
        </w:rPr>
        <w:t>357/2013 Sb.</w:t>
      </w:r>
      <w:r w:rsidR="00C57435">
        <w:rPr>
          <w:rFonts w:ascii="Arial" w:hAnsi="Arial" w:cs="Arial"/>
        </w:rPr>
        <w:t xml:space="preserve"> </w:t>
      </w:r>
      <w:r w:rsidR="00C25108">
        <w:rPr>
          <w:rFonts w:ascii="Arial" w:hAnsi="Arial" w:cs="Arial"/>
        </w:rPr>
        <w:t>–</w:t>
      </w:r>
      <w:r w:rsidR="00C57435">
        <w:rPr>
          <w:rFonts w:ascii="Arial" w:hAnsi="Arial" w:cs="Arial"/>
        </w:rPr>
        <w:t xml:space="preserve"> </w:t>
      </w:r>
      <w:r w:rsidR="00C25108">
        <w:rPr>
          <w:rFonts w:ascii="Arial" w:hAnsi="Arial" w:cs="Arial"/>
        </w:rPr>
        <w:t xml:space="preserve">1x listinné a 1x digitální vyhotovení určené Objednateli </w:t>
      </w:r>
    </w:p>
    <w:p w14:paraId="6F3ED904" w14:textId="6A358E95" w:rsidR="00307027" w:rsidRDefault="00C25108" w:rsidP="008A3DE6">
      <w:pPr>
        <w:pStyle w:val="Level2"/>
        <w:numPr>
          <w:ilvl w:val="0"/>
          <w:numId w:val="0"/>
        </w:numPr>
        <w:tabs>
          <w:tab w:val="num" w:pos="1248"/>
        </w:tabs>
        <w:spacing w:after="240"/>
        <w:ind w:left="1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q) </w:t>
      </w:r>
      <w:r w:rsidR="00CD5864" w:rsidRPr="00CD5864">
        <w:rPr>
          <w:rFonts w:ascii="Arial" w:hAnsi="Arial" w:cs="Arial"/>
        </w:rPr>
        <w:t>Vypracování soupisu vstupních</w:t>
      </w:r>
      <w:r w:rsidR="00CD5864">
        <w:rPr>
          <w:rFonts w:ascii="Arial" w:hAnsi="Arial" w:cs="Arial"/>
        </w:rPr>
        <w:t xml:space="preserve"> </w:t>
      </w:r>
      <w:r w:rsidR="00CD5864" w:rsidRPr="00CD5864">
        <w:rPr>
          <w:rFonts w:ascii="Arial" w:hAnsi="Arial" w:cs="Arial"/>
        </w:rPr>
        <w:t>nárokových listů vlastníků pro</w:t>
      </w:r>
      <w:r w:rsidR="00CD5864">
        <w:rPr>
          <w:rFonts w:ascii="Arial" w:hAnsi="Arial" w:cs="Arial"/>
        </w:rPr>
        <w:t xml:space="preserve"> </w:t>
      </w:r>
      <w:r w:rsidR="00CD5864" w:rsidRPr="00CD5864">
        <w:rPr>
          <w:rFonts w:ascii="Arial" w:hAnsi="Arial" w:cs="Arial"/>
        </w:rPr>
        <w:t>upřesnění přídělů</w:t>
      </w:r>
      <w:r w:rsidR="00E025DA">
        <w:rPr>
          <w:rFonts w:ascii="Arial" w:hAnsi="Arial" w:cs="Arial"/>
        </w:rPr>
        <w:t xml:space="preserve"> – </w:t>
      </w:r>
      <w:r w:rsidR="00C2770A">
        <w:rPr>
          <w:rFonts w:ascii="Arial" w:hAnsi="Arial" w:cs="Arial"/>
        </w:rPr>
        <w:t xml:space="preserve">1x v digitální podobě a </w:t>
      </w:r>
      <w:r w:rsidR="00E025DA">
        <w:rPr>
          <w:rFonts w:ascii="Arial" w:hAnsi="Arial" w:cs="Arial"/>
        </w:rPr>
        <w:t>2x</w:t>
      </w:r>
      <w:r w:rsidR="00EA75CB">
        <w:rPr>
          <w:rFonts w:ascii="Arial" w:hAnsi="Arial" w:cs="Arial"/>
        </w:rPr>
        <w:t xml:space="preserve"> listinné podobě pro Objednatele</w:t>
      </w:r>
      <w:r w:rsidR="00307027">
        <w:rPr>
          <w:rFonts w:ascii="Arial" w:hAnsi="Arial" w:cs="Arial"/>
        </w:rPr>
        <w:t>, 1x listinné vyhotovení určené k rozeslání vlastníků</w:t>
      </w:r>
      <w:r w:rsidR="00C2770A">
        <w:rPr>
          <w:rFonts w:ascii="Arial" w:hAnsi="Arial" w:cs="Arial"/>
        </w:rPr>
        <w:t xml:space="preserve">m řízení, </w:t>
      </w:r>
    </w:p>
    <w:p w14:paraId="0C9AA659" w14:textId="238D2660" w:rsidR="00AA03B5" w:rsidRDefault="00502640" w:rsidP="008A3DE6">
      <w:pPr>
        <w:pStyle w:val="Level2"/>
        <w:numPr>
          <w:ilvl w:val="0"/>
          <w:numId w:val="0"/>
        </w:numPr>
        <w:tabs>
          <w:tab w:val="num" w:pos="1248"/>
        </w:tabs>
        <w:spacing w:after="240"/>
        <w:ind w:left="1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r) </w:t>
      </w:r>
      <w:r w:rsidRPr="00502640">
        <w:rPr>
          <w:rFonts w:ascii="Arial" w:hAnsi="Arial" w:cs="Arial"/>
        </w:rPr>
        <w:t>Vypracování soupisu výstupních</w:t>
      </w:r>
      <w:r>
        <w:rPr>
          <w:rFonts w:ascii="Arial" w:hAnsi="Arial" w:cs="Arial"/>
        </w:rPr>
        <w:t xml:space="preserve"> </w:t>
      </w:r>
      <w:r w:rsidRPr="00502640">
        <w:rPr>
          <w:rFonts w:ascii="Arial" w:hAnsi="Arial" w:cs="Arial"/>
        </w:rPr>
        <w:t>nárokových listů vlastníků pro</w:t>
      </w:r>
      <w:r>
        <w:rPr>
          <w:rFonts w:ascii="Arial" w:hAnsi="Arial" w:cs="Arial"/>
        </w:rPr>
        <w:t xml:space="preserve"> </w:t>
      </w:r>
      <w:r w:rsidRPr="00502640">
        <w:rPr>
          <w:rFonts w:ascii="Arial" w:hAnsi="Arial" w:cs="Arial"/>
        </w:rPr>
        <w:t xml:space="preserve">upřesnění </w:t>
      </w:r>
      <w:proofErr w:type="gramStart"/>
      <w:r w:rsidRPr="00502640">
        <w:rPr>
          <w:rFonts w:ascii="Arial" w:hAnsi="Arial" w:cs="Arial"/>
        </w:rPr>
        <w:t>přídělů</w:t>
      </w:r>
      <w:r>
        <w:rPr>
          <w:rFonts w:ascii="Arial" w:hAnsi="Arial" w:cs="Arial"/>
        </w:rPr>
        <w:t xml:space="preserve"> -</w:t>
      </w:r>
      <w:r w:rsidR="00AA03B5">
        <w:rPr>
          <w:rFonts w:ascii="Arial" w:hAnsi="Arial" w:cs="Arial"/>
        </w:rPr>
        <w:t xml:space="preserve"> 1x</w:t>
      </w:r>
      <w:proofErr w:type="gramEnd"/>
      <w:r w:rsidR="00AA03B5">
        <w:rPr>
          <w:rFonts w:ascii="Arial" w:hAnsi="Arial" w:cs="Arial"/>
        </w:rPr>
        <w:t xml:space="preserve"> v digitální podobě a 2x listinné podobě pro Objednatele, 1x listinné vyhotovení určené k rozeslání vlastníkům řízení, </w:t>
      </w:r>
    </w:p>
    <w:p w14:paraId="6D263D91" w14:textId="6F21A037" w:rsidR="009A335C" w:rsidRPr="00FF3710" w:rsidRDefault="00AA03B5" w:rsidP="008A3DE6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 w:rsidR="00CD4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s)</w:t>
      </w:r>
      <w:r w:rsidR="00CD4F8F" w:rsidRPr="00CD4F8F">
        <w:t xml:space="preserve"> </w:t>
      </w:r>
      <w:r w:rsidR="00CD4F8F" w:rsidRPr="00CD4F8F">
        <w:rPr>
          <w:rFonts w:ascii="Arial" w:hAnsi="Arial" w:cs="Arial"/>
        </w:rPr>
        <w:t>Vyhotovení podkladů potřebných</w:t>
      </w:r>
      <w:r w:rsidR="00CD4F8F">
        <w:rPr>
          <w:rFonts w:ascii="Arial" w:hAnsi="Arial" w:cs="Arial"/>
        </w:rPr>
        <w:t xml:space="preserve"> </w:t>
      </w:r>
      <w:r w:rsidR="00CD4F8F" w:rsidRPr="00CD4F8F">
        <w:rPr>
          <w:rFonts w:ascii="Arial" w:hAnsi="Arial" w:cs="Arial"/>
        </w:rPr>
        <w:t>pro zápis rozhodnutí o určení</w:t>
      </w:r>
      <w:r w:rsidR="00CD4F8F">
        <w:rPr>
          <w:rFonts w:ascii="Arial" w:hAnsi="Arial" w:cs="Arial"/>
        </w:rPr>
        <w:t xml:space="preserve"> </w:t>
      </w:r>
      <w:r w:rsidR="00CD4F8F" w:rsidRPr="00CD4F8F">
        <w:rPr>
          <w:rFonts w:ascii="Arial" w:hAnsi="Arial" w:cs="Arial"/>
        </w:rPr>
        <w:t>hranic pozemků do KN</w:t>
      </w:r>
      <w:r w:rsidR="003A501A">
        <w:rPr>
          <w:rFonts w:ascii="Arial" w:hAnsi="Arial" w:cs="Arial"/>
        </w:rPr>
        <w:t xml:space="preserve"> </w:t>
      </w:r>
      <w:r w:rsidR="00A1519E">
        <w:rPr>
          <w:rFonts w:ascii="Arial" w:hAnsi="Arial" w:cs="Arial"/>
        </w:rPr>
        <w:t>–</w:t>
      </w:r>
      <w:r w:rsidR="006413CE">
        <w:rPr>
          <w:rFonts w:ascii="Arial" w:hAnsi="Arial" w:cs="Arial"/>
        </w:rPr>
        <w:t xml:space="preserve"> </w:t>
      </w:r>
      <w:r w:rsidR="00A1519E">
        <w:rPr>
          <w:rFonts w:ascii="Arial" w:hAnsi="Arial" w:cs="Arial"/>
        </w:rPr>
        <w:t>4x listinné po</w:t>
      </w:r>
      <w:r w:rsidR="00FF3710">
        <w:rPr>
          <w:rFonts w:ascii="Arial" w:hAnsi="Arial" w:cs="Arial"/>
        </w:rPr>
        <w:t>době a 1x digitální podobě</w:t>
      </w:r>
    </w:p>
    <w:bookmarkEnd w:id="0"/>
    <w:p w14:paraId="00B31CBB" w14:textId="45EDDACE" w:rsidR="003F7B8C" w:rsidRPr="009B5684" w:rsidRDefault="00562AE4" w:rsidP="00562AE4">
      <w:pPr>
        <w:pStyle w:val="Level2"/>
        <w:numPr>
          <w:ilvl w:val="0"/>
          <w:numId w:val="0"/>
        </w:numPr>
        <w:snapToGrid/>
        <w:spacing w:after="240" w:line="259" w:lineRule="auto"/>
        <w:ind w:left="851" w:hanging="255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F7B8C" w:rsidRPr="003F7B8C">
        <w:rPr>
          <w:rFonts w:ascii="Arial" w:hAnsi="Arial" w:cs="Arial"/>
        </w:rPr>
        <w:t xml:space="preserve">Smluvní strany shodně konstatují, </w:t>
      </w:r>
      <w:sdt>
        <w:sdtPr>
          <w:rPr>
            <w:rFonts w:ascii="Arial" w:eastAsia="Arial" w:hAnsi="Arial" w:cs="Arial"/>
            <w:bCs/>
            <w:lang w:eastAsia="ar-SA"/>
          </w:rPr>
          <w:id w:val="1820379649"/>
          <w:placeholder>
            <w:docPart w:val="6E273FC2A1D94BDEA3DF6CED1B9BA2CD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>
            <w:rPr>
              <w:rFonts w:ascii="Arial" w:eastAsia="Arial" w:hAnsi="Arial" w:cs="Arial"/>
              <w:bCs/>
              <w:lang w:eastAsia="ar-SA"/>
            </w:rPr>
            <w:t>d</w:t>
          </w:r>
          <w:r w:rsidRPr="00562AE4">
            <w:rPr>
              <w:rFonts w:ascii="Arial" w:eastAsia="Arial" w:hAnsi="Arial" w:cs="Arial"/>
              <w:bCs/>
              <w:lang w:eastAsia="ar-SA"/>
            </w:rPr>
            <w:t xml:space="preserve">oplnění těchto víceprací (nových fakturačních celků) bude mít časový vliv na termín plnění dalších fakturačních celků 6.3. Hlavní celek 2 „Návrhové práce“ dle smlouvy. Objednatel a zhotovitel se dohodli na stanovení nových termínů odevzdání/plnění dílčích částí 6.3.1., </w:t>
          </w:r>
          <w:proofErr w:type="gramStart"/>
          <w:r w:rsidRPr="00562AE4">
            <w:rPr>
              <w:rFonts w:ascii="Arial" w:eastAsia="Arial" w:hAnsi="Arial" w:cs="Arial"/>
              <w:bCs/>
              <w:lang w:eastAsia="ar-SA"/>
            </w:rPr>
            <w:t>6.3.1.i)a</w:t>
          </w:r>
          <w:proofErr w:type="gramEnd"/>
          <w:r w:rsidRPr="00562AE4">
            <w:rPr>
              <w:rFonts w:ascii="Arial" w:eastAsia="Arial" w:hAnsi="Arial" w:cs="Arial"/>
              <w:bCs/>
              <w:lang w:eastAsia="ar-SA"/>
            </w:rPr>
            <w:t>), 6.3.1.i)b), 6.3.1.i)c) a 6.3.2.</w:t>
          </w:r>
          <w:r w:rsidR="00860B1C">
            <w:rPr>
              <w:rFonts w:ascii="Arial" w:eastAsia="Arial" w:hAnsi="Arial" w:cs="Arial"/>
              <w:bCs/>
              <w:lang w:eastAsia="ar-SA"/>
            </w:rPr>
            <w:t xml:space="preserve"> </w:t>
          </w:r>
        </w:sdtContent>
      </w:sdt>
    </w:p>
    <w:sdt>
      <w:sdtPr>
        <w:rPr>
          <w:rFonts w:ascii="Arial" w:eastAsia="Times New Roman" w:hAnsi="Arial" w:cs="Arial"/>
          <w:lang w:eastAsia="cs-CZ"/>
        </w:rPr>
        <w:id w:val="-117459099"/>
        <w:placeholder>
          <w:docPart w:val="C4C3EE0B154A4E04A1ADCA98AA9FCAA7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261D2D3" w14:textId="0C738571" w:rsidR="003F7B8C" w:rsidRPr="0061277F" w:rsidRDefault="00562AE4" w:rsidP="00562AE4">
          <w:pPr>
            <w:pStyle w:val="Level2"/>
            <w:numPr>
              <w:ilvl w:val="0"/>
              <w:numId w:val="0"/>
            </w:numPr>
            <w:snapToGrid/>
            <w:spacing w:line="259" w:lineRule="auto"/>
            <w:ind w:left="851" w:hanging="284"/>
            <w:outlineLvl w:val="1"/>
            <w:rPr>
              <w:rFonts w:ascii="Arial" w:eastAsia="Times New Roman" w:hAnsi="Arial" w:cs="Arial"/>
              <w:lang w:eastAsia="cs-CZ"/>
            </w:rPr>
          </w:pPr>
          <w:r>
            <w:rPr>
              <w:rFonts w:ascii="Arial" w:eastAsia="Times New Roman" w:hAnsi="Arial" w:cs="Arial"/>
              <w:lang w:eastAsia="cs-CZ"/>
            </w:rPr>
            <w:t xml:space="preserve">3. </w:t>
          </w:r>
          <w:r w:rsidR="003F7B8C" w:rsidRPr="0061277F">
            <w:rPr>
              <w:rFonts w:ascii="Arial" w:eastAsia="Times New Roman" w:hAnsi="Arial" w:cs="Arial"/>
              <w:lang w:eastAsia="cs-CZ"/>
            </w:rPr>
            <w:t>Smluvní strany se dohodly na změně přílohy smlouvy – Položkový výkaz činností a na změně celkové ceny díla.</w:t>
          </w:r>
        </w:p>
      </w:sdtContent>
    </w:sdt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2941"/>
      </w:tblGrid>
      <w:tr w:rsidR="008D3323" w14:paraId="286A360D" w14:textId="77777777" w:rsidTr="00B71BC8">
        <w:trPr>
          <w:trHeight w:val="10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527838" w14:textId="77777777" w:rsidR="008D3323" w:rsidRDefault="008D3323" w:rsidP="00B71B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celková cena díla bez DPH ve znění dodatku č. 1-3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A148" w14:textId="77777777" w:rsidR="008D3323" w:rsidRDefault="008D3323" w:rsidP="00B71BC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1 572 032,00 Kč</w:t>
            </w:r>
          </w:p>
        </w:tc>
      </w:tr>
      <w:tr w:rsidR="008D3323" w14:paraId="4EF8218F" w14:textId="77777777" w:rsidTr="00B71BC8">
        <w:trPr>
          <w:trHeight w:val="10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A863F9" w14:textId="77777777" w:rsidR="008D3323" w:rsidRDefault="008D3323" w:rsidP="00B71B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 bez DPH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F35E" w14:textId="77BF8ACB" w:rsidR="008D3323" w:rsidRDefault="008D3323" w:rsidP="00B71BC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B48ED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8D3323" w14:paraId="4B415C8D" w14:textId="77777777" w:rsidTr="00B71BC8">
        <w:trPr>
          <w:trHeight w:val="10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C3E92" w14:textId="77777777" w:rsidR="008D3323" w:rsidRDefault="008D3323" w:rsidP="00B71B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 bez DPH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5CA" w14:textId="77777777" w:rsidR="008D3323" w:rsidRDefault="008D3323" w:rsidP="00B71BC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362 000,00 Kč</w:t>
            </w:r>
          </w:p>
        </w:tc>
      </w:tr>
      <w:tr w:rsidR="008D3323" w14:paraId="3B004AC7" w14:textId="77777777" w:rsidTr="00B71BC8">
        <w:trPr>
          <w:trHeight w:val="10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862B8" w14:textId="77777777" w:rsidR="008D3323" w:rsidRDefault="008D3323" w:rsidP="00B71B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Nová celková cena díla bez DPH ve znění tohoto dodatku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9FB" w14:textId="77777777" w:rsidR="008D3323" w:rsidRDefault="008D3323" w:rsidP="00B71BC8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1 934 032,00Kč</w:t>
            </w:r>
          </w:p>
        </w:tc>
      </w:tr>
      <w:tr w:rsidR="008D3323" w14:paraId="6C4E6022" w14:textId="77777777" w:rsidTr="00B71BC8">
        <w:trPr>
          <w:trHeight w:val="10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41933B" w14:textId="77777777" w:rsidR="008D3323" w:rsidRDefault="008D3323" w:rsidP="00B71B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21 %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73C" w14:textId="77777777" w:rsidR="008D3323" w:rsidRDefault="008D3323" w:rsidP="00B71BC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406 146,72 Kč</w:t>
            </w:r>
          </w:p>
        </w:tc>
      </w:tr>
      <w:tr w:rsidR="008D3323" w14:paraId="27B3481F" w14:textId="77777777" w:rsidTr="00B71BC8">
        <w:trPr>
          <w:trHeight w:val="60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AE00E" w14:textId="77777777" w:rsidR="008D3323" w:rsidRDefault="008D3323" w:rsidP="00B71B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B8D" w14:textId="77777777" w:rsidR="008D3323" w:rsidRDefault="008D3323" w:rsidP="00B71BC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2 340 178,72 Kč</w:t>
            </w:r>
          </w:p>
        </w:tc>
      </w:tr>
    </w:tbl>
    <w:p w14:paraId="5C17E9D8" w14:textId="62381C35" w:rsidR="00640F66" w:rsidRDefault="00640F66" w:rsidP="00A47590">
      <w:pPr>
        <w:spacing w:before="120" w:after="120"/>
        <w:rPr>
          <w:noProof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3040"/>
        <w:gridCol w:w="782"/>
        <w:gridCol w:w="781"/>
        <w:gridCol w:w="910"/>
        <w:gridCol w:w="1358"/>
        <w:gridCol w:w="1166"/>
        <w:gridCol w:w="1467"/>
      </w:tblGrid>
      <w:tr w:rsidR="00354621" w:rsidRPr="007C1153" w14:paraId="12E49824" w14:textId="299B1CBC" w:rsidTr="00354621">
        <w:trPr>
          <w:trHeight w:val="1172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1B6F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3A5" w14:textId="1B6C95A0" w:rsidR="007C1153" w:rsidRPr="007C1153" w:rsidRDefault="007C1153" w:rsidP="000C0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5BC2" w14:textId="2875B925" w:rsidR="007C1153" w:rsidRPr="007C1153" w:rsidRDefault="007C1153" w:rsidP="000C0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21D5F" w14:textId="3DE9D737" w:rsidR="007C1153" w:rsidRPr="007C1153" w:rsidRDefault="007C1153" w:rsidP="000C0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Změna v počtu MJ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995B" w14:textId="77777777" w:rsidR="007C1153" w:rsidRPr="007C1153" w:rsidRDefault="007C1153" w:rsidP="000C0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BB8" w14:textId="77777777" w:rsidR="007C1153" w:rsidRPr="007C1153" w:rsidRDefault="007C1153" w:rsidP="000C0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10549" w14:textId="65A94A83" w:rsidR="007C1153" w:rsidRPr="007C1153" w:rsidRDefault="007C1153" w:rsidP="000C0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Stávající platné termíny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AA1EA8" w14:textId="55205510" w:rsidR="007C1153" w:rsidRPr="007C1153" w:rsidRDefault="00354621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Nové aktualizované termíny</w:t>
            </w:r>
          </w:p>
        </w:tc>
      </w:tr>
      <w:tr w:rsidR="00354621" w:rsidRPr="007C1153" w14:paraId="40BB646B" w14:textId="24031991" w:rsidTr="00354621">
        <w:trPr>
          <w:trHeight w:val="1172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247B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6.2.9.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32B6" w14:textId="77777777" w:rsidR="007C1153" w:rsidRPr="007C1153" w:rsidRDefault="007C11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Zjišťování hranic obvodu přídělů, geometrické plány pro stanovení obvodu přídělů, předepsaná stabilizace dle vyhlášky č. 357/2013 Sb. - vícepráce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A85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 </w:t>
            </w:r>
            <w:proofErr w:type="spellStart"/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5118" w14:textId="62E8CD96" w:rsidR="007C1153" w:rsidRPr="007C1153" w:rsidRDefault="00C878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E913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7 280,00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DAA" w14:textId="4A01721A" w:rsidR="007C1153" w:rsidRPr="007C1153" w:rsidRDefault="000A4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182 000,00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FB7B" w14:textId="7C96FC25" w:rsidR="007C1153" w:rsidRPr="007C1153" w:rsidRDefault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9656" w14:textId="7E02FCC4" w:rsidR="007C1153" w:rsidRPr="007C1153" w:rsidRDefault="00354621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30.8.2026</w:t>
            </w:r>
          </w:p>
        </w:tc>
      </w:tr>
      <w:tr w:rsidR="00354621" w:rsidRPr="007C1153" w14:paraId="592AAD2F" w14:textId="73F37744" w:rsidTr="00E975B6">
        <w:trPr>
          <w:trHeight w:val="56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2254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6.2.10.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D8F8" w14:textId="77777777" w:rsidR="007C1153" w:rsidRPr="007C1153" w:rsidRDefault="007C11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Vypracování soupisu vstupních nárokových listů vlastníků pro upřesnění </w:t>
            </w:r>
            <w:proofErr w:type="gramStart"/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přídělů - vícepráce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5DAA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05C0" w14:textId="1823DD12" w:rsidR="007C1153" w:rsidRPr="007C1153" w:rsidRDefault="00C878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9B3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5A6" w14:textId="29BC25B3" w:rsidR="007C1153" w:rsidRPr="007C1153" w:rsidRDefault="000A4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45 000,00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8C141" w14:textId="7BAA7670" w:rsidR="007C1153" w:rsidRPr="007C1153" w:rsidRDefault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37100" w14:textId="41ADC774" w:rsidR="007C1153" w:rsidRPr="007C1153" w:rsidRDefault="00354621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30.9.2026</w:t>
            </w:r>
          </w:p>
        </w:tc>
      </w:tr>
      <w:tr w:rsidR="00354621" w:rsidRPr="007C1153" w14:paraId="1DECC63B" w14:textId="4869E15A" w:rsidTr="00E975B6">
        <w:trPr>
          <w:trHeight w:val="566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45B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6.2.11.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08E" w14:textId="77777777" w:rsidR="007C1153" w:rsidRPr="007C1153" w:rsidRDefault="007C11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Vypracování soupisu výstupních nárokových listů vlastníků pro upřesnění </w:t>
            </w:r>
            <w:proofErr w:type="gramStart"/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přídělů - vícepráce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E32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B2AF" w14:textId="32E4AC65" w:rsidR="007C1153" w:rsidRPr="007C1153" w:rsidRDefault="00C878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BA57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4 000,00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827C" w14:textId="1E5E368B" w:rsidR="007C1153" w:rsidRPr="007C1153" w:rsidRDefault="000A4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C91A9" w14:textId="21C925DB" w:rsidR="007C1153" w:rsidRPr="007C1153" w:rsidRDefault="00C878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72273" w14:textId="6E4725AC" w:rsidR="007C1153" w:rsidRPr="007C1153" w:rsidRDefault="00354621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30.9.2026</w:t>
            </w:r>
          </w:p>
        </w:tc>
      </w:tr>
      <w:tr w:rsidR="00354621" w:rsidRPr="007C1153" w14:paraId="40616208" w14:textId="1880FDA1" w:rsidTr="00C878C7">
        <w:trPr>
          <w:trHeight w:val="858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8400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6.2.12.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12D" w14:textId="77777777" w:rsidR="007C1153" w:rsidRPr="007C1153" w:rsidRDefault="007C11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Vyhotovení podkladů potřebných pro zápis rozhodnutí o určení hranic pozemků do </w:t>
            </w:r>
            <w:proofErr w:type="gramStart"/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KN - vícepráce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8A2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FE28" w14:textId="09B662A8" w:rsidR="007C1153" w:rsidRPr="007C1153" w:rsidRDefault="00C878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4689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AEF0" w14:textId="252E7A5B" w:rsidR="007C1153" w:rsidRPr="007C1153" w:rsidRDefault="000A48A8" w:rsidP="00C878C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75</w:t>
            </w:r>
            <w:r w:rsidR="00C87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C1153"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1DBB" w14:textId="37755FFE" w:rsidR="007C1153" w:rsidRPr="007C1153" w:rsidRDefault="00C878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ECAFA" w14:textId="03203EF9" w:rsidR="007C1153" w:rsidRPr="007C1153" w:rsidRDefault="00354621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do 1 měsíce od výzvy Objednatele</w:t>
            </w:r>
          </w:p>
        </w:tc>
      </w:tr>
      <w:tr w:rsidR="00354621" w:rsidRPr="007C1153" w14:paraId="6D60EBEF" w14:textId="5BEB7A57" w:rsidTr="00354621">
        <w:trPr>
          <w:trHeight w:val="763"/>
        </w:trPr>
        <w:tc>
          <w:tcPr>
            <w:tcW w:w="3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913D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2C42E" w14:textId="77777777" w:rsidR="007C1153" w:rsidRPr="007C1153" w:rsidRDefault="007C11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CC54B" w14:textId="77777777" w:rsidR="007C1153" w:rsidRPr="007C1153" w:rsidRDefault="007C11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9AB03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2409E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1 137 610,00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E5E3" w14:textId="4C2F7528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14759" w14:textId="53AE6E6D" w:rsidR="007C1153" w:rsidRPr="007C1153" w:rsidRDefault="00354621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31.8.2025</w:t>
            </w:r>
          </w:p>
        </w:tc>
      </w:tr>
      <w:tr w:rsidR="00354621" w:rsidRPr="007C1153" w14:paraId="6AD36D0B" w14:textId="03EC172A" w:rsidTr="00354621">
        <w:trPr>
          <w:trHeight w:val="566"/>
        </w:trPr>
        <w:tc>
          <w:tcPr>
            <w:tcW w:w="69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48320D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EADF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5828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ED24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6C99" w14:textId="77777777" w:rsidR="007C1153" w:rsidRPr="007C1153" w:rsidRDefault="007C11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006C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1D15" w14:textId="77777777" w:rsidR="007C1153" w:rsidRPr="007C1153" w:rsidRDefault="007C11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34149DA" w14:textId="77777777" w:rsidR="007C1153" w:rsidRPr="007C1153" w:rsidRDefault="007C1153" w:rsidP="00354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6423" w:rsidRPr="007C1153" w14:paraId="3D204DE3" w14:textId="4F507149" w:rsidTr="00C26423">
        <w:trPr>
          <w:trHeight w:val="56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2499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71C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BBC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179E" w14:textId="7E55C5FB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C457" w14:textId="053FA714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2370" w14:textId="5042952D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2D66" w14:textId="3432A687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30.6.2026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16DAF5" w14:textId="4AE40B57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30.10.2026</w:t>
            </w:r>
          </w:p>
        </w:tc>
      </w:tr>
      <w:tr w:rsidR="00C26423" w:rsidRPr="007C1153" w14:paraId="26CFBF94" w14:textId="1ED1C537" w:rsidTr="00C26423">
        <w:trPr>
          <w:trHeight w:val="107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E146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EBCF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293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0B18" w14:textId="7BDE5F92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5B75" w14:textId="78DC0738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52C6" w14:textId="3351BDDB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D4367" w14:textId="77777777" w:rsidR="00C26423" w:rsidRPr="007C1153" w:rsidRDefault="00C26423" w:rsidP="00C264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878D51" w14:textId="34C02FA1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6423" w:rsidRPr="007C1153" w14:paraId="420B5099" w14:textId="47697D28" w:rsidTr="00C26423">
        <w:trPr>
          <w:trHeight w:val="906"/>
        </w:trPr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FAB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E0DE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4B89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C1153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B08" w14:textId="00CD1FA1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F75F" w14:textId="2EE211A4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CA75" w14:textId="69D6F2B2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AC745" w14:textId="77777777" w:rsidR="00C26423" w:rsidRPr="007C1153" w:rsidRDefault="00C26423" w:rsidP="00C264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3499D" w14:textId="40D1C251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6423" w:rsidRPr="007C1153" w14:paraId="51B89A2F" w14:textId="2A1730D6" w:rsidTr="00C26423">
        <w:trPr>
          <w:trHeight w:val="883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CFB4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093A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D1EF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C1153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8BD3" w14:textId="1F9F8175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FADE" w14:textId="6874891F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8A0" w14:textId="348AB473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981E1" w14:textId="77777777" w:rsidR="00C26423" w:rsidRPr="007C1153" w:rsidRDefault="00C26423" w:rsidP="00C264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B950B8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6423" w:rsidRPr="007C1153" w14:paraId="7C0B4AD5" w14:textId="2F5EFC8B" w:rsidTr="00C26423">
        <w:trPr>
          <w:trHeight w:val="90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A3F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F50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DTR vodohospodářských staveb PSZ dle čl. 6.3.1 i) c) Smlouvy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C465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C1153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27D" w14:textId="55D78FA1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6F0" w14:textId="511A9AE1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317F" w14:textId="608B2D9A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8CCF3" w14:textId="77777777" w:rsidR="00C26423" w:rsidRPr="007C1153" w:rsidRDefault="00C26423" w:rsidP="00C264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B3816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6423" w:rsidRPr="007C1153" w14:paraId="0C69EE8B" w14:textId="67E92932" w:rsidTr="00C26423">
        <w:trPr>
          <w:trHeight w:val="66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82C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7CC" w14:textId="77777777" w:rsidR="00C26423" w:rsidRPr="007C1153" w:rsidRDefault="00C26423" w:rsidP="00C26423">
            <w:pPr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81AC" w14:textId="77777777" w:rsidR="00C26423" w:rsidRPr="007C1153" w:rsidRDefault="00C26423" w:rsidP="00C26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B5EAD" w14:textId="53839AF9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FB8" w14:textId="1BB2BBBE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CC3" w14:textId="7071B5D2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3E4">
              <w:rPr>
                <w:rFonts w:ascii="Arial" w:hAnsi="Arial" w:cs="Arial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C634A" w14:textId="4CF9AF5B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30.6.2027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E4BD6" w14:textId="01F5AAF3" w:rsidR="00C26423" w:rsidRPr="007C1153" w:rsidRDefault="00C26423" w:rsidP="00C26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153">
              <w:rPr>
                <w:rFonts w:ascii="Arial" w:hAnsi="Arial" w:cs="Arial"/>
                <w:b/>
                <w:bCs/>
                <w:sz w:val="18"/>
                <w:szCs w:val="18"/>
              </w:rPr>
              <w:t>30.10.2027</w:t>
            </w:r>
          </w:p>
        </w:tc>
      </w:tr>
    </w:tbl>
    <w:p w14:paraId="579AC9DD" w14:textId="77777777" w:rsidR="00C878C7" w:rsidRPr="009E3F8B" w:rsidRDefault="00C878C7" w:rsidP="001256B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5899DC66" w14:textId="1642D135" w:rsidR="00995D73" w:rsidRPr="00E975B6" w:rsidRDefault="00CE48D2" w:rsidP="00E975B6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3BE430F3" w14:textId="208226A3" w:rsidR="00771E71" w:rsidRDefault="00771E71" w:rsidP="00E975B6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2"/>
          <w:szCs w:val="22"/>
        </w:rPr>
      </w:pPr>
      <w:r w:rsidRPr="005C01F2">
        <w:rPr>
          <w:rFonts w:ascii="Arial" w:hAnsi="Arial" w:cs="Arial"/>
          <w:sz w:val="22"/>
          <w:szCs w:val="22"/>
        </w:rPr>
        <w:t>Ostatní ujednání Smlouvy</w:t>
      </w:r>
      <w:r w:rsidR="00974190">
        <w:rPr>
          <w:rFonts w:ascii="Arial" w:hAnsi="Arial" w:cs="Arial"/>
          <w:sz w:val="22"/>
          <w:szCs w:val="22"/>
        </w:rPr>
        <w:t xml:space="preserve"> ve znění dodatků 1 až 3</w:t>
      </w:r>
      <w:r w:rsidRPr="005C01F2">
        <w:rPr>
          <w:rFonts w:ascii="Arial" w:hAnsi="Arial" w:cs="Arial"/>
          <w:sz w:val="22"/>
          <w:szCs w:val="22"/>
        </w:rPr>
        <w:t>, která nejsou dotčena tímto Dodatkem (tj. termíny a ceny), se nemění.</w:t>
      </w:r>
    </w:p>
    <w:p w14:paraId="0FC774BA" w14:textId="77777777" w:rsidR="00995D73" w:rsidRPr="005B0F73" w:rsidRDefault="00995D73" w:rsidP="00E975B6">
      <w:pPr>
        <w:rPr>
          <w:rFonts w:ascii="Arial" w:hAnsi="Arial" w:cs="Arial"/>
          <w:sz w:val="22"/>
          <w:szCs w:val="22"/>
        </w:rPr>
      </w:pPr>
    </w:p>
    <w:p w14:paraId="3C36BC82" w14:textId="77777777" w:rsidR="00771E71" w:rsidRDefault="00771E71" w:rsidP="00E975B6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2"/>
          <w:szCs w:val="22"/>
        </w:rPr>
      </w:pPr>
      <w:r w:rsidRPr="00B4440D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B4440D">
        <w:rPr>
          <w:rFonts w:ascii="Arial" w:hAnsi="Arial" w:cs="Arial"/>
          <w:sz w:val="22"/>
          <w:szCs w:val="22"/>
        </w:rPr>
        <w:t>ruší</w:t>
      </w:r>
      <w:proofErr w:type="gramEnd"/>
      <w:r w:rsidRPr="00B4440D">
        <w:rPr>
          <w:rFonts w:ascii="Arial" w:hAnsi="Arial" w:cs="Arial"/>
          <w:sz w:val="22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CCAB60C" w14:textId="77777777" w:rsidR="00995D73" w:rsidRPr="00995D73" w:rsidRDefault="00995D73" w:rsidP="00E975B6">
      <w:pPr>
        <w:rPr>
          <w:rFonts w:ascii="Arial" w:hAnsi="Arial" w:cs="Arial"/>
          <w:sz w:val="22"/>
          <w:szCs w:val="22"/>
        </w:rPr>
      </w:pPr>
    </w:p>
    <w:p w14:paraId="65CF2578" w14:textId="579385C8" w:rsidR="00995D73" w:rsidRDefault="00771E71" w:rsidP="00E975B6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2"/>
          <w:szCs w:val="22"/>
        </w:rPr>
      </w:pPr>
      <w:r w:rsidRPr="00612CEC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AD33CD6" w14:textId="77777777" w:rsidR="00995D73" w:rsidRPr="00995D73" w:rsidRDefault="00995D73" w:rsidP="00E975B6"/>
    <w:p w14:paraId="36F2722F" w14:textId="77777777" w:rsidR="00771E71" w:rsidRPr="00A22C99" w:rsidRDefault="00000000" w:rsidP="00E975B6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BA6DB50DE505427DB9EA37C55E0185F8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771E7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64BBE618" w14:textId="77777777" w:rsidR="00995D73" w:rsidRPr="00E975B6" w:rsidRDefault="00995D73" w:rsidP="00E975B6">
      <w:pPr>
        <w:rPr>
          <w:sz w:val="22"/>
          <w:szCs w:val="22"/>
        </w:rPr>
      </w:pPr>
    </w:p>
    <w:p w14:paraId="11756A83" w14:textId="4D0686C6" w:rsidR="00E975B6" w:rsidRDefault="00771E71" w:rsidP="00E975B6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95D73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</w:t>
      </w:r>
      <w:r w:rsidRPr="00995D73">
        <w:rPr>
          <w:rFonts w:ascii="Arial" w:hAnsi="Arial" w:cs="Arial"/>
          <w:sz w:val="22"/>
          <w:szCs w:val="22"/>
        </w:rPr>
        <w:lastRenderedPageBreak/>
        <w:t>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108445EE" w14:textId="77777777" w:rsidR="00E975B6" w:rsidRPr="00E975B6" w:rsidRDefault="00E975B6" w:rsidP="00E975B6">
      <w:pPr>
        <w:jc w:val="both"/>
        <w:rPr>
          <w:rFonts w:ascii="Arial" w:hAnsi="Arial" w:cs="Arial"/>
          <w:sz w:val="22"/>
          <w:szCs w:val="22"/>
        </w:rPr>
      </w:pPr>
    </w:p>
    <w:p w14:paraId="1493A685" w14:textId="77777777" w:rsidR="00771E71" w:rsidRDefault="00771E71" w:rsidP="00E975B6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2DF61B36" w14:textId="77777777" w:rsidR="00F40C11" w:rsidRPr="00E975B6" w:rsidRDefault="00F40C11" w:rsidP="00E975B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433BF636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0AA9599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69DA189" w14:textId="344B3FB4" w:rsidR="008C265A" w:rsidRPr="00A22C99" w:rsidRDefault="00106CC0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2CF4BA5" w14:textId="0FE0C949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106CC0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="00EB48ED">
        <w:rPr>
          <w:rFonts w:ascii="Arial" w:hAnsi="Arial" w:cs="Arial"/>
          <w:sz w:val="22"/>
          <w:szCs w:val="22"/>
        </w:rPr>
        <w:t xml:space="preserve"> </w:t>
      </w:r>
      <w:r w:rsidR="00EB48ED" w:rsidRPr="00EA5A5D">
        <w:rPr>
          <w:rFonts w:ascii="Arial" w:hAnsi="Arial" w:cs="Arial"/>
          <w:sz w:val="22"/>
          <w:szCs w:val="22"/>
        </w:rPr>
        <w:t>24.10.2025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="00106CC0">
        <w:rPr>
          <w:rFonts w:ascii="Arial" w:hAnsi="Arial" w:cs="Arial"/>
          <w:sz w:val="22"/>
          <w:szCs w:val="22"/>
        </w:rPr>
        <w:tab/>
      </w:r>
      <w:r w:rsidR="00106CC0">
        <w:rPr>
          <w:rFonts w:ascii="Arial" w:hAnsi="Arial" w:cs="Arial"/>
          <w:sz w:val="22"/>
          <w:szCs w:val="22"/>
        </w:rPr>
        <w:tab/>
      </w:r>
      <w:r w:rsidR="00106CC0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 xml:space="preserve">V Plzni dne </w:t>
      </w:r>
      <w:r w:rsidR="00EB48ED">
        <w:rPr>
          <w:rFonts w:ascii="Arial" w:hAnsi="Arial" w:cs="Arial"/>
          <w:sz w:val="22"/>
          <w:szCs w:val="22"/>
        </w:rPr>
        <w:t>23.10.2025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04A7E5C6" w14:textId="67F7347D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E975B6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E975B6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E975B6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</w:sdtContent>
      </w:sdt>
      <w:r w:rsidR="00E975B6">
        <w:rPr>
          <w:rFonts w:ascii="Arial" w:hAnsi="Arial" w:cs="Arial"/>
          <w:i/>
          <w:iCs/>
          <w:sz w:val="18"/>
          <w:szCs w:val="18"/>
        </w:rPr>
        <w:t>“</w:t>
      </w:r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679461E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760DC6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0B29B4">
        <w:rPr>
          <w:rFonts w:ascii="Arial" w:hAnsi="Arial" w:cs="Arial"/>
          <w:b/>
          <w:bCs/>
          <w:sz w:val="22"/>
          <w:szCs w:val="22"/>
        </w:rPr>
        <w:t>Barbora Salátová</w:t>
      </w:r>
    </w:p>
    <w:p w14:paraId="1DAEE7A4" w14:textId="17B9D18D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9D5093">
            <w:rPr>
              <w:rFonts w:ascii="Arial" w:hAnsi="Arial" w:cs="Arial"/>
              <w:sz w:val="22"/>
              <w:szCs w:val="22"/>
            </w:rPr>
            <w:t>ř</w:t>
          </w:r>
          <w:r w:rsidR="001B15BA">
            <w:rPr>
              <w:rFonts w:ascii="Arial" w:hAnsi="Arial" w:cs="Arial"/>
              <w:sz w:val="22"/>
              <w:szCs w:val="22"/>
            </w:rPr>
            <w:t>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2493A724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0B29B4">
        <w:rPr>
          <w:rFonts w:ascii="Arial" w:hAnsi="Arial" w:cs="Arial"/>
          <w:sz w:val="22"/>
          <w:szCs w:val="22"/>
        </w:rPr>
        <w:t>POZEMKOVÉ ÚPRAVY K+V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B76C8A" w14:textId="546A4413" w:rsidR="00D10E5F" w:rsidRDefault="00D10E5F" w:rsidP="00771E71">
      <w:pPr>
        <w:rPr>
          <w:rFonts w:ascii="Arial" w:hAnsi="Arial" w:cs="Arial"/>
          <w:sz w:val="22"/>
          <w:szCs w:val="22"/>
        </w:rPr>
      </w:pPr>
    </w:p>
    <w:p w14:paraId="3E61DE7B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739245E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1EA127B9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1B1964C1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49940E89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662346DB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38EDEA4C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786931B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56EF5A94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49AB90E6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55E41618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239C5E9C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5CE6E33D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7E743AEE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115A8BFF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3966EAAE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6340E843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4BE4B694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643A6417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4A1BD47A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79F739A5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5DB0F180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378A9EFE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tbl>
      <w:tblPr>
        <w:tblW w:w="10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75"/>
        <w:gridCol w:w="996"/>
        <w:gridCol w:w="996"/>
        <w:gridCol w:w="1364"/>
        <w:gridCol w:w="1323"/>
        <w:gridCol w:w="1584"/>
      </w:tblGrid>
      <w:tr w:rsidR="00566ADB" w14:paraId="7A1071D2" w14:textId="77777777" w:rsidTr="00566ADB">
        <w:trPr>
          <w:trHeight w:val="471"/>
        </w:trPr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3268" w14:textId="40C01ECA" w:rsidR="00566ADB" w:rsidRDefault="00CC2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RANGE!A1:G39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Příloha č. 1 - </w:t>
            </w:r>
            <w:r w:rsidR="00566A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Položkový výkaz činností – Příloha ke Smlouvě – Komplexní pozemkové úpravy v k. </w:t>
            </w:r>
            <w:proofErr w:type="spellStart"/>
            <w:r w:rsidR="00566ADB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="00566A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66ADB">
              <w:rPr>
                <w:rFonts w:ascii="Arial" w:hAnsi="Arial" w:cs="Arial"/>
                <w:b/>
                <w:bCs/>
                <w:sz w:val="22"/>
                <w:szCs w:val="22"/>
              </w:rPr>
              <w:t>Mračnice</w:t>
            </w:r>
            <w:proofErr w:type="spellEnd"/>
            <w:r w:rsidR="00566A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End w:id="2"/>
          </w:p>
        </w:tc>
      </w:tr>
      <w:tr w:rsidR="00566ADB" w14:paraId="68909BBD" w14:textId="77777777" w:rsidTr="00566ADB">
        <w:trPr>
          <w:trHeight w:val="849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EB8321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12788E" w14:textId="4EA4C1B5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</w:t>
            </w:r>
            <w:proofErr w:type="gram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celek  /</w:t>
            </w:r>
            <w:proofErr w:type="gramEnd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Dílčí část Hlavního celku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A7CB2F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2A9D9E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EDA48C" w14:textId="1C8F5A94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CE42C9" w14:textId="1C19B33A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EE24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566ADB" w14:paraId="2A783826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B39880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1D20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1810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E393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3601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6F4C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9386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66ADB" w14:paraId="106AB81B" w14:textId="77777777" w:rsidTr="00566ADB">
        <w:trPr>
          <w:trHeight w:val="489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D3AF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BE2A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FFB6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AA1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9D0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3 630,00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5D7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29 040,00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3234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566ADB" w14:paraId="26107916" w14:textId="77777777" w:rsidTr="00566ADB">
        <w:trPr>
          <w:trHeight w:val="489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94A9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6.2.2.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01B7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C004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40E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BE62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79DC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205 700,00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D8F7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566ADB" w14:paraId="7B56EE56" w14:textId="77777777" w:rsidTr="00566ADB">
        <w:trPr>
          <w:trHeight w:val="548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167C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68E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 xml:space="preserve"> v trvalých porostech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E174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2FE00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1E30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0FA0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9 680,00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A2E17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566ADB" w14:paraId="6F7CEFB1" w14:textId="77777777" w:rsidTr="00566ADB">
        <w:trPr>
          <w:trHeight w:val="8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4C1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6.2.4.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932E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0B6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B09F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C35E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AD84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217 800,00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558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566ADB" w14:paraId="520787AC" w14:textId="77777777" w:rsidTr="00566ADB">
        <w:trPr>
          <w:trHeight w:val="56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89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6.2.7.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FD29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957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6AB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3F87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605,00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5B4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105 270,00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37760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566ADB" w14:paraId="5EA9A973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D9C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6.2.8.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C144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55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DDB3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D87E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A04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208 120,00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590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</w:tr>
      <w:tr w:rsidR="00566ADB" w14:paraId="20222993" w14:textId="77777777" w:rsidTr="00566ADB">
        <w:trPr>
          <w:trHeight w:val="101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924C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6.2.9.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33AB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Zjišťování hranic obvodu přídělů, geometrické plány pro stanovení obvodu přídělů, předepsaná stabilizace dle vyhlášky č. 357/2013 Sb. - vícepráce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A97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  <w:proofErr w:type="spell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5A08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C350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7 280,00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CF2C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182 000,00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8F3F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30.8.2026</w:t>
            </w:r>
          </w:p>
        </w:tc>
      </w:tr>
      <w:tr w:rsidR="00566ADB" w14:paraId="69B50EC8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D08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6.2.10.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154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Vypracování soupisu vstupních nárokových listů vlastníků pro upřesnění </w:t>
            </w:r>
            <w:proofErr w:type="gram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přídělů - vícepráce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79B0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3B4A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645E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45DD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EF59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30.9.2026</w:t>
            </w:r>
          </w:p>
        </w:tc>
      </w:tr>
      <w:tr w:rsidR="00566ADB" w14:paraId="5C072D54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0C9C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6.2.11.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378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Vypracování soupisu výstupních nárokových listů vlastníků pro upřesnění </w:t>
            </w:r>
            <w:proofErr w:type="gram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přídělů - vícepráce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3AE3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4FFE3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972F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B93F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7130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30.9.2026</w:t>
            </w:r>
          </w:p>
        </w:tc>
      </w:tr>
      <w:tr w:rsidR="00566ADB" w14:paraId="12A42E45" w14:textId="77777777" w:rsidTr="008E65D3">
        <w:trPr>
          <w:trHeight w:val="743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E920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6.2.12.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2E5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Vyhotovení podkladů potřebných pro zápis rozhodnutí o určení hranic pozemků do </w:t>
            </w:r>
            <w:proofErr w:type="gram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KN - vícepráce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35F7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85A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372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0295" w14:textId="6063F510" w:rsidR="00566ADB" w:rsidRPr="00566ADB" w:rsidRDefault="00566ADB" w:rsidP="008E65D3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75 000,00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E39E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do 1 měsíce od výzvy Objednatele</w:t>
            </w:r>
          </w:p>
        </w:tc>
      </w:tr>
      <w:tr w:rsidR="00566ADB" w14:paraId="5298D71E" w14:textId="77777777" w:rsidTr="00566ADB">
        <w:trPr>
          <w:trHeight w:val="660"/>
        </w:trPr>
        <w:tc>
          <w:tcPr>
            <w:tcW w:w="4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FC8EF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C57B0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CACC3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CAD07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6A682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1 137 610,00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E8F36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31.8.2025</w:t>
            </w:r>
          </w:p>
        </w:tc>
      </w:tr>
      <w:tr w:rsidR="00566ADB" w14:paraId="080A61FF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818532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AD34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55CB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2589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DBFA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CC2D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C9B2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66ADB" w14:paraId="4833EC80" w14:textId="77777777" w:rsidTr="00566ADB">
        <w:trPr>
          <w:trHeight w:val="489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2D2F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ABB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2CC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0797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0D42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1 452,00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A245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249 744,00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E36AA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30.10.2026</w:t>
            </w:r>
          </w:p>
        </w:tc>
      </w:tr>
      <w:tr w:rsidR="00566ADB" w14:paraId="3712C365" w14:textId="77777777" w:rsidTr="00566ADB">
        <w:trPr>
          <w:trHeight w:val="92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50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270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2DC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E685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3603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5AF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18 150,00</w:t>
            </w: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74730" w14:textId="77777777" w:rsidR="00566ADB" w:rsidRPr="00566ADB" w:rsidRDefault="00566AD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6ADB" w14:paraId="11EC3A07" w14:textId="77777777" w:rsidTr="00566ADB">
        <w:trPr>
          <w:trHeight w:val="786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40E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F92D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FE4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CEA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9C51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E42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21 780,00</w:t>
            </w: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AD719C" w14:textId="77777777" w:rsidR="00566ADB" w:rsidRPr="00566ADB" w:rsidRDefault="00566AD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6ADB" w14:paraId="28369213" w14:textId="77777777" w:rsidTr="00566ADB">
        <w:trPr>
          <w:trHeight w:val="764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D58B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F569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94A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F73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21F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83C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DE212" w14:textId="77777777" w:rsidR="00566ADB" w:rsidRPr="00566ADB" w:rsidRDefault="00566AD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6ADB" w14:paraId="3CF47239" w14:textId="77777777" w:rsidTr="009D5093">
        <w:trPr>
          <w:trHeight w:val="78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ABF5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3AB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C8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2DE5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6529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B95B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4D962" w14:textId="77777777" w:rsidR="00566ADB" w:rsidRPr="00566ADB" w:rsidRDefault="00566AD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66ADB" w14:paraId="1ACBCC53" w14:textId="77777777" w:rsidTr="009D5093">
        <w:trPr>
          <w:trHeight w:val="78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496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lastRenderedPageBreak/>
              <w:t>6.3.2 h) 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3BA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1156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F95E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5EFE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10 164,00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9EE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10 164,00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8943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566ADB" w14:paraId="240DF98A" w14:textId="77777777" w:rsidTr="00566ADB">
        <w:trPr>
          <w:trHeight w:val="78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EB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6B6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6899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7F50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FB7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5 808,00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F62D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5 808,00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0D1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566ADB" w14:paraId="4A5A7397" w14:textId="77777777" w:rsidTr="00566ADB">
        <w:trPr>
          <w:trHeight w:val="78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DB1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895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0ACC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18D1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C232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2 178,00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E1D1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2 178,00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C6C0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566ADB" w14:paraId="034F2670" w14:textId="77777777" w:rsidTr="00566ADB">
        <w:trPr>
          <w:trHeight w:val="57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868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B60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130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BAEE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D44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1 452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679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249 744,00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DF59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30.10.2027</w:t>
            </w:r>
          </w:p>
        </w:tc>
      </w:tr>
      <w:tr w:rsidR="00566ADB" w14:paraId="1944B5BF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6A5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E503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FFE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D2F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314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12 100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B89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655E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566ADB" w14:paraId="424FA759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17C1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03C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D0DC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133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0419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4 840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DC24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14 520,00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3F98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66ADB" w14:paraId="469B44A3" w14:textId="77777777" w:rsidTr="00566ADB">
        <w:trPr>
          <w:trHeight w:val="604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E836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227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1765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66BD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3D3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10 164 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A676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10 164,00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CA6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66ADB" w14:paraId="2C93A52A" w14:textId="77777777" w:rsidTr="00566ADB">
        <w:trPr>
          <w:trHeight w:val="60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EBEB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73E2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2F4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C9E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697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5 808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DDDD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5 808,00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4D6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66ADB" w14:paraId="5FCE5544" w14:textId="77777777" w:rsidTr="00566ADB">
        <w:trPr>
          <w:trHeight w:val="59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04F0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566ADB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566A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4C5E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A28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3A9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C0AE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2 178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C72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2 178,00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0736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66ADB" w14:paraId="0CC23739" w14:textId="77777777" w:rsidTr="00566ADB">
        <w:trPr>
          <w:trHeight w:val="660"/>
        </w:trPr>
        <w:tc>
          <w:tcPr>
            <w:tcW w:w="4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AA09D1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750EB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837D6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FF3C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66941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650 738,00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AEE4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566ADB" w14:paraId="0F73A745" w14:textId="77777777" w:rsidTr="00566ADB">
        <w:trPr>
          <w:trHeight w:val="48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49BF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52B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8F9E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4E55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D39F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847,00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2BD7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145 684,00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AFF9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566ADB" w14:paraId="7A7131BA" w14:textId="77777777" w:rsidTr="00566ADB">
        <w:trPr>
          <w:trHeight w:val="660"/>
        </w:trPr>
        <w:tc>
          <w:tcPr>
            <w:tcW w:w="41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4C44D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BADB0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33278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1769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ED9C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145 684,00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26B0A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566ADB" w14:paraId="0FA45B41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9744" w14:textId="77777777" w:rsidR="00566ADB" w:rsidRPr="00566ADB" w:rsidRDefault="00566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FEB8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ABB7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6145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9373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4E2A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66ADB" w14:paraId="54E4E923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6B8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DCF8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04EA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5149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33E9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1 137 610,00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715C0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66ADB" w14:paraId="1EEB1640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711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D1D6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BF8E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8900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361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650 738,00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5B3ACA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66ADB" w14:paraId="26E0A1C4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57F0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5EFE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F0B8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9065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4C74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145 684,00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37EF35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66ADB" w14:paraId="1D26A69C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AA0F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A5C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6C02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160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BFA4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1 934 032,00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A6C028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66ADB" w14:paraId="49E343F3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D9C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566ADB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566ADB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9B1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40F" w14:textId="77777777" w:rsidR="00566ADB" w:rsidRPr="00566ADB" w:rsidRDefault="00566ADB">
            <w:pPr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A53E" w14:textId="77777777" w:rsidR="00566ADB" w:rsidRPr="00566ADB" w:rsidRDefault="0056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DB12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406 146,72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730714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66ADB" w14:paraId="5E84718F" w14:textId="77777777" w:rsidTr="00566ADB">
        <w:trPr>
          <w:trHeight w:val="489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ACFD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30B1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46A" w14:textId="77777777" w:rsidR="00566ADB" w:rsidRPr="00566ADB" w:rsidRDefault="00566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369A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8198" w14:textId="77777777" w:rsidR="00566ADB" w:rsidRPr="00566ADB" w:rsidRDefault="00566ADB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6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2 340 178,72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F88148" w14:textId="77777777" w:rsidR="00566ADB" w:rsidRPr="00566ADB" w:rsidRDefault="0056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DB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612F8A0A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p w14:paraId="70F99D82" w14:textId="77777777" w:rsidR="00566ADB" w:rsidRDefault="00566ADB" w:rsidP="00771E71">
      <w:pPr>
        <w:rPr>
          <w:rFonts w:ascii="Arial" w:hAnsi="Arial" w:cs="Arial"/>
          <w:sz w:val="22"/>
          <w:szCs w:val="22"/>
        </w:rPr>
      </w:pPr>
    </w:p>
    <w:sectPr w:rsidR="00566ADB" w:rsidSect="003F7B8C">
      <w:footerReference w:type="default" r:id="rId12"/>
      <w:type w:val="continuous"/>
      <w:pgSz w:w="11906" w:h="16838"/>
      <w:pgMar w:top="709" w:right="851" w:bottom="851" w:left="99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0708" w14:textId="77777777" w:rsidR="00FF3702" w:rsidRDefault="00FF3702" w:rsidP="002472CD">
      <w:r>
        <w:separator/>
      </w:r>
    </w:p>
  </w:endnote>
  <w:endnote w:type="continuationSeparator" w:id="0">
    <w:p w14:paraId="6CF85990" w14:textId="77777777" w:rsidR="00FF3702" w:rsidRDefault="00FF3702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5C58" w14:textId="77777777" w:rsidR="00FF3702" w:rsidRDefault="00FF3702" w:rsidP="002472CD">
      <w:r>
        <w:separator/>
      </w:r>
    </w:p>
  </w:footnote>
  <w:footnote w:type="continuationSeparator" w:id="0">
    <w:p w14:paraId="066D488B" w14:textId="77777777" w:rsidR="00FF3702" w:rsidRDefault="00FF3702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F75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F41773"/>
    <w:multiLevelType w:val="hybridMultilevel"/>
    <w:tmpl w:val="58423CE8"/>
    <w:lvl w:ilvl="0" w:tplc="E8383C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5AAE173F"/>
    <w:multiLevelType w:val="multilevel"/>
    <w:tmpl w:val="0BB43F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513DA5"/>
    <w:multiLevelType w:val="hybridMultilevel"/>
    <w:tmpl w:val="5A8C3FEA"/>
    <w:lvl w:ilvl="0" w:tplc="705005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62AE7"/>
    <w:multiLevelType w:val="hybridMultilevel"/>
    <w:tmpl w:val="D72E89E8"/>
    <w:lvl w:ilvl="0" w:tplc="FAFC31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63401CB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31"/>
        </w:tabs>
        <w:ind w:left="1531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778F0715"/>
    <w:multiLevelType w:val="hybridMultilevel"/>
    <w:tmpl w:val="F9D4EF74"/>
    <w:lvl w:ilvl="0" w:tplc="1CB00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491659">
    <w:abstractNumId w:val="1"/>
  </w:num>
  <w:num w:numId="2" w16cid:durableId="1010058529">
    <w:abstractNumId w:val="5"/>
  </w:num>
  <w:num w:numId="3" w16cid:durableId="1907177884">
    <w:abstractNumId w:val="4"/>
  </w:num>
  <w:num w:numId="4" w16cid:durableId="757872226">
    <w:abstractNumId w:val="3"/>
  </w:num>
  <w:num w:numId="5" w16cid:durableId="385953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0"/>
  </w:num>
  <w:num w:numId="10" w16cid:durableId="1343432003">
    <w:abstractNumId w:val="2"/>
  </w:num>
  <w:num w:numId="11" w16cid:durableId="38827510">
    <w:abstractNumId w:val="11"/>
  </w:num>
  <w:num w:numId="12" w16cid:durableId="558828052">
    <w:abstractNumId w:val="8"/>
  </w:num>
  <w:num w:numId="13" w16cid:durableId="186338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512078">
    <w:abstractNumId w:val="13"/>
  </w:num>
  <w:num w:numId="15" w16cid:durableId="1620187241">
    <w:abstractNumId w:val="9"/>
  </w:num>
  <w:num w:numId="16" w16cid:durableId="857038733">
    <w:abstractNumId w:val="6"/>
  </w:num>
  <w:num w:numId="17" w16cid:durableId="878008225">
    <w:abstractNumId w:val="10"/>
  </w:num>
  <w:num w:numId="18" w16cid:durableId="777674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5186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4DC"/>
    <w:rsid w:val="00011A9F"/>
    <w:rsid w:val="000146E2"/>
    <w:rsid w:val="000164A7"/>
    <w:rsid w:val="00017EC6"/>
    <w:rsid w:val="0002031A"/>
    <w:rsid w:val="0002079B"/>
    <w:rsid w:val="00022935"/>
    <w:rsid w:val="0002433A"/>
    <w:rsid w:val="00024537"/>
    <w:rsid w:val="00035962"/>
    <w:rsid w:val="00037C79"/>
    <w:rsid w:val="000421D3"/>
    <w:rsid w:val="00043F1A"/>
    <w:rsid w:val="00045C70"/>
    <w:rsid w:val="00047979"/>
    <w:rsid w:val="00054504"/>
    <w:rsid w:val="000559D3"/>
    <w:rsid w:val="00057681"/>
    <w:rsid w:val="0006151A"/>
    <w:rsid w:val="00065B4A"/>
    <w:rsid w:val="00074E04"/>
    <w:rsid w:val="00075B49"/>
    <w:rsid w:val="00076247"/>
    <w:rsid w:val="00080E30"/>
    <w:rsid w:val="000813F3"/>
    <w:rsid w:val="00083086"/>
    <w:rsid w:val="00085E45"/>
    <w:rsid w:val="00090B12"/>
    <w:rsid w:val="0009787C"/>
    <w:rsid w:val="000A0425"/>
    <w:rsid w:val="000A2001"/>
    <w:rsid w:val="000A26C4"/>
    <w:rsid w:val="000A2AAC"/>
    <w:rsid w:val="000A3CE6"/>
    <w:rsid w:val="000A4468"/>
    <w:rsid w:val="000A48A8"/>
    <w:rsid w:val="000A5750"/>
    <w:rsid w:val="000B29B4"/>
    <w:rsid w:val="000B3E5F"/>
    <w:rsid w:val="000B7BFC"/>
    <w:rsid w:val="000C0AB6"/>
    <w:rsid w:val="000C19D6"/>
    <w:rsid w:val="000D0ECC"/>
    <w:rsid w:val="000D2EC0"/>
    <w:rsid w:val="000D3AF2"/>
    <w:rsid w:val="000D6BEA"/>
    <w:rsid w:val="000E28A5"/>
    <w:rsid w:val="000E2962"/>
    <w:rsid w:val="000E34BB"/>
    <w:rsid w:val="000E40E3"/>
    <w:rsid w:val="000F1305"/>
    <w:rsid w:val="000F2685"/>
    <w:rsid w:val="000F2FD7"/>
    <w:rsid w:val="000F3D94"/>
    <w:rsid w:val="000F4475"/>
    <w:rsid w:val="000F4CA6"/>
    <w:rsid w:val="000F5DB4"/>
    <w:rsid w:val="00106B31"/>
    <w:rsid w:val="00106CC0"/>
    <w:rsid w:val="00107010"/>
    <w:rsid w:val="001075CE"/>
    <w:rsid w:val="001115F0"/>
    <w:rsid w:val="00120757"/>
    <w:rsid w:val="00123F51"/>
    <w:rsid w:val="001256B6"/>
    <w:rsid w:val="00134398"/>
    <w:rsid w:val="00136EE8"/>
    <w:rsid w:val="00142209"/>
    <w:rsid w:val="001522A6"/>
    <w:rsid w:val="00156D79"/>
    <w:rsid w:val="0016018B"/>
    <w:rsid w:val="00165027"/>
    <w:rsid w:val="001674A9"/>
    <w:rsid w:val="001679AD"/>
    <w:rsid w:val="001679E6"/>
    <w:rsid w:val="0017242B"/>
    <w:rsid w:val="00175461"/>
    <w:rsid w:val="0018095A"/>
    <w:rsid w:val="001819E8"/>
    <w:rsid w:val="00181AD9"/>
    <w:rsid w:val="00184182"/>
    <w:rsid w:val="0018473D"/>
    <w:rsid w:val="001861C9"/>
    <w:rsid w:val="00191A04"/>
    <w:rsid w:val="00191E97"/>
    <w:rsid w:val="0019328A"/>
    <w:rsid w:val="00193649"/>
    <w:rsid w:val="0019672D"/>
    <w:rsid w:val="00197498"/>
    <w:rsid w:val="001977BE"/>
    <w:rsid w:val="001B0E5A"/>
    <w:rsid w:val="001B15BA"/>
    <w:rsid w:val="001B1BD9"/>
    <w:rsid w:val="001B1D96"/>
    <w:rsid w:val="001B2BE3"/>
    <w:rsid w:val="001B592A"/>
    <w:rsid w:val="001C317D"/>
    <w:rsid w:val="001C3319"/>
    <w:rsid w:val="001C5A4A"/>
    <w:rsid w:val="001C7557"/>
    <w:rsid w:val="001D1E92"/>
    <w:rsid w:val="001E075A"/>
    <w:rsid w:val="001E300A"/>
    <w:rsid w:val="001E6EDC"/>
    <w:rsid w:val="001E7C30"/>
    <w:rsid w:val="001F25E8"/>
    <w:rsid w:val="001F3680"/>
    <w:rsid w:val="001F5C29"/>
    <w:rsid w:val="001F799A"/>
    <w:rsid w:val="00202250"/>
    <w:rsid w:val="002031A0"/>
    <w:rsid w:val="002048A6"/>
    <w:rsid w:val="00206B4C"/>
    <w:rsid w:val="002124BB"/>
    <w:rsid w:val="002124C1"/>
    <w:rsid w:val="00220E98"/>
    <w:rsid w:val="00222F22"/>
    <w:rsid w:val="00226071"/>
    <w:rsid w:val="002301CA"/>
    <w:rsid w:val="00233FCF"/>
    <w:rsid w:val="00235B8F"/>
    <w:rsid w:val="002377EF"/>
    <w:rsid w:val="00241326"/>
    <w:rsid w:val="002445FF"/>
    <w:rsid w:val="00244802"/>
    <w:rsid w:val="0024577D"/>
    <w:rsid w:val="0024583A"/>
    <w:rsid w:val="00245C0A"/>
    <w:rsid w:val="00246EFF"/>
    <w:rsid w:val="002472CD"/>
    <w:rsid w:val="00250029"/>
    <w:rsid w:val="00252107"/>
    <w:rsid w:val="00252D29"/>
    <w:rsid w:val="00253D82"/>
    <w:rsid w:val="00253E1F"/>
    <w:rsid w:val="00254667"/>
    <w:rsid w:val="002555C7"/>
    <w:rsid w:val="00255676"/>
    <w:rsid w:val="00263A8F"/>
    <w:rsid w:val="00266AFC"/>
    <w:rsid w:val="00270973"/>
    <w:rsid w:val="00270DD6"/>
    <w:rsid w:val="002734A5"/>
    <w:rsid w:val="002763AE"/>
    <w:rsid w:val="002818DB"/>
    <w:rsid w:val="00286233"/>
    <w:rsid w:val="0028693D"/>
    <w:rsid w:val="00290D18"/>
    <w:rsid w:val="002921C5"/>
    <w:rsid w:val="00294332"/>
    <w:rsid w:val="002962CF"/>
    <w:rsid w:val="002A00B6"/>
    <w:rsid w:val="002A10E2"/>
    <w:rsid w:val="002A3885"/>
    <w:rsid w:val="002A437E"/>
    <w:rsid w:val="002A55A3"/>
    <w:rsid w:val="002A644B"/>
    <w:rsid w:val="002A7732"/>
    <w:rsid w:val="002B083C"/>
    <w:rsid w:val="002B1799"/>
    <w:rsid w:val="002B20B5"/>
    <w:rsid w:val="002B3239"/>
    <w:rsid w:val="002B6785"/>
    <w:rsid w:val="002C48F3"/>
    <w:rsid w:val="002C6F04"/>
    <w:rsid w:val="002D5476"/>
    <w:rsid w:val="002D6024"/>
    <w:rsid w:val="002D679F"/>
    <w:rsid w:val="002D6F22"/>
    <w:rsid w:val="002D7FA1"/>
    <w:rsid w:val="002E0CDB"/>
    <w:rsid w:val="002E19A5"/>
    <w:rsid w:val="002E19EB"/>
    <w:rsid w:val="002E2818"/>
    <w:rsid w:val="002E3989"/>
    <w:rsid w:val="00307027"/>
    <w:rsid w:val="00316BA1"/>
    <w:rsid w:val="00317C8C"/>
    <w:rsid w:val="003254AB"/>
    <w:rsid w:val="00337112"/>
    <w:rsid w:val="00340B58"/>
    <w:rsid w:val="00341986"/>
    <w:rsid w:val="00352886"/>
    <w:rsid w:val="003540AA"/>
    <w:rsid w:val="00354621"/>
    <w:rsid w:val="00355B29"/>
    <w:rsid w:val="00355B43"/>
    <w:rsid w:val="00360F09"/>
    <w:rsid w:val="00361162"/>
    <w:rsid w:val="0036248B"/>
    <w:rsid w:val="0036321A"/>
    <w:rsid w:val="00366090"/>
    <w:rsid w:val="0036681D"/>
    <w:rsid w:val="00370096"/>
    <w:rsid w:val="003800F7"/>
    <w:rsid w:val="00383FEE"/>
    <w:rsid w:val="0038460F"/>
    <w:rsid w:val="00386DE3"/>
    <w:rsid w:val="00390C32"/>
    <w:rsid w:val="003917BB"/>
    <w:rsid w:val="00392848"/>
    <w:rsid w:val="00395097"/>
    <w:rsid w:val="003963F7"/>
    <w:rsid w:val="00396EB8"/>
    <w:rsid w:val="003976B4"/>
    <w:rsid w:val="003A09C3"/>
    <w:rsid w:val="003A501A"/>
    <w:rsid w:val="003B527B"/>
    <w:rsid w:val="003C04AC"/>
    <w:rsid w:val="003C1221"/>
    <w:rsid w:val="003C24E8"/>
    <w:rsid w:val="003D022A"/>
    <w:rsid w:val="003D2366"/>
    <w:rsid w:val="003D2842"/>
    <w:rsid w:val="003D30C0"/>
    <w:rsid w:val="003D433C"/>
    <w:rsid w:val="003D4AC2"/>
    <w:rsid w:val="003D7078"/>
    <w:rsid w:val="003D7327"/>
    <w:rsid w:val="003D796F"/>
    <w:rsid w:val="003E388B"/>
    <w:rsid w:val="003F5A9A"/>
    <w:rsid w:val="003F66AF"/>
    <w:rsid w:val="003F6A37"/>
    <w:rsid w:val="003F7B8C"/>
    <w:rsid w:val="00400ECC"/>
    <w:rsid w:val="0040336A"/>
    <w:rsid w:val="00405794"/>
    <w:rsid w:val="00406CC7"/>
    <w:rsid w:val="00406DC6"/>
    <w:rsid w:val="00412090"/>
    <w:rsid w:val="00413CE9"/>
    <w:rsid w:val="0041433C"/>
    <w:rsid w:val="00414940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35B4B"/>
    <w:rsid w:val="004400E4"/>
    <w:rsid w:val="0044166C"/>
    <w:rsid w:val="00442137"/>
    <w:rsid w:val="00444277"/>
    <w:rsid w:val="00445C4E"/>
    <w:rsid w:val="00451723"/>
    <w:rsid w:val="00454FC2"/>
    <w:rsid w:val="0045626F"/>
    <w:rsid w:val="0045647F"/>
    <w:rsid w:val="00456803"/>
    <w:rsid w:val="00456D85"/>
    <w:rsid w:val="00461D3B"/>
    <w:rsid w:val="0046349A"/>
    <w:rsid w:val="00464FC7"/>
    <w:rsid w:val="00465631"/>
    <w:rsid w:val="00467F15"/>
    <w:rsid w:val="0047147E"/>
    <w:rsid w:val="00472786"/>
    <w:rsid w:val="0047514D"/>
    <w:rsid w:val="00480000"/>
    <w:rsid w:val="00480B12"/>
    <w:rsid w:val="00481C94"/>
    <w:rsid w:val="00484F2B"/>
    <w:rsid w:val="00492917"/>
    <w:rsid w:val="004A207E"/>
    <w:rsid w:val="004A227A"/>
    <w:rsid w:val="004A6BC6"/>
    <w:rsid w:val="004A6E6E"/>
    <w:rsid w:val="004A7077"/>
    <w:rsid w:val="004B1545"/>
    <w:rsid w:val="004B22BC"/>
    <w:rsid w:val="004B27BD"/>
    <w:rsid w:val="004B3A75"/>
    <w:rsid w:val="004B409A"/>
    <w:rsid w:val="004B44E6"/>
    <w:rsid w:val="004B7D86"/>
    <w:rsid w:val="004C703B"/>
    <w:rsid w:val="004D3ED7"/>
    <w:rsid w:val="004D6541"/>
    <w:rsid w:val="004E7919"/>
    <w:rsid w:val="004F287C"/>
    <w:rsid w:val="004F6518"/>
    <w:rsid w:val="005017DD"/>
    <w:rsid w:val="005020BC"/>
    <w:rsid w:val="00502640"/>
    <w:rsid w:val="00505AC3"/>
    <w:rsid w:val="00506D23"/>
    <w:rsid w:val="0050791C"/>
    <w:rsid w:val="0051051D"/>
    <w:rsid w:val="00510FD5"/>
    <w:rsid w:val="00512436"/>
    <w:rsid w:val="005155DC"/>
    <w:rsid w:val="00515B5C"/>
    <w:rsid w:val="00517556"/>
    <w:rsid w:val="00521486"/>
    <w:rsid w:val="00526579"/>
    <w:rsid w:val="0053215A"/>
    <w:rsid w:val="0053677C"/>
    <w:rsid w:val="00543B60"/>
    <w:rsid w:val="00544141"/>
    <w:rsid w:val="00557477"/>
    <w:rsid w:val="0056032C"/>
    <w:rsid w:val="00562AE4"/>
    <w:rsid w:val="00562E07"/>
    <w:rsid w:val="00563D65"/>
    <w:rsid w:val="0056485D"/>
    <w:rsid w:val="005669B0"/>
    <w:rsid w:val="00566ADB"/>
    <w:rsid w:val="005724AF"/>
    <w:rsid w:val="00573DA8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6418"/>
    <w:rsid w:val="0059710D"/>
    <w:rsid w:val="005A0C8F"/>
    <w:rsid w:val="005A11BE"/>
    <w:rsid w:val="005A1513"/>
    <w:rsid w:val="005A2282"/>
    <w:rsid w:val="005A2959"/>
    <w:rsid w:val="005A42C3"/>
    <w:rsid w:val="005B0F73"/>
    <w:rsid w:val="005B5D18"/>
    <w:rsid w:val="005B682C"/>
    <w:rsid w:val="005B7E83"/>
    <w:rsid w:val="005C028B"/>
    <w:rsid w:val="005C38E3"/>
    <w:rsid w:val="005D46E9"/>
    <w:rsid w:val="005D624F"/>
    <w:rsid w:val="005E0349"/>
    <w:rsid w:val="005E047B"/>
    <w:rsid w:val="005E0DC1"/>
    <w:rsid w:val="005E100E"/>
    <w:rsid w:val="005E51CF"/>
    <w:rsid w:val="005F2071"/>
    <w:rsid w:val="005F23C2"/>
    <w:rsid w:val="005F294B"/>
    <w:rsid w:val="005F7B7C"/>
    <w:rsid w:val="00600B44"/>
    <w:rsid w:val="00601095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494A"/>
    <w:rsid w:val="0061632F"/>
    <w:rsid w:val="00616D2F"/>
    <w:rsid w:val="00616EFA"/>
    <w:rsid w:val="00620974"/>
    <w:rsid w:val="00621540"/>
    <w:rsid w:val="006250AC"/>
    <w:rsid w:val="00625733"/>
    <w:rsid w:val="00626AE8"/>
    <w:rsid w:val="00634141"/>
    <w:rsid w:val="00635F78"/>
    <w:rsid w:val="006377AD"/>
    <w:rsid w:val="00640F66"/>
    <w:rsid w:val="006413CE"/>
    <w:rsid w:val="006444D2"/>
    <w:rsid w:val="00652ADA"/>
    <w:rsid w:val="00661A34"/>
    <w:rsid w:val="006631B4"/>
    <w:rsid w:val="006642B6"/>
    <w:rsid w:val="00665D2F"/>
    <w:rsid w:val="006708D3"/>
    <w:rsid w:val="00671911"/>
    <w:rsid w:val="00671F3C"/>
    <w:rsid w:val="00682030"/>
    <w:rsid w:val="00685C70"/>
    <w:rsid w:val="006874C5"/>
    <w:rsid w:val="006918A1"/>
    <w:rsid w:val="00692526"/>
    <w:rsid w:val="00692717"/>
    <w:rsid w:val="00694C1C"/>
    <w:rsid w:val="006959B9"/>
    <w:rsid w:val="006A1C02"/>
    <w:rsid w:val="006A229D"/>
    <w:rsid w:val="006A60A4"/>
    <w:rsid w:val="006B051C"/>
    <w:rsid w:val="006B3FEA"/>
    <w:rsid w:val="006B6586"/>
    <w:rsid w:val="006B6EE0"/>
    <w:rsid w:val="006C160F"/>
    <w:rsid w:val="006C16FE"/>
    <w:rsid w:val="006C5315"/>
    <w:rsid w:val="006C59F8"/>
    <w:rsid w:val="006C6008"/>
    <w:rsid w:val="006C6945"/>
    <w:rsid w:val="006C6D2B"/>
    <w:rsid w:val="006D1DF3"/>
    <w:rsid w:val="006D24C5"/>
    <w:rsid w:val="006D2907"/>
    <w:rsid w:val="006D36E8"/>
    <w:rsid w:val="006D582B"/>
    <w:rsid w:val="006E173C"/>
    <w:rsid w:val="006E7071"/>
    <w:rsid w:val="006E7BC8"/>
    <w:rsid w:val="006F079A"/>
    <w:rsid w:val="006F1EE7"/>
    <w:rsid w:val="006F2438"/>
    <w:rsid w:val="006F2CDC"/>
    <w:rsid w:val="006F2D35"/>
    <w:rsid w:val="006F4BF0"/>
    <w:rsid w:val="00701C2D"/>
    <w:rsid w:val="007023BA"/>
    <w:rsid w:val="00703798"/>
    <w:rsid w:val="0070428E"/>
    <w:rsid w:val="00704BC5"/>
    <w:rsid w:val="007109AB"/>
    <w:rsid w:val="00712AAF"/>
    <w:rsid w:val="0071534D"/>
    <w:rsid w:val="00715892"/>
    <w:rsid w:val="0072029F"/>
    <w:rsid w:val="0072102B"/>
    <w:rsid w:val="00724239"/>
    <w:rsid w:val="0072589A"/>
    <w:rsid w:val="00726857"/>
    <w:rsid w:val="007335F4"/>
    <w:rsid w:val="0073442B"/>
    <w:rsid w:val="007377D3"/>
    <w:rsid w:val="00740715"/>
    <w:rsid w:val="00745E38"/>
    <w:rsid w:val="00753BD7"/>
    <w:rsid w:val="00756C28"/>
    <w:rsid w:val="00756E5D"/>
    <w:rsid w:val="00756FC9"/>
    <w:rsid w:val="00760DC6"/>
    <w:rsid w:val="00762660"/>
    <w:rsid w:val="007656E9"/>
    <w:rsid w:val="00771E71"/>
    <w:rsid w:val="00775428"/>
    <w:rsid w:val="0077717C"/>
    <w:rsid w:val="0078430B"/>
    <w:rsid w:val="00784D60"/>
    <w:rsid w:val="00785D24"/>
    <w:rsid w:val="00790194"/>
    <w:rsid w:val="0079495E"/>
    <w:rsid w:val="0079587D"/>
    <w:rsid w:val="007969C6"/>
    <w:rsid w:val="007A0710"/>
    <w:rsid w:val="007A0EFA"/>
    <w:rsid w:val="007A3988"/>
    <w:rsid w:val="007B60CD"/>
    <w:rsid w:val="007B6AC2"/>
    <w:rsid w:val="007C1153"/>
    <w:rsid w:val="007C1BC7"/>
    <w:rsid w:val="007C234F"/>
    <w:rsid w:val="007C3225"/>
    <w:rsid w:val="007C488B"/>
    <w:rsid w:val="007C5198"/>
    <w:rsid w:val="007C527F"/>
    <w:rsid w:val="007C6E78"/>
    <w:rsid w:val="007C7F69"/>
    <w:rsid w:val="007D0ECE"/>
    <w:rsid w:val="007D590A"/>
    <w:rsid w:val="007D6C7A"/>
    <w:rsid w:val="007E0E57"/>
    <w:rsid w:val="007E1A6F"/>
    <w:rsid w:val="007E252A"/>
    <w:rsid w:val="007E51C6"/>
    <w:rsid w:val="007E685D"/>
    <w:rsid w:val="007E6BF4"/>
    <w:rsid w:val="007E6CAE"/>
    <w:rsid w:val="007E74BA"/>
    <w:rsid w:val="007F2DC8"/>
    <w:rsid w:val="007F3B38"/>
    <w:rsid w:val="007F4090"/>
    <w:rsid w:val="007F51B0"/>
    <w:rsid w:val="008002B2"/>
    <w:rsid w:val="00801F17"/>
    <w:rsid w:val="00801F9A"/>
    <w:rsid w:val="0080212F"/>
    <w:rsid w:val="00805EA6"/>
    <w:rsid w:val="00806CCB"/>
    <w:rsid w:val="008105C3"/>
    <w:rsid w:val="00812B30"/>
    <w:rsid w:val="008144C8"/>
    <w:rsid w:val="00820C83"/>
    <w:rsid w:val="00821CC5"/>
    <w:rsid w:val="00825163"/>
    <w:rsid w:val="0082710E"/>
    <w:rsid w:val="00833B37"/>
    <w:rsid w:val="008416E2"/>
    <w:rsid w:val="0084336F"/>
    <w:rsid w:val="00844F2F"/>
    <w:rsid w:val="00860B1C"/>
    <w:rsid w:val="00870AF4"/>
    <w:rsid w:val="00871C79"/>
    <w:rsid w:val="008840F9"/>
    <w:rsid w:val="008904AF"/>
    <w:rsid w:val="00897544"/>
    <w:rsid w:val="00897732"/>
    <w:rsid w:val="008A2C96"/>
    <w:rsid w:val="008A3DE6"/>
    <w:rsid w:val="008A5050"/>
    <w:rsid w:val="008A5382"/>
    <w:rsid w:val="008A57DC"/>
    <w:rsid w:val="008B0E45"/>
    <w:rsid w:val="008B4E74"/>
    <w:rsid w:val="008B6A20"/>
    <w:rsid w:val="008B6F51"/>
    <w:rsid w:val="008B6F77"/>
    <w:rsid w:val="008B74F0"/>
    <w:rsid w:val="008B7620"/>
    <w:rsid w:val="008C261F"/>
    <w:rsid w:val="008C265A"/>
    <w:rsid w:val="008C33CA"/>
    <w:rsid w:val="008C4205"/>
    <w:rsid w:val="008C4796"/>
    <w:rsid w:val="008C4E18"/>
    <w:rsid w:val="008C5F85"/>
    <w:rsid w:val="008C73CD"/>
    <w:rsid w:val="008D09BD"/>
    <w:rsid w:val="008D3323"/>
    <w:rsid w:val="008D5D2A"/>
    <w:rsid w:val="008D603F"/>
    <w:rsid w:val="008D7731"/>
    <w:rsid w:val="008E2487"/>
    <w:rsid w:val="008E31B8"/>
    <w:rsid w:val="008E47D5"/>
    <w:rsid w:val="008E65D3"/>
    <w:rsid w:val="008E77F3"/>
    <w:rsid w:val="008F0E25"/>
    <w:rsid w:val="008F125E"/>
    <w:rsid w:val="008F7949"/>
    <w:rsid w:val="00900934"/>
    <w:rsid w:val="0090421A"/>
    <w:rsid w:val="00905880"/>
    <w:rsid w:val="00911504"/>
    <w:rsid w:val="00912613"/>
    <w:rsid w:val="009129F2"/>
    <w:rsid w:val="0091518C"/>
    <w:rsid w:val="00915400"/>
    <w:rsid w:val="0091661A"/>
    <w:rsid w:val="00920DE6"/>
    <w:rsid w:val="00924E10"/>
    <w:rsid w:val="00930D99"/>
    <w:rsid w:val="0093105E"/>
    <w:rsid w:val="009313FF"/>
    <w:rsid w:val="00931959"/>
    <w:rsid w:val="009320D0"/>
    <w:rsid w:val="00933103"/>
    <w:rsid w:val="0093588D"/>
    <w:rsid w:val="00935F33"/>
    <w:rsid w:val="00936F2A"/>
    <w:rsid w:val="00942021"/>
    <w:rsid w:val="00943F5A"/>
    <w:rsid w:val="00947048"/>
    <w:rsid w:val="009539CC"/>
    <w:rsid w:val="00953F3E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190"/>
    <w:rsid w:val="00974504"/>
    <w:rsid w:val="00977AC2"/>
    <w:rsid w:val="00977BD9"/>
    <w:rsid w:val="0098091E"/>
    <w:rsid w:val="00980A3C"/>
    <w:rsid w:val="00991B88"/>
    <w:rsid w:val="00992A91"/>
    <w:rsid w:val="00992F30"/>
    <w:rsid w:val="00994EC7"/>
    <w:rsid w:val="00995009"/>
    <w:rsid w:val="00995D73"/>
    <w:rsid w:val="00996904"/>
    <w:rsid w:val="00997344"/>
    <w:rsid w:val="009A335C"/>
    <w:rsid w:val="009A3415"/>
    <w:rsid w:val="009A34DB"/>
    <w:rsid w:val="009A4C79"/>
    <w:rsid w:val="009B020A"/>
    <w:rsid w:val="009B2750"/>
    <w:rsid w:val="009B3E6B"/>
    <w:rsid w:val="009B401B"/>
    <w:rsid w:val="009B4F96"/>
    <w:rsid w:val="009B5684"/>
    <w:rsid w:val="009C3068"/>
    <w:rsid w:val="009C3725"/>
    <w:rsid w:val="009C5FAD"/>
    <w:rsid w:val="009C6E01"/>
    <w:rsid w:val="009D035A"/>
    <w:rsid w:val="009D0A16"/>
    <w:rsid w:val="009D1895"/>
    <w:rsid w:val="009D5093"/>
    <w:rsid w:val="009D7B5C"/>
    <w:rsid w:val="009E2B0D"/>
    <w:rsid w:val="009E3F8B"/>
    <w:rsid w:val="009E527E"/>
    <w:rsid w:val="009E70A9"/>
    <w:rsid w:val="009E7301"/>
    <w:rsid w:val="009F18D7"/>
    <w:rsid w:val="009F26E1"/>
    <w:rsid w:val="009F5B6D"/>
    <w:rsid w:val="009F667D"/>
    <w:rsid w:val="009F72A5"/>
    <w:rsid w:val="00A00EF4"/>
    <w:rsid w:val="00A050C9"/>
    <w:rsid w:val="00A05832"/>
    <w:rsid w:val="00A07D35"/>
    <w:rsid w:val="00A1519E"/>
    <w:rsid w:val="00A15FCF"/>
    <w:rsid w:val="00A16C71"/>
    <w:rsid w:val="00A178A3"/>
    <w:rsid w:val="00A200F1"/>
    <w:rsid w:val="00A22C99"/>
    <w:rsid w:val="00A23228"/>
    <w:rsid w:val="00A23BB3"/>
    <w:rsid w:val="00A24DA4"/>
    <w:rsid w:val="00A30630"/>
    <w:rsid w:val="00A349A0"/>
    <w:rsid w:val="00A34ACE"/>
    <w:rsid w:val="00A44D7A"/>
    <w:rsid w:val="00A45A85"/>
    <w:rsid w:val="00A47590"/>
    <w:rsid w:val="00A50307"/>
    <w:rsid w:val="00A51EC4"/>
    <w:rsid w:val="00A52035"/>
    <w:rsid w:val="00A6493F"/>
    <w:rsid w:val="00A67902"/>
    <w:rsid w:val="00A71835"/>
    <w:rsid w:val="00A7269D"/>
    <w:rsid w:val="00A74488"/>
    <w:rsid w:val="00A74E57"/>
    <w:rsid w:val="00A76504"/>
    <w:rsid w:val="00A80103"/>
    <w:rsid w:val="00A80791"/>
    <w:rsid w:val="00A80A94"/>
    <w:rsid w:val="00A83B84"/>
    <w:rsid w:val="00A8570D"/>
    <w:rsid w:val="00A910B5"/>
    <w:rsid w:val="00AA03B5"/>
    <w:rsid w:val="00AA12ED"/>
    <w:rsid w:val="00AA5149"/>
    <w:rsid w:val="00AA66FC"/>
    <w:rsid w:val="00AA7EB5"/>
    <w:rsid w:val="00AB0382"/>
    <w:rsid w:val="00AB2009"/>
    <w:rsid w:val="00AB358F"/>
    <w:rsid w:val="00AC463C"/>
    <w:rsid w:val="00AD204B"/>
    <w:rsid w:val="00AD237E"/>
    <w:rsid w:val="00AD2962"/>
    <w:rsid w:val="00AD479E"/>
    <w:rsid w:val="00AE04E8"/>
    <w:rsid w:val="00AE451E"/>
    <w:rsid w:val="00AE7D8D"/>
    <w:rsid w:val="00AF1707"/>
    <w:rsid w:val="00AF57E0"/>
    <w:rsid w:val="00B00158"/>
    <w:rsid w:val="00B04771"/>
    <w:rsid w:val="00B0522A"/>
    <w:rsid w:val="00B069E0"/>
    <w:rsid w:val="00B079CF"/>
    <w:rsid w:val="00B1155D"/>
    <w:rsid w:val="00B1518E"/>
    <w:rsid w:val="00B1561D"/>
    <w:rsid w:val="00B20FD2"/>
    <w:rsid w:val="00B25B9F"/>
    <w:rsid w:val="00B266A8"/>
    <w:rsid w:val="00B26B16"/>
    <w:rsid w:val="00B32A5B"/>
    <w:rsid w:val="00B435AD"/>
    <w:rsid w:val="00B45673"/>
    <w:rsid w:val="00B456F3"/>
    <w:rsid w:val="00B46C05"/>
    <w:rsid w:val="00B47446"/>
    <w:rsid w:val="00B505F9"/>
    <w:rsid w:val="00B51280"/>
    <w:rsid w:val="00B52DC7"/>
    <w:rsid w:val="00B56590"/>
    <w:rsid w:val="00B60568"/>
    <w:rsid w:val="00B637F1"/>
    <w:rsid w:val="00B639C4"/>
    <w:rsid w:val="00B64C72"/>
    <w:rsid w:val="00B70124"/>
    <w:rsid w:val="00B85C2B"/>
    <w:rsid w:val="00B9429B"/>
    <w:rsid w:val="00B963D4"/>
    <w:rsid w:val="00B969E3"/>
    <w:rsid w:val="00BA1D87"/>
    <w:rsid w:val="00BA2423"/>
    <w:rsid w:val="00BA6333"/>
    <w:rsid w:val="00BA681C"/>
    <w:rsid w:val="00BB52DA"/>
    <w:rsid w:val="00BB5FD4"/>
    <w:rsid w:val="00BB604A"/>
    <w:rsid w:val="00BC3506"/>
    <w:rsid w:val="00BC4880"/>
    <w:rsid w:val="00BD0D51"/>
    <w:rsid w:val="00BD1D1A"/>
    <w:rsid w:val="00BD275A"/>
    <w:rsid w:val="00BE6763"/>
    <w:rsid w:val="00BE78B1"/>
    <w:rsid w:val="00BF0485"/>
    <w:rsid w:val="00BF12D7"/>
    <w:rsid w:val="00BF33FF"/>
    <w:rsid w:val="00BF45A5"/>
    <w:rsid w:val="00BF6B82"/>
    <w:rsid w:val="00BF7344"/>
    <w:rsid w:val="00C0099D"/>
    <w:rsid w:val="00C03326"/>
    <w:rsid w:val="00C04213"/>
    <w:rsid w:val="00C04A9F"/>
    <w:rsid w:val="00C050D4"/>
    <w:rsid w:val="00C0566C"/>
    <w:rsid w:val="00C06C76"/>
    <w:rsid w:val="00C211A0"/>
    <w:rsid w:val="00C22EB5"/>
    <w:rsid w:val="00C24677"/>
    <w:rsid w:val="00C25108"/>
    <w:rsid w:val="00C26423"/>
    <w:rsid w:val="00C2770A"/>
    <w:rsid w:val="00C33CD9"/>
    <w:rsid w:val="00C36173"/>
    <w:rsid w:val="00C4494B"/>
    <w:rsid w:val="00C451E6"/>
    <w:rsid w:val="00C5176D"/>
    <w:rsid w:val="00C52471"/>
    <w:rsid w:val="00C57435"/>
    <w:rsid w:val="00C57566"/>
    <w:rsid w:val="00C60BF3"/>
    <w:rsid w:val="00C62560"/>
    <w:rsid w:val="00C711C1"/>
    <w:rsid w:val="00C73251"/>
    <w:rsid w:val="00C77120"/>
    <w:rsid w:val="00C80E9B"/>
    <w:rsid w:val="00C858E6"/>
    <w:rsid w:val="00C878C7"/>
    <w:rsid w:val="00C91520"/>
    <w:rsid w:val="00C9174E"/>
    <w:rsid w:val="00C926FE"/>
    <w:rsid w:val="00C92F4C"/>
    <w:rsid w:val="00C973FB"/>
    <w:rsid w:val="00CA1ED9"/>
    <w:rsid w:val="00CA5FE8"/>
    <w:rsid w:val="00CA6B81"/>
    <w:rsid w:val="00CB3A09"/>
    <w:rsid w:val="00CC099C"/>
    <w:rsid w:val="00CC233E"/>
    <w:rsid w:val="00CC5734"/>
    <w:rsid w:val="00CC655F"/>
    <w:rsid w:val="00CD40F4"/>
    <w:rsid w:val="00CD4F8F"/>
    <w:rsid w:val="00CD5864"/>
    <w:rsid w:val="00CD7101"/>
    <w:rsid w:val="00CD7D64"/>
    <w:rsid w:val="00CE48D2"/>
    <w:rsid w:val="00CE7A4E"/>
    <w:rsid w:val="00CE7E4D"/>
    <w:rsid w:val="00CF29FA"/>
    <w:rsid w:val="00CF3135"/>
    <w:rsid w:val="00CF3962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40B9A"/>
    <w:rsid w:val="00D41ECF"/>
    <w:rsid w:val="00D428F9"/>
    <w:rsid w:val="00D43CFC"/>
    <w:rsid w:val="00D50827"/>
    <w:rsid w:val="00D52037"/>
    <w:rsid w:val="00D52DDA"/>
    <w:rsid w:val="00D55797"/>
    <w:rsid w:val="00D56237"/>
    <w:rsid w:val="00D57A72"/>
    <w:rsid w:val="00D60297"/>
    <w:rsid w:val="00D62777"/>
    <w:rsid w:val="00D638BE"/>
    <w:rsid w:val="00D6435C"/>
    <w:rsid w:val="00D64BEF"/>
    <w:rsid w:val="00D72655"/>
    <w:rsid w:val="00D73EED"/>
    <w:rsid w:val="00D74208"/>
    <w:rsid w:val="00D92CB8"/>
    <w:rsid w:val="00DA1DC9"/>
    <w:rsid w:val="00DA28EE"/>
    <w:rsid w:val="00DA4319"/>
    <w:rsid w:val="00DA44AE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6300"/>
    <w:rsid w:val="00DC6383"/>
    <w:rsid w:val="00DD6A1C"/>
    <w:rsid w:val="00DE212E"/>
    <w:rsid w:val="00DE2F83"/>
    <w:rsid w:val="00DE3009"/>
    <w:rsid w:val="00DE58A8"/>
    <w:rsid w:val="00DE614B"/>
    <w:rsid w:val="00DE6695"/>
    <w:rsid w:val="00DF12D9"/>
    <w:rsid w:val="00DF2885"/>
    <w:rsid w:val="00DF32CA"/>
    <w:rsid w:val="00DF49B9"/>
    <w:rsid w:val="00DF553F"/>
    <w:rsid w:val="00DF706B"/>
    <w:rsid w:val="00E002ED"/>
    <w:rsid w:val="00E025DA"/>
    <w:rsid w:val="00E02922"/>
    <w:rsid w:val="00E034EF"/>
    <w:rsid w:val="00E06F61"/>
    <w:rsid w:val="00E11DCF"/>
    <w:rsid w:val="00E130E2"/>
    <w:rsid w:val="00E2033D"/>
    <w:rsid w:val="00E20B50"/>
    <w:rsid w:val="00E27B2F"/>
    <w:rsid w:val="00E332BA"/>
    <w:rsid w:val="00E337F7"/>
    <w:rsid w:val="00E33D18"/>
    <w:rsid w:val="00E34EC0"/>
    <w:rsid w:val="00E354B3"/>
    <w:rsid w:val="00E35F5F"/>
    <w:rsid w:val="00E3657C"/>
    <w:rsid w:val="00E36719"/>
    <w:rsid w:val="00E37204"/>
    <w:rsid w:val="00E435F2"/>
    <w:rsid w:val="00E463C6"/>
    <w:rsid w:val="00E5486F"/>
    <w:rsid w:val="00E6172C"/>
    <w:rsid w:val="00E61DDD"/>
    <w:rsid w:val="00E63347"/>
    <w:rsid w:val="00E71E98"/>
    <w:rsid w:val="00E72911"/>
    <w:rsid w:val="00E7511C"/>
    <w:rsid w:val="00E77A81"/>
    <w:rsid w:val="00E872E8"/>
    <w:rsid w:val="00E875B4"/>
    <w:rsid w:val="00E87B93"/>
    <w:rsid w:val="00E975B6"/>
    <w:rsid w:val="00EA2B0C"/>
    <w:rsid w:val="00EA5A5D"/>
    <w:rsid w:val="00EA5EA4"/>
    <w:rsid w:val="00EA75CB"/>
    <w:rsid w:val="00EB3C59"/>
    <w:rsid w:val="00EB42D1"/>
    <w:rsid w:val="00EB48ED"/>
    <w:rsid w:val="00EB64E2"/>
    <w:rsid w:val="00EB6E62"/>
    <w:rsid w:val="00EC364D"/>
    <w:rsid w:val="00EC679E"/>
    <w:rsid w:val="00EC7309"/>
    <w:rsid w:val="00ED1D5C"/>
    <w:rsid w:val="00ED2C90"/>
    <w:rsid w:val="00ED7AA4"/>
    <w:rsid w:val="00EE04C1"/>
    <w:rsid w:val="00EE74E7"/>
    <w:rsid w:val="00EF1FB2"/>
    <w:rsid w:val="00EF4B8F"/>
    <w:rsid w:val="00EF6354"/>
    <w:rsid w:val="00EF6434"/>
    <w:rsid w:val="00EF6877"/>
    <w:rsid w:val="00F05E22"/>
    <w:rsid w:val="00F12C0A"/>
    <w:rsid w:val="00F13270"/>
    <w:rsid w:val="00F13C23"/>
    <w:rsid w:val="00F1726E"/>
    <w:rsid w:val="00F17C9E"/>
    <w:rsid w:val="00F21F11"/>
    <w:rsid w:val="00F242DF"/>
    <w:rsid w:val="00F2442B"/>
    <w:rsid w:val="00F24CF1"/>
    <w:rsid w:val="00F31948"/>
    <w:rsid w:val="00F31E39"/>
    <w:rsid w:val="00F326D7"/>
    <w:rsid w:val="00F33F1A"/>
    <w:rsid w:val="00F341C4"/>
    <w:rsid w:val="00F36364"/>
    <w:rsid w:val="00F40C11"/>
    <w:rsid w:val="00F41291"/>
    <w:rsid w:val="00F428D5"/>
    <w:rsid w:val="00F43442"/>
    <w:rsid w:val="00F45180"/>
    <w:rsid w:val="00F45BE9"/>
    <w:rsid w:val="00F45F18"/>
    <w:rsid w:val="00F46BF3"/>
    <w:rsid w:val="00F46D63"/>
    <w:rsid w:val="00F47A42"/>
    <w:rsid w:val="00F51FDD"/>
    <w:rsid w:val="00F521A1"/>
    <w:rsid w:val="00F54038"/>
    <w:rsid w:val="00F54720"/>
    <w:rsid w:val="00F56152"/>
    <w:rsid w:val="00F56BE0"/>
    <w:rsid w:val="00F57558"/>
    <w:rsid w:val="00F609C8"/>
    <w:rsid w:val="00F6171E"/>
    <w:rsid w:val="00F62F00"/>
    <w:rsid w:val="00F65631"/>
    <w:rsid w:val="00F65AEF"/>
    <w:rsid w:val="00F730B9"/>
    <w:rsid w:val="00F778AB"/>
    <w:rsid w:val="00F8021C"/>
    <w:rsid w:val="00F8061A"/>
    <w:rsid w:val="00F82A93"/>
    <w:rsid w:val="00F83F4E"/>
    <w:rsid w:val="00F872DE"/>
    <w:rsid w:val="00F9233C"/>
    <w:rsid w:val="00F9298F"/>
    <w:rsid w:val="00F93E8F"/>
    <w:rsid w:val="00F95116"/>
    <w:rsid w:val="00FA0A15"/>
    <w:rsid w:val="00FA2CFB"/>
    <w:rsid w:val="00FA2D44"/>
    <w:rsid w:val="00FA3D2E"/>
    <w:rsid w:val="00FA5A07"/>
    <w:rsid w:val="00FA6897"/>
    <w:rsid w:val="00FB3992"/>
    <w:rsid w:val="00FC373B"/>
    <w:rsid w:val="00FC7568"/>
    <w:rsid w:val="00FD0AF0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CFF"/>
    <w:rsid w:val="00FE617D"/>
    <w:rsid w:val="00FE7294"/>
    <w:rsid w:val="00FE75AB"/>
    <w:rsid w:val="00FF0E3D"/>
    <w:rsid w:val="00FF36F0"/>
    <w:rsid w:val="00FF3702"/>
    <w:rsid w:val="00FF3710"/>
    <w:rsid w:val="00FF39EB"/>
    <w:rsid w:val="00FF474D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qFormat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qFormat/>
    <w:rsid w:val="00760DC6"/>
    <w:pPr>
      <w:numPr>
        <w:ilvl w:val="1"/>
        <w:numId w:val="5"/>
      </w:numPr>
      <w:snapToGrid w:val="0"/>
      <w:spacing w:after="160" w:line="252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qFormat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A6DB50DE505427DB9EA37C55E018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8781C-6686-4E04-97B2-350F7BA2CDAF}"/>
      </w:docPartPr>
      <w:docPartBody>
        <w:p w:rsidR="0040277B" w:rsidRDefault="009E2FEB" w:rsidP="009E2FEB">
          <w:pPr>
            <w:pStyle w:val="BA6DB50DE505427DB9EA37C55E0185F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E273FC2A1D94BDEA3DF6CED1B9BA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67C3A-296D-4793-B2B7-BE74A2A64317}"/>
      </w:docPartPr>
      <w:docPartBody>
        <w:p w:rsidR="00873AC5" w:rsidRDefault="00873AC5" w:rsidP="00873AC5">
          <w:pPr>
            <w:pStyle w:val="6E273FC2A1D94BDEA3DF6CED1B9BA2C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4C3EE0B154A4E04A1ADCA98AA9FC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E241A-9960-4C9A-846A-802021E85E2A}"/>
      </w:docPartPr>
      <w:docPartBody>
        <w:p w:rsidR="00873AC5" w:rsidRDefault="00873AC5" w:rsidP="00873AC5">
          <w:pPr>
            <w:pStyle w:val="C4C3EE0B154A4E04A1ADCA98AA9FCAA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9285BFC226F46698F851E185021E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9EBC2-13AD-4029-8AEE-8A2564E098BF}"/>
      </w:docPartPr>
      <w:docPartBody>
        <w:p w:rsidR="00A342E0" w:rsidRDefault="00A342E0" w:rsidP="00A342E0">
          <w:pPr>
            <w:pStyle w:val="B9285BFC226F46698F851E185021E8C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A2001"/>
    <w:rsid w:val="00115890"/>
    <w:rsid w:val="002416FD"/>
    <w:rsid w:val="002558AC"/>
    <w:rsid w:val="002C48F3"/>
    <w:rsid w:val="00304947"/>
    <w:rsid w:val="0033014B"/>
    <w:rsid w:val="00354AAF"/>
    <w:rsid w:val="0040277B"/>
    <w:rsid w:val="00456803"/>
    <w:rsid w:val="004C7D6D"/>
    <w:rsid w:val="004E1703"/>
    <w:rsid w:val="00532E15"/>
    <w:rsid w:val="0053677C"/>
    <w:rsid w:val="005C5B5F"/>
    <w:rsid w:val="00684402"/>
    <w:rsid w:val="00685C70"/>
    <w:rsid w:val="00731A31"/>
    <w:rsid w:val="007A0710"/>
    <w:rsid w:val="007F293B"/>
    <w:rsid w:val="00812387"/>
    <w:rsid w:val="00832591"/>
    <w:rsid w:val="00870E94"/>
    <w:rsid w:val="00873AC5"/>
    <w:rsid w:val="00895108"/>
    <w:rsid w:val="008A3025"/>
    <w:rsid w:val="008C70A7"/>
    <w:rsid w:val="009A34DB"/>
    <w:rsid w:val="009B020A"/>
    <w:rsid w:val="009E2FEB"/>
    <w:rsid w:val="00A342E0"/>
    <w:rsid w:val="00A70768"/>
    <w:rsid w:val="00AE7FA2"/>
    <w:rsid w:val="00B0522A"/>
    <w:rsid w:val="00B36B81"/>
    <w:rsid w:val="00BD40BA"/>
    <w:rsid w:val="00BD4131"/>
    <w:rsid w:val="00BE0D54"/>
    <w:rsid w:val="00CC65AA"/>
    <w:rsid w:val="00D22E54"/>
    <w:rsid w:val="00D40B9A"/>
    <w:rsid w:val="00D75E4C"/>
    <w:rsid w:val="00DA44AE"/>
    <w:rsid w:val="00DD58F1"/>
    <w:rsid w:val="00E34E48"/>
    <w:rsid w:val="00E52F61"/>
    <w:rsid w:val="00E96067"/>
    <w:rsid w:val="00F45D7A"/>
    <w:rsid w:val="00F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42E0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  <w:style w:type="paragraph" w:customStyle="1" w:styleId="BA6DB50DE505427DB9EA37C55E0185F8">
    <w:name w:val="BA6DB50DE505427DB9EA37C55E0185F8"/>
    <w:rsid w:val="009E2FEB"/>
    <w:rPr>
      <w:kern w:val="2"/>
      <w14:ligatures w14:val="standardContextual"/>
    </w:rPr>
  </w:style>
  <w:style w:type="paragraph" w:customStyle="1" w:styleId="6E273FC2A1D94BDEA3DF6CED1B9BA2CD">
    <w:name w:val="6E273FC2A1D94BDEA3DF6CED1B9BA2CD"/>
    <w:rsid w:val="00873A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3EE0B154A4E04A1ADCA98AA9FCAA7">
    <w:name w:val="C4C3EE0B154A4E04A1ADCA98AA9FCAA7"/>
    <w:rsid w:val="00873A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85BFC226F46698F851E185021E8C4">
    <w:name w:val="B9285BFC226F46698F851E185021E8C4"/>
    <w:rsid w:val="00A342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2726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97</cp:revision>
  <cp:lastPrinted>2023-09-07T09:35:00Z</cp:lastPrinted>
  <dcterms:created xsi:type="dcterms:W3CDTF">2025-10-13T06:45:00Z</dcterms:created>
  <dcterms:modified xsi:type="dcterms:W3CDTF">2025-10-24T05:07:00Z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