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183C72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83C72">
        <w:rPr>
          <w:rFonts w:ascii="Arial" w:hAnsi="Arial" w:cs="Arial"/>
          <w:b/>
          <w:sz w:val="28"/>
          <w:szCs w:val="28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63E6F8C" w:rsidR="00797092" w:rsidRPr="00F625E5" w:rsidRDefault="00797092" w:rsidP="00136019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F625E5">
        <w:rPr>
          <w:rFonts w:ascii="Arial" w:hAnsi="Arial" w:cs="Arial"/>
          <w:sz w:val="22"/>
          <w:szCs w:val="22"/>
        </w:rPr>
        <w:t xml:space="preserve"> Jihomoravský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F625E5">
        <w:rPr>
          <w:rFonts w:ascii="Arial" w:hAnsi="Arial" w:cs="Arial"/>
          <w:sz w:val="22"/>
          <w:szCs w:val="22"/>
        </w:rPr>
        <w:t>Brno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F625E5">
        <w:rPr>
          <w:rFonts w:ascii="Arial" w:hAnsi="Arial" w:cs="Arial"/>
          <w:snapToGrid w:val="0"/>
          <w:sz w:val="22"/>
          <w:szCs w:val="22"/>
        </w:rPr>
        <w:t>Kotlářská 931/53, 60200 Brno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56FA439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F625E5">
        <w:rPr>
          <w:rFonts w:ascii="Arial" w:hAnsi="Arial" w:cs="Arial"/>
          <w:sz w:val="22"/>
          <w:szCs w:val="22"/>
        </w:rPr>
        <w:t>Ing. Pavlem Zajíčkem, ředitelem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F625E5">
        <w:rPr>
          <w:rFonts w:ascii="Arial" w:hAnsi="Arial" w:cs="Arial"/>
          <w:sz w:val="22"/>
          <w:szCs w:val="22"/>
        </w:rPr>
        <w:t>pro JMK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4193D17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3763E">
        <w:rPr>
          <w:rFonts w:ascii="Arial" w:hAnsi="Arial" w:cs="Arial"/>
          <w:sz w:val="22"/>
          <w:szCs w:val="22"/>
        </w:rPr>
        <w:t xml:space="preserve">Ing. Pavlem </w:t>
      </w:r>
      <w:r w:rsidR="00136019">
        <w:rPr>
          <w:rFonts w:ascii="Arial" w:hAnsi="Arial" w:cs="Arial"/>
          <w:sz w:val="22"/>
          <w:szCs w:val="22"/>
        </w:rPr>
        <w:t>Z</w:t>
      </w:r>
      <w:r w:rsidR="0013763E">
        <w:rPr>
          <w:rFonts w:ascii="Arial" w:hAnsi="Arial" w:cs="Arial"/>
          <w:sz w:val="22"/>
          <w:szCs w:val="22"/>
        </w:rPr>
        <w:t>ajíčkem</w:t>
      </w:r>
      <w:r w:rsidRPr="003C0D30">
        <w:rPr>
          <w:rFonts w:ascii="Arial" w:hAnsi="Arial" w:cs="Arial"/>
          <w:sz w:val="22"/>
          <w:szCs w:val="22"/>
        </w:rPr>
        <w:t xml:space="preserve">, </w:t>
      </w:r>
      <w:r w:rsidR="00136019">
        <w:rPr>
          <w:rFonts w:ascii="Arial" w:hAnsi="Arial" w:cs="Arial"/>
          <w:sz w:val="22"/>
          <w:szCs w:val="22"/>
        </w:rPr>
        <w:t xml:space="preserve">ředitelem </w:t>
      </w:r>
      <w:r w:rsidRPr="003C0D30">
        <w:rPr>
          <w:rFonts w:ascii="Arial" w:hAnsi="Arial" w:cs="Arial"/>
          <w:sz w:val="22"/>
          <w:szCs w:val="22"/>
        </w:rPr>
        <w:t xml:space="preserve">KPÚ </w:t>
      </w:r>
      <w:r w:rsidR="00136019">
        <w:rPr>
          <w:rFonts w:ascii="Arial" w:hAnsi="Arial" w:cs="Arial"/>
          <w:sz w:val="22"/>
          <w:szCs w:val="22"/>
        </w:rPr>
        <w:t>pro JMK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50A5392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13763E">
        <w:rPr>
          <w:rFonts w:ascii="Arial" w:hAnsi="Arial" w:cs="Arial"/>
          <w:sz w:val="22"/>
          <w:szCs w:val="22"/>
        </w:rPr>
        <w:t xml:space="preserve"> Ing. Petrou </w:t>
      </w:r>
      <w:proofErr w:type="spellStart"/>
      <w:r w:rsidR="0013763E">
        <w:rPr>
          <w:rFonts w:ascii="Arial" w:hAnsi="Arial" w:cs="Arial"/>
          <w:sz w:val="22"/>
          <w:szCs w:val="22"/>
        </w:rPr>
        <w:t>Velflovou</w:t>
      </w:r>
      <w:proofErr w:type="spellEnd"/>
      <w:r w:rsidRPr="003C0D30">
        <w:rPr>
          <w:rFonts w:ascii="Arial" w:hAnsi="Arial" w:cs="Arial"/>
          <w:sz w:val="22"/>
          <w:szCs w:val="22"/>
        </w:rPr>
        <w:t>, KPÚ</w:t>
      </w:r>
      <w:r w:rsidR="0013763E">
        <w:rPr>
          <w:rFonts w:ascii="Arial" w:hAnsi="Arial" w:cs="Arial"/>
          <w:sz w:val="22"/>
          <w:szCs w:val="22"/>
        </w:rPr>
        <w:t xml:space="preserve"> pro JMK</w:t>
      </w:r>
      <w:r w:rsidRPr="003C0D30">
        <w:rPr>
          <w:rFonts w:ascii="Arial" w:hAnsi="Arial" w:cs="Arial"/>
          <w:sz w:val="22"/>
          <w:szCs w:val="22"/>
        </w:rPr>
        <w:t>, Pobočka</w:t>
      </w:r>
      <w:r w:rsidR="0013763E">
        <w:rPr>
          <w:rFonts w:ascii="Arial" w:hAnsi="Arial" w:cs="Arial"/>
          <w:sz w:val="22"/>
          <w:szCs w:val="22"/>
        </w:rPr>
        <w:t xml:space="preserve"> Brno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6E7F82F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3763E">
        <w:rPr>
          <w:rFonts w:ascii="Arial" w:hAnsi="Arial" w:cs="Arial"/>
          <w:sz w:val="22"/>
          <w:szCs w:val="22"/>
        </w:rPr>
        <w:t>+420</w:t>
      </w:r>
      <w:r w:rsidR="00136019">
        <w:rPr>
          <w:rFonts w:ascii="Arial" w:hAnsi="Arial" w:cs="Arial"/>
          <w:sz w:val="22"/>
          <w:szCs w:val="22"/>
        </w:rPr>
        <w:t> 725 </w:t>
      </w:r>
      <w:r w:rsidR="00C1043C">
        <w:rPr>
          <w:rFonts w:ascii="Arial" w:hAnsi="Arial" w:cs="Arial"/>
          <w:sz w:val="22"/>
          <w:szCs w:val="22"/>
        </w:rPr>
        <w:t>002</w:t>
      </w:r>
      <w:r w:rsidR="00136019">
        <w:rPr>
          <w:rFonts w:ascii="Arial" w:hAnsi="Arial" w:cs="Arial"/>
          <w:sz w:val="22"/>
          <w:szCs w:val="22"/>
        </w:rPr>
        <w:t> </w:t>
      </w:r>
      <w:r w:rsidR="00C1043C">
        <w:rPr>
          <w:rFonts w:ascii="Arial" w:hAnsi="Arial" w:cs="Arial"/>
          <w:sz w:val="22"/>
          <w:szCs w:val="22"/>
        </w:rPr>
        <w:t>609</w:t>
      </w:r>
      <w:r w:rsidR="00136019">
        <w:rPr>
          <w:rFonts w:ascii="Arial" w:hAnsi="Arial" w:cs="Arial"/>
          <w:sz w:val="22"/>
          <w:szCs w:val="22"/>
        </w:rPr>
        <w:t xml:space="preserve"> – Ing. </w:t>
      </w:r>
      <w:r w:rsidR="00C1043C">
        <w:rPr>
          <w:rFonts w:ascii="Arial" w:hAnsi="Arial" w:cs="Arial"/>
          <w:sz w:val="22"/>
          <w:szCs w:val="22"/>
        </w:rPr>
        <w:t>Velflová</w:t>
      </w:r>
    </w:p>
    <w:p w14:paraId="6DA97DD3" w14:textId="5B534CDF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36019">
        <w:rPr>
          <w:rFonts w:ascii="Arial" w:hAnsi="Arial" w:cs="Arial"/>
          <w:snapToGrid w:val="0"/>
          <w:sz w:val="22"/>
          <w:szCs w:val="22"/>
        </w:rPr>
        <w:t>brno.pk@spu.gov.cz</w:t>
      </w:r>
    </w:p>
    <w:p w14:paraId="1A4CEAA3" w14:textId="77777777" w:rsidR="00797092" w:rsidRPr="003C0D30" w:rsidRDefault="00797092" w:rsidP="00136019">
      <w:pPr>
        <w:spacing w:before="0" w:after="120" w:line="276" w:lineRule="auto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136019">
      <w:pPr>
        <w:spacing w:before="0" w:after="120" w:line="276" w:lineRule="auto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136019">
      <w:pPr>
        <w:spacing w:before="0" w:after="120" w:line="276" w:lineRule="auto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44AC01D5" w:rsidR="00797092" w:rsidRPr="003C0D30" w:rsidRDefault="00F50621" w:rsidP="00F50621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EKOS T, spol. s r. o.</w:t>
      </w:r>
    </w:p>
    <w:p w14:paraId="6CB3C788" w14:textId="48029F4D" w:rsidR="00797092" w:rsidRPr="003C0D30" w:rsidRDefault="00797092" w:rsidP="00F50621">
      <w:pPr>
        <w:spacing w:before="0" w:line="276" w:lineRule="auto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F50621">
        <w:rPr>
          <w:rFonts w:ascii="Arial" w:hAnsi="Arial" w:cs="Arial"/>
          <w:bCs/>
          <w:sz w:val="22"/>
          <w:szCs w:val="22"/>
        </w:rPr>
        <w:t>Bezručova 68, 674 01 Třebíč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F50621">
        <w:rPr>
          <w:rFonts w:ascii="Arial" w:hAnsi="Arial" w:cs="Arial"/>
          <w:snapToGrid w:val="0"/>
          <w:sz w:val="22"/>
          <w:szCs w:val="22"/>
        </w:rPr>
        <w:t>63470985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F50621">
        <w:rPr>
          <w:rFonts w:ascii="Arial" w:hAnsi="Arial" w:cs="Arial"/>
          <w:snapToGrid w:val="0"/>
          <w:sz w:val="22"/>
          <w:szCs w:val="22"/>
        </w:rPr>
        <w:t>KOS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 </w:t>
      </w:r>
      <w:r w:rsidR="00F50621">
        <w:rPr>
          <w:rFonts w:ascii="Arial" w:hAnsi="Arial" w:cs="Arial"/>
          <w:snapToGrid w:val="0"/>
          <w:sz w:val="22"/>
          <w:szCs w:val="22"/>
        </w:rPr>
        <w:t>Brně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F50621">
        <w:rPr>
          <w:rFonts w:ascii="Arial" w:hAnsi="Arial" w:cs="Arial"/>
          <w:snapToGrid w:val="0"/>
          <w:sz w:val="22"/>
          <w:szCs w:val="22"/>
        </w:rPr>
        <w:t>C 19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F50621">
        <w:rPr>
          <w:rFonts w:ascii="Arial" w:hAnsi="Arial" w:cs="Arial"/>
          <w:snapToGrid w:val="0"/>
          <w:sz w:val="22"/>
          <w:szCs w:val="22"/>
        </w:rPr>
        <w:t>972</w:t>
      </w:r>
    </w:p>
    <w:p w14:paraId="47FA9FF2" w14:textId="3AF2680E" w:rsidR="00797092" w:rsidRPr="003C0D30" w:rsidRDefault="00797092" w:rsidP="00F50621">
      <w:pPr>
        <w:spacing w:before="0"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F50621">
        <w:rPr>
          <w:rFonts w:ascii="Arial" w:hAnsi="Arial" w:cs="Arial"/>
          <w:snapToGrid w:val="0"/>
          <w:sz w:val="22"/>
          <w:szCs w:val="22"/>
        </w:rPr>
        <w:t>Ing. Alešem Tůmou, jednatelem</w:t>
      </w:r>
    </w:p>
    <w:p w14:paraId="74D6E459" w14:textId="31D3D387" w:rsidR="00797092" w:rsidRPr="003C0D30" w:rsidRDefault="00797092" w:rsidP="00F50621">
      <w:pPr>
        <w:spacing w:before="0" w:line="360" w:lineRule="auto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>:</w:t>
      </w:r>
      <w:r w:rsidR="00F50621">
        <w:rPr>
          <w:rFonts w:ascii="Arial" w:hAnsi="Arial" w:cs="Arial"/>
          <w:bCs/>
          <w:sz w:val="22"/>
          <w:szCs w:val="22"/>
        </w:rPr>
        <w:t xml:space="preserve"> Ing. Alešem Tůmou, jednatelem a Ing. Liborem Sedláčkem, jednatelem</w:t>
      </w:r>
    </w:p>
    <w:p w14:paraId="73031793" w14:textId="6B3E42E0" w:rsidR="00797092" w:rsidRDefault="00797092" w:rsidP="00F50621">
      <w:pPr>
        <w:tabs>
          <w:tab w:val="left" w:pos="4536"/>
        </w:tabs>
        <w:spacing w:before="0" w:line="360" w:lineRule="auto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23013">
        <w:rPr>
          <w:rFonts w:ascii="Arial" w:hAnsi="Arial" w:cs="Arial"/>
          <w:sz w:val="22"/>
          <w:szCs w:val="22"/>
        </w:rPr>
        <w:t>xxxxxxxxxxxxx</w:t>
      </w:r>
      <w:proofErr w:type="spellEnd"/>
    </w:p>
    <w:p w14:paraId="7D4177CD" w14:textId="42785AEF" w:rsidR="00F50621" w:rsidRDefault="00F50621" w:rsidP="00F50621">
      <w:pPr>
        <w:tabs>
          <w:tab w:val="left" w:pos="4536"/>
        </w:tabs>
        <w:spacing w:before="0"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týmu: </w:t>
      </w:r>
      <w:proofErr w:type="spellStart"/>
      <w:r w:rsidR="00623013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2D8A1207" w14:textId="1D526B9C" w:rsidR="00F50621" w:rsidRPr="003C0D30" w:rsidRDefault="00F50621" w:rsidP="00F50621">
      <w:pPr>
        <w:tabs>
          <w:tab w:val="left" w:pos="4536"/>
        </w:tabs>
        <w:spacing w:before="0"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vedoucího týmu: </w:t>
      </w:r>
      <w:proofErr w:type="spellStart"/>
      <w:r w:rsidR="00623013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58AC5C4F" w14:textId="77777777" w:rsidR="00797092" w:rsidRPr="003C0D30" w:rsidRDefault="00797092" w:rsidP="00F50621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B87F320" w:rsidR="00797092" w:rsidRPr="003C0D30" w:rsidRDefault="00797092" w:rsidP="00F50621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623013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238788A1" w14:textId="3CB2F951" w:rsidR="00797092" w:rsidRPr="003C0D30" w:rsidRDefault="00797092" w:rsidP="00F50621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="00F506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3013">
        <w:rPr>
          <w:rFonts w:ascii="Arial" w:hAnsi="Arial" w:cs="Arial"/>
          <w:sz w:val="22"/>
          <w:szCs w:val="22"/>
        </w:rPr>
        <w:t>xxxxxxxxxxxxx</w:t>
      </w:r>
      <w:proofErr w:type="spellEnd"/>
    </w:p>
    <w:p w14:paraId="2191597D" w14:textId="4D6EB651" w:rsidR="00797092" w:rsidRPr="003C0D30" w:rsidRDefault="00797092" w:rsidP="00F50621">
      <w:pPr>
        <w:spacing w:before="0" w:after="120" w:line="276" w:lineRule="auto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="00F50621">
        <w:rPr>
          <w:rFonts w:ascii="Arial" w:hAnsi="Arial" w:cs="Arial"/>
          <w:sz w:val="22"/>
          <w:szCs w:val="22"/>
        </w:rPr>
        <w:t xml:space="preserve"> 2r63dp8</w:t>
      </w:r>
    </w:p>
    <w:p w14:paraId="6022D172" w14:textId="7C4D743B" w:rsidR="00797092" w:rsidRPr="003C0D30" w:rsidRDefault="00797092" w:rsidP="00F50621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F50621">
        <w:rPr>
          <w:rFonts w:ascii="Arial" w:hAnsi="Arial" w:cs="Arial"/>
          <w:snapToGrid w:val="0"/>
          <w:sz w:val="22"/>
          <w:szCs w:val="22"/>
        </w:rPr>
        <w:t>ČS a.s.</w:t>
      </w:r>
    </w:p>
    <w:p w14:paraId="32C9F5BB" w14:textId="633E74DD" w:rsidR="00797092" w:rsidRPr="003C0D30" w:rsidRDefault="00797092" w:rsidP="00F50621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F50621">
        <w:rPr>
          <w:rFonts w:ascii="Arial" w:hAnsi="Arial" w:cs="Arial"/>
          <w:sz w:val="22"/>
          <w:szCs w:val="22"/>
        </w:rPr>
        <w:t>1521409359/0800</w:t>
      </w:r>
    </w:p>
    <w:p w14:paraId="08E4CF51" w14:textId="62E61FB7" w:rsidR="00797092" w:rsidRPr="003C0D30" w:rsidRDefault="00797092" w:rsidP="00F50621">
      <w:pPr>
        <w:tabs>
          <w:tab w:val="left" w:pos="4536"/>
        </w:tabs>
        <w:spacing w:before="0" w:after="120" w:line="276" w:lineRule="auto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F50621">
        <w:rPr>
          <w:rFonts w:ascii="Arial" w:hAnsi="Arial" w:cs="Arial"/>
          <w:sz w:val="22"/>
          <w:szCs w:val="22"/>
        </w:rPr>
        <w:t>CZ63470985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66C1691" w:rsidR="00D9408D" w:rsidRPr="004D7DB3" w:rsidRDefault="00D9408D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9275C7">
        <w:rPr>
          <w:rFonts w:ascii="Arial" w:hAnsi="Arial" w:cs="Arial"/>
          <w:sz w:val="22"/>
          <w:szCs w:val="22"/>
        </w:rPr>
        <w:t xml:space="preserve">výzvy k podání nabídek </w:t>
      </w:r>
      <w:r w:rsidR="009275C7" w:rsidRPr="009275C7">
        <w:rPr>
          <w:rFonts w:ascii="Arial" w:hAnsi="Arial" w:cs="Arial"/>
          <w:b/>
          <w:bCs/>
          <w:sz w:val="22"/>
          <w:szCs w:val="22"/>
        </w:rPr>
        <w:t xml:space="preserve">JMK/1_BI_Nové 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Bránice_Troskotovice_Ivaň_Přibice_Vranovice</w:t>
      </w:r>
      <w:proofErr w:type="spellEnd"/>
      <w:r w:rsidR="009275C7" w:rsidRPr="009275C7">
        <w:rPr>
          <w:rFonts w:ascii="Arial" w:hAnsi="Arial" w:cs="Arial"/>
          <w:b/>
          <w:bCs/>
          <w:sz w:val="22"/>
          <w:szCs w:val="22"/>
        </w:rPr>
        <w:t xml:space="preserve"> nad 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Svr</w:t>
      </w:r>
      <w:proofErr w:type="spellEnd"/>
      <w:r w:rsidR="009275C7" w:rsidRPr="009275C7">
        <w:rPr>
          <w:rFonts w:ascii="Arial" w:hAnsi="Arial" w:cs="Arial"/>
          <w:b/>
          <w:bCs/>
          <w:sz w:val="22"/>
          <w:szCs w:val="22"/>
        </w:rPr>
        <w:t>._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Mušov_Vytyčení</w:t>
      </w:r>
      <w:proofErr w:type="spellEnd"/>
      <w:r w:rsidR="009275C7" w:rsidRPr="009275C7">
        <w:rPr>
          <w:rFonts w:ascii="Arial" w:hAnsi="Arial" w:cs="Arial"/>
          <w:b/>
          <w:bCs/>
          <w:sz w:val="22"/>
          <w:szCs w:val="22"/>
        </w:rPr>
        <w:t xml:space="preserve"> po 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411B27" w:rsidRPr="004D7DB3">
        <w:rPr>
          <w:rFonts w:ascii="Arial" w:hAnsi="Arial" w:cs="Arial"/>
          <w:b/>
          <w:bCs/>
          <w:snapToGrid w:val="0"/>
          <w:sz w:val="22"/>
          <w:szCs w:val="22"/>
        </w:rPr>
        <w:t xml:space="preserve"> (dále jen „Veřejná zakázka“)</w:t>
      </w:r>
      <w:r w:rsidR="00FE2BEB" w:rsidRPr="004D7DB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411B27" w:rsidRPr="004D7DB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14:paraId="3DF84FD9" w14:textId="77777777" w:rsidR="00E0680C" w:rsidRDefault="00E0680C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CAED48A" w14:textId="51517B69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7176E5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</w:t>
      </w:r>
      <w:r w:rsidR="002E7C14" w:rsidRPr="00D32B3A">
        <w:rPr>
          <w:rFonts w:ascii="Arial" w:hAnsi="Arial" w:cs="Arial"/>
          <w:sz w:val="22"/>
          <w:szCs w:val="22"/>
        </w:rPr>
        <w:t>(</w:t>
      </w:r>
      <w:proofErr w:type="gramStart"/>
      <w:r w:rsidR="002E7C14" w:rsidRPr="00D32B3A">
        <w:rPr>
          <w:rFonts w:ascii="Arial" w:hAnsi="Arial" w:cs="Arial"/>
          <w:i/>
          <w:iCs/>
          <w:sz w:val="22"/>
          <w:szCs w:val="22"/>
        </w:rPr>
        <w:t>volitelně</w:t>
      </w:r>
      <w:r w:rsidR="002E7C14" w:rsidRPr="00D32B3A">
        <w:rPr>
          <w:rFonts w:ascii="Arial" w:hAnsi="Arial" w:cs="Arial"/>
          <w:sz w:val="22"/>
          <w:szCs w:val="22"/>
        </w:rPr>
        <w:t xml:space="preserve"> - </w:t>
      </w:r>
      <w:r w:rsidR="007A64CD" w:rsidRPr="00D32B3A">
        <w:rPr>
          <w:rFonts w:ascii="Arial" w:hAnsi="Arial" w:cs="Arial"/>
          <w:sz w:val="22"/>
          <w:szCs w:val="22"/>
        </w:rPr>
        <w:t>rozdělené</w:t>
      </w:r>
      <w:proofErr w:type="gram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91040B9" w14:textId="681C5C2D" w:rsidR="00F50621" w:rsidRPr="00F50621" w:rsidRDefault="00C05583" w:rsidP="0089321E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F50621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F50621">
        <w:rPr>
          <w:rFonts w:ascii="Arial" w:hAnsi="Arial" w:cs="Arial"/>
          <w:snapToGrid w:val="0"/>
          <w:sz w:val="22"/>
          <w:szCs w:val="22"/>
        </w:rPr>
        <w:t>Z</w:t>
      </w:r>
      <w:r w:rsidRPr="00F50621">
        <w:rPr>
          <w:rFonts w:ascii="Arial" w:hAnsi="Arial" w:cs="Arial"/>
          <w:snapToGrid w:val="0"/>
          <w:sz w:val="22"/>
          <w:szCs w:val="22"/>
        </w:rPr>
        <w:t>hotovitele ze dne</w:t>
      </w:r>
      <w:r w:rsidR="00F50621" w:rsidRPr="00F50621">
        <w:rPr>
          <w:rFonts w:ascii="Arial" w:hAnsi="Arial" w:cs="Arial"/>
          <w:snapToGrid w:val="0"/>
          <w:sz w:val="22"/>
          <w:szCs w:val="22"/>
        </w:rPr>
        <w:t xml:space="preserve"> 2</w:t>
      </w:r>
      <w:r w:rsidR="00B53E0F">
        <w:rPr>
          <w:rFonts w:ascii="Arial" w:hAnsi="Arial" w:cs="Arial"/>
          <w:snapToGrid w:val="0"/>
          <w:sz w:val="22"/>
          <w:szCs w:val="22"/>
        </w:rPr>
        <w:t>2</w:t>
      </w:r>
      <w:r w:rsidR="00F50621" w:rsidRPr="00F50621">
        <w:rPr>
          <w:rFonts w:ascii="Arial" w:hAnsi="Arial" w:cs="Arial"/>
          <w:snapToGrid w:val="0"/>
          <w:sz w:val="22"/>
          <w:szCs w:val="22"/>
        </w:rPr>
        <w:t>.9.2025</w:t>
      </w:r>
    </w:p>
    <w:p w14:paraId="085E7CB4" w14:textId="2C56CD57" w:rsidR="00C05583" w:rsidRPr="00F50621" w:rsidRDefault="00C05583" w:rsidP="0089321E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F50621">
        <w:rPr>
          <w:rFonts w:ascii="Arial" w:hAnsi="Arial" w:cs="Arial"/>
          <w:sz w:val="22"/>
          <w:szCs w:val="22"/>
        </w:rPr>
        <w:t>Podkladem pro vyt</w:t>
      </w:r>
      <w:r w:rsidR="00311E5C" w:rsidRPr="00F50621">
        <w:rPr>
          <w:rFonts w:ascii="Arial" w:hAnsi="Arial" w:cs="Arial"/>
          <w:sz w:val="22"/>
          <w:szCs w:val="22"/>
        </w:rPr>
        <w:t>y</w:t>
      </w:r>
      <w:r w:rsidRPr="00F50621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F50621">
        <w:rPr>
          <w:rFonts w:ascii="Arial" w:hAnsi="Arial" w:cs="Arial"/>
          <w:sz w:val="22"/>
          <w:szCs w:val="22"/>
        </w:rPr>
        <w:t xml:space="preserve">pozemků </w:t>
      </w:r>
      <w:r w:rsidR="008B50BB" w:rsidRPr="00F50621">
        <w:rPr>
          <w:rFonts w:ascii="Arial" w:hAnsi="Arial" w:cs="Arial"/>
          <w:sz w:val="22"/>
          <w:szCs w:val="22"/>
        </w:rPr>
        <w:t xml:space="preserve">jsou </w:t>
      </w:r>
      <w:r w:rsidRPr="00F50621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F50621">
        <w:rPr>
          <w:rFonts w:ascii="Arial" w:hAnsi="Arial" w:cs="Arial"/>
          <w:sz w:val="22"/>
          <w:szCs w:val="22"/>
        </w:rPr>
        <w:t xml:space="preserve"> vlastníků</w:t>
      </w:r>
      <w:r w:rsidRPr="00F50621">
        <w:rPr>
          <w:rFonts w:ascii="Arial" w:hAnsi="Arial" w:cs="Arial"/>
          <w:sz w:val="22"/>
          <w:szCs w:val="22"/>
        </w:rPr>
        <w:t xml:space="preserve"> o vyt</w:t>
      </w:r>
      <w:r w:rsidR="00183368" w:rsidRPr="00F50621">
        <w:rPr>
          <w:rFonts w:ascii="Arial" w:hAnsi="Arial" w:cs="Arial"/>
          <w:sz w:val="22"/>
          <w:szCs w:val="22"/>
        </w:rPr>
        <w:t>y</w:t>
      </w:r>
      <w:r w:rsidRPr="00F50621">
        <w:rPr>
          <w:rFonts w:ascii="Arial" w:hAnsi="Arial" w:cs="Arial"/>
          <w:sz w:val="22"/>
          <w:szCs w:val="22"/>
        </w:rPr>
        <w:t xml:space="preserve">čení vedené u KPÚ pro </w:t>
      </w:r>
      <w:r w:rsidR="004D7DB3" w:rsidRPr="00F50621">
        <w:rPr>
          <w:rFonts w:ascii="Arial" w:hAnsi="Arial" w:cs="Arial"/>
          <w:sz w:val="22"/>
          <w:szCs w:val="22"/>
        </w:rPr>
        <w:t>Jihomoravský kraj</w:t>
      </w:r>
      <w:r w:rsidR="007256EE" w:rsidRPr="00F50621">
        <w:rPr>
          <w:rFonts w:ascii="Arial" w:hAnsi="Arial" w:cs="Arial"/>
          <w:sz w:val="22"/>
          <w:szCs w:val="22"/>
        </w:rPr>
        <w:t xml:space="preserve">, Pobočky </w:t>
      </w:r>
      <w:r w:rsidR="004D7DB3" w:rsidRPr="00F50621">
        <w:rPr>
          <w:rFonts w:ascii="Arial" w:hAnsi="Arial" w:cs="Arial"/>
          <w:sz w:val="22"/>
          <w:szCs w:val="22"/>
        </w:rPr>
        <w:t>Brno</w:t>
      </w:r>
      <w:r w:rsidR="00EF29D9" w:rsidRPr="00F50621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22B7667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4D7DB3">
        <w:rPr>
          <w:rFonts w:ascii="Arial" w:hAnsi="Arial" w:cs="Arial"/>
          <w:b/>
          <w:bCs/>
          <w:sz w:val="22"/>
          <w:szCs w:val="22"/>
        </w:rPr>
        <w:t>v 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katastrální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>ch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 xml:space="preserve"> území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>ch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: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Nové Bránice, Troskotovice, Ivaň, Přibice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,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Vranovice nad Svratkou a Mušov,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 xml:space="preserve"> okres: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Brno – venkov</w:t>
      </w:r>
      <w:r w:rsidR="004D7DB3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 xml:space="preserve">(viz Příloha č. </w:t>
      </w:r>
      <w:r w:rsidR="00C5194B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08AAF07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4D7DB3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134416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4D7DB3">
        <w:rPr>
          <w:rFonts w:ascii="Arial" w:hAnsi="Arial" w:cs="Arial"/>
          <w:sz w:val="22"/>
          <w:szCs w:val="22"/>
        </w:rPr>
        <w:t xml:space="preserve"> Jihomoravský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4D7DB3">
        <w:rPr>
          <w:rFonts w:ascii="Arial" w:hAnsi="Arial" w:cs="Arial"/>
          <w:sz w:val="22"/>
          <w:szCs w:val="22"/>
        </w:rPr>
        <w:t xml:space="preserve">Brno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4D7DB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39148F29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</w:t>
      </w:r>
      <w:r w:rsidR="00294AF8" w:rsidRPr="008774FF">
        <w:rPr>
          <w:rFonts w:ascii="Arial" w:hAnsi="Arial" w:cs="Arial"/>
          <w:b/>
          <w:bCs/>
          <w:sz w:val="22"/>
          <w:szCs w:val="22"/>
        </w:rPr>
        <w:t>ve</w:t>
      </w:r>
      <w:r w:rsidR="00E0680C" w:rsidRPr="008774FF">
        <w:rPr>
          <w:rFonts w:ascii="Arial" w:hAnsi="Arial" w:cs="Arial"/>
          <w:b/>
          <w:bCs/>
          <w:sz w:val="22"/>
          <w:szCs w:val="22"/>
        </w:rPr>
        <w:t xml:space="preserve"> lhůtě </w:t>
      </w:r>
      <w:r w:rsidR="00F50621" w:rsidRPr="008774FF">
        <w:rPr>
          <w:rFonts w:ascii="Arial" w:hAnsi="Arial" w:cs="Arial"/>
          <w:b/>
          <w:bCs/>
          <w:sz w:val="22"/>
          <w:szCs w:val="22"/>
        </w:rPr>
        <w:t xml:space="preserve">55 </w:t>
      </w:r>
      <w:r w:rsidR="00294AF8" w:rsidRPr="008774FF">
        <w:rPr>
          <w:rFonts w:ascii="Arial" w:hAnsi="Arial" w:cs="Arial"/>
          <w:b/>
          <w:bCs/>
          <w:sz w:val="22"/>
          <w:szCs w:val="22"/>
        </w:rPr>
        <w:t>dnů</w:t>
      </w:r>
      <w:r w:rsidR="00294AF8" w:rsidRPr="00F50621">
        <w:rPr>
          <w:rFonts w:ascii="Arial" w:hAnsi="Arial" w:cs="Arial"/>
          <w:sz w:val="22"/>
          <w:szCs w:val="22"/>
        </w:rPr>
        <w:t>. Tato</w:t>
      </w:r>
      <w:r w:rsidR="00294AF8" w:rsidRPr="00972A20">
        <w:rPr>
          <w:rFonts w:ascii="Arial" w:hAnsi="Arial" w:cs="Arial"/>
          <w:sz w:val="22"/>
          <w:szCs w:val="22"/>
        </w:rPr>
        <w:t xml:space="preserve">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37156E8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5942E9">
        <w:rPr>
          <w:rFonts w:ascii="Arial" w:hAnsi="Arial" w:cs="Arial"/>
          <w:b/>
          <w:bCs/>
          <w:sz w:val="22"/>
          <w:szCs w:val="22"/>
        </w:rPr>
        <w:t>katastrální území: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 xml:space="preserve"> Nové Bránice, Troskotovice, Ivaň, </w:t>
      </w:r>
      <w:r w:rsidR="00356AD0">
        <w:rPr>
          <w:rFonts w:ascii="Arial" w:hAnsi="Arial" w:cs="Arial"/>
          <w:b/>
          <w:bCs/>
          <w:sz w:val="22"/>
          <w:szCs w:val="22"/>
        </w:rPr>
        <w:t>P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>řibice, Vranovice nad Svratkou, Mušov</w:t>
      </w:r>
      <w:r w:rsidR="00D6451F" w:rsidRPr="005942E9">
        <w:rPr>
          <w:rFonts w:ascii="Arial" w:hAnsi="Arial" w:cs="Arial"/>
          <w:b/>
          <w:bCs/>
          <w:sz w:val="22"/>
          <w:szCs w:val="22"/>
        </w:rPr>
        <w:t>, okres: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5942E9" w:rsidRPr="005942E9">
        <w:rPr>
          <w:rFonts w:ascii="Arial" w:hAnsi="Arial" w:cs="Arial"/>
          <w:b/>
          <w:bCs/>
          <w:sz w:val="22"/>
          <w:szCs w:val="22"/>
        </w:rPr>
        <w:t>Brno - venkov</w:t>
      </w:r>
      <w:proofErr w:type="gramEnd"/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B62AE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2B8C1FC4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5942E9">
        <w:rPr>
          <w:rFonts w:ascii="Arial" w:hAnsi="Arial" w:cs="Arial"/>
          <w:sz w:val="22"/>
          <w:szCs w:val="22"/>
        </w:rPr>
        <w:t xml:space="preserve">Krajský pozemkový úřad pro Jihomoravský kraj, </w:t>
      </w:r>
      <w:r w:rsidR="00356AD0">
        <w:rPr>
          <w:rFonts w:ascii="Arial" w:hAnsi="Arial" w:cs="Arial"/>
          <w:sz w:val="22"/>
          <w:szCs w:val="22"/>
        </w:rPr>
        <w:t>Pobočka Brno, Kotlářská 9831/53, 602 00 Brno.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F2D7EF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8774FF">
        <w:rPr>
          <w:rFonts w:ascii="Arial" w:hAnsi="Arial" w:cs="Arial"/>
          <w:sz w:val="22"/>
          <w:szCs w:val="22"/>
        </w:rPr>
        <w:t>u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A37CB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C6F0F">
        <w:rPr>
          <w:rFonts w:ascii="Arial" w:hAnsi="Arial" w:cs="Arial"/>
          <w:sz w:val="22"/>
          <w:szCs w:val="22"/>
        </w:rPr>
        <w:t>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A39EFD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AC6F0F">
        <w:rPr>
          <w:rFonts w:ascii="Arial" w:hAnsi="Arial" w:cs="Arial"/>
          <w:b/>
          <w:bCs/>
          <w:sz w:val="22"/>
          <w:szCs w:val="22"/>
        </w:rPr>
        <w:t>311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0F64F503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AB62AE">
        <w:rPr>
          <w:rFonts w:ascii="Arial" w:hAnsi="Arial" w:cs="Arial"/>
          <w:b/>
          <w:sz w:val="22"/>
          <w:szCs w:val="22"/>
        </w:rPr>
        <w:t>1190,00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5A3996C1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AB62AE">
        <w:rPr>
          <w:rFonts w:ascii="Arial" w:hAnsi="Arial" w:cs="Arial"/>
          <w:b/>
          <w:sz w:val="22"/>
          <w:szCs w:val="22"/>
        </w:rPr>
        <w:t>370 090,00 Kč</w:t>
      </w:r>
    </w:p>
    <w:p w14:paraId="67BB8290" w14:textId="08BC579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AC6F0F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AB62AE">
        <w:rPr>
          <w:rFonts w:ascii="Arial" w:hAnsi="Arial" w:cs="Arial"/>
          <w:b/>
          <w:sz w:val="22"/>
          <w:szCs w:val="22"/>
          <w:u w:val="single"/>
        </w:rPr>
        <w:t xml:space="preserve">  77 718,90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73E62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AB62AE">
        <w:rPr>
          <w:rFonts w:ascii="Arial" w:hAnsi="Arial" w:cs="Arial"/>
          <w:b/>
          <w:sz w:val="22"/>
          <w:szCs w:val="22"/>
          <w:u w:val="double"/>
        </w:rPr>
        <w:t>447 808,90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B70F19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AC6F0F">
        <w:rPr>
          <w:rFonts w:ascii="Arial" w:hAnsi="Arial" w:cs="Arial"/>
          <w:sz w:val="22"/>
          <w:szCs w:val="22"/>
        </w:rPr>
        <w:t xml:space="preserve"> Brno</w:t>
      </w:r>
      <w:r w:rsidRPr="00085F28">
        <w:rPr>
          <w:rFonts w:ascii="Arial" w:hAnsi="Arial" w:cs="Arial"/>
          <w:sz w:val="22"/>
          <w:szCs w:val="22"/>
        </w:rPr>
        <w:t>, KPÚ pro</w:t>
      </w:r>
      <w:r w:rsidR="00AC6F0F">
        <w:rPr>
          <w:rFonts w:ascii="Arial" w:hAnsi="Arial" w:cs="Arial"/>
          <w:sz w:val="22"/>
          <w:szCs w:val="22"/>
        </w:rPr>
        <w:t xml:space="preserve"> Jihomoravský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7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183C72">
        <w:rPr>
          <w:rFonts w:ascii="Arial" w:hAnsi="Arial" w:cs="Arial"/>
          <w:b/>
          <w:snapToGrid w:val="0"/>
          <w:sz w:val="22"/>
          <w:szCs w:val="22"/>
        </w:rPr>
        <w:t xml:space="preserve"> Jihomoravský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183C72">
        <w:rPr>
          <w:rFonts w:ascii="Arial" w:hAnsi="Arial" w:cs="Arial"/>
          <w:b/>
          <w:snapToGrid w:val="0"/>
          <w:sz w:val="22"/>
          <w:szCs w:val="22"/>
        </w:rPr>
        <w:t xml:space="preserve"> Brno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183C72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183C72">
        <w:rPr>
          <w:rFonts w:ascii="Arial" w:hAnsi="Arial" w:cs="Arial"/>
          <w:bCs/>
          <w:snapToGrid w:val="0"/>
          <w:sz w:val="22"/>
          <w:szCs w:val="22"/>
        </w:rPr>
        <w:t>:</w:t>
      </w:r>
      <w:r w:rsidR="00183C72">
        <w:rPr>
          <w:rFonts w:ascii="Arial" w:hAnsi="Arial" w:cs="Arial"/>
          <w:snapToGrid w:val="0"/>
          <w:sz w:val="22"/>
          <w:szCs w:val="22"/>
        </w:rPr>
        <w:t xml:space="preserve"> Kotlářská 931/53, 602 00 Brno.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Pokud faktura neobsahuje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lastRenderedPageBreak/>
        <w:t>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mlouvě. Oznámení o změně bankovního spojení je třeba zaslat ve formě žádosti na provedení změny nebo doplnění bankovního spojení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CAD72D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183C72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183C7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83C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3C72">
        <w:rPr>
          <w:rFonts w:ascii="Arial" w:hAnsi="Arial" w:cs="Arial"/>
          <w:sz w:val="22"/>
          <w:szCs w:val="22"/>
        </w:rPr>
        <w:t>Brno -venkov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48E0A7A4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AB62AE">
        <w:rPr>
          <w:rFonts w:ascii="Arial" w:hAnsi="Arial" w:cs="Arial"/>
          <w:b/>
          <w:sz w:val="22"/>
          <w:szCs w:val="22"/>
        </w:rPr>
        <w:t>EKOS T, spol. s r. o.</w:t>
      </w:r>
    </w:p>
    <w:p w14:paraId="0780E320" w14:textId="4E51784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183C72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AB62AE">
        <w:rPr>
          <w:rFonts w:ascii="Arial" w:hAnsi="Arial" w:cs="Arial"/>
          <w:sz w:val="22"/>
          <w:szCs w:val="22"/>
        </w:rPr>
        <w:t>Třebíč</w:t>
      </w:r>
    </w:p>
    <w:p w14:paraId="275FAE40" w14:textId="2E5CD9A7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62301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2. 10. </w:t>
      </w:r>
      <w:proofErr w:type="gramStart"/>
      <w:r w:rsidR="0062301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2025  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proofErr w:type="gramEnd"/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623013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 xml:space="preserve">                       </w:t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62301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29. 9. 2025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F4AFB49" w:rsidR="00BB303E" w:rsidRPr="00014665" w:rsidRDefault="00183C72" w:rsidP="00183C72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AB62AE">
        <w:rPr>
          <w:rFonts w:ascii="Arial" w:hAnsi="Arial" w:cs="Arial"/>
          <w:sz w:val="22"/>
          <w:szCs w:val="22"/>
        </w:rPr>
        <w:t>Ing. Aleš Tůma, jednatel</w:t>
      </w:r>
    </w:p>
    <w:p w14:paraId="1CFFF0A1" w14:textId="765D8985" w:rsidR="00183C72" w:rsidRDefault="00183C72" w:rsidP="00183C72">
      <w:pPr>
        <w:tabs>
          <w:tab w:val="left" w:pos="567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                                                                                  </w:t>
      </w:r>
      <w:r w:rsidR="00AB62AE">
        <w:rPr>
          <w:rFonts w:ascii="Arial" w:hAnsi="Arial" w:cs="Arial"/>
          <w:sz w:val="22"/>
          <w:szCs w:val="22"/>
        </w:rPr>
        <w:t>Ing. Libor Sedláček, jednatel</w:t>
      </w:r>
    </w:p>
    <w:p w14:paraId="1F5A5897" w14:textId="39BF81EE" w:rsidR="00BB303E" w:rsidRPr="00014665" w:rsidRDefault="00183C72" w:rsidP="00183C72">
      <w:pPr>
        <w:tabs>
          <w:tab w:val="left" w:pos="567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Krajského pozemkového úřadu pro Jihomoravský kraj </w:t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34B70A8" w14:textId="77777777" w:rsidR="00446A37" w:rsidRDefault="00446A3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4EDD685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0EE99C84" w14:textId="77777777" w:rsidR="00AB62AE" w:rsidRDefault="00AB62AE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B6CE57E" w14:textId="77777777" w:rsidR="00AB62AE" w:rsidRDefault="00AB62AE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4824EC2" w14:textId="63DDA5D5" w:rsidR="00AB62AE" w:rsidRDefault="00AB62AE" w:rsidP="00910DD9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Ing. Radmila </w:t>
      </w:r>
      <w:proofErr w:type="gramStart"/>
      <w:r>
        <w:rPr>
          <w:rFonts w:ascii="Arial" w:hAnsi="Arial" w:cs="Arial"/>
          <w:sz w:val="22"/>
          <w:szCs w:val="22"/>
        </w:rPr>
        <w:t>Navrátilová  „</w:t>
      </w:r>
      <w:proofErr w:type="gramEnd"/>
      <w:r w:rsidRPr="00AB62AE">
        <w:rPr>
          <w:rFonts w:ascii="Arial" w:hAnsi="Arial" w:cs="Arial"/>
          <w:i/>
          <w:iCs/>
          <w:sz w:val="22"/>
          <w:szCs w:val="22"/>
        </w:rPr>
        <w:t>elektronicky pod</w:t>
      </w:r>
      <w:r w:rsidR="00B57021">
        <w:rPr>
          <w:rFonts w:ascii="Arial" w:hAnsi="Arial" w:cs="Arial"/>
          <w:i/>
          <w:iCs/>
          <w:sz w:val="22"/>
          <w:szCs w:val="22"/>
        </w:rPr>
        <w:t>e</w:t>
      </w:r>
      <w:r w:rsidRPr="00AB62AE">
        <w:rPr>
          <w:rFonts w:ascii="Arial" w:hAnsi="Arial" w:cs="Arial"/>
          <w:i/>
          <w:iCs/>
          <w:sz w:val="22"/>
          <w:szCs w:val="22"/>
        </w:rPr>
        <w:t>psáno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0F120CEC" w14:textId="77777777" w:rsidR="00AB62AE" w:rsidRDefault="00AB62AE" w:rsidP="00910DD9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p w14:paraId="39B6C6B0" w14:textId="77777777" w:rsidR="00AB62AE" w:rsidRDefault="00AB62AE" w:rsidP="00910DD9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p w14:paraId="437EE6C3" w14:textId="77777777" w:rsidR="00AB62AE" w:rsidRDefault="00AB62AE" w:rsidP="00910DD9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p w14:paraId="629095DD" w14:textId="77777777" w:rsidR="00B57021" w:rsidRDefault="00B57021" w:rsidP="00910DD9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p w14:paraId="1C9315D9" w14:textId="77777777" w:rsidR="00B57021" w:rsidRDefault="00B57021" w:rsidP="00910DD9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p w14:paraId="312D62C1" w14:textId="77777777" w:rsidR="003C4F49" w:rsidRDefault="003C4F49" w:rsidP="00910DD9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p w14:paraId="65284CE2" w14:textId="77777777" w:rsidR="003C4F49" w:rsidRDefault="003C4F49" w:rsidP="00910DD9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p w14:paraId="769C15AC" w14:textId="330FE707" w:rsidR="00AB62AE" w:rsidRDefault="00AB62AE" w:rsidP="00910DD9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AB62AE">
        <w:rPr>
          <w:rFonts w:ascii="Arial" w:hAnsi="Arial" w:cs="Arial"/>
          <w:b/>
          <w:bCs/>
          <w:sz w:val="22"/>
          <w:szCs w:val="22"/>
        </w:rPr>
        <w:lastRenderedPageBreak/>
        <w:t>Příloha č. 1 Seznam vytyčovaných pozemků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2306"/>
        <w:gridCol w:w="731"/>
        <w:gridCol w:w="1378"/>
        <w:gridCol w:w="604"/>
        <w:gridCol w:w="672"/>
        <w:gridCol w:w="801"/>
        <w:gridCol w:w="920"/>
        <w:gridCol w:w="682"/>
      </w:tblGrid>
      <w:tr w:rsidR="00446A37" w:rsidRPr="006D18E7" w14:paraId="0CF979CB" w14:textId="77777777" w:rsidTr="00446A37">
        <w:trPr>
          <w:trHeight w:val="300"/>
        </w:trPr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72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8F72" w14:textId="758E5EFE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Parcelní čísla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KN</w:t>
            </w:r>
          </w:p>
        </w:tc>
        <w:tc>
          <w:tcPr>
            <w:tcW w:w="7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DEC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6F3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kultura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B27F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Měrné jednotky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8058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součet dle KÚ</w:t>
            </w:r>
          </w:p>
        </w:tc>
      </w:tr>
      <w:tr w:rsidR="00EC405E" w:rsidRPr="006D18E7" w14:paraId="0ED40B07" w14:textId="77777777" w:rsidTr="00446A37">
        <w:trPr>
          <w:trHeight w:val="300"/>
        </w:trPr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2218F" w14:textId="77777777" w:rsidR="006D18E7" w:rsidRPr="006D18E7" w:rsidRDefault="006D18E7" w:rsidP="006D18E7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E495D" w14:textId="77777777" w:rsidR="006D18E7" w:rsidRPr="006D18E7" w:rsidRDefault="006D18E7" w:rsidP="006D18E7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1232A" w14:textId="77777777" w:rsidR="006D18E7" w:rsidRPr="006D18E7" w:rsidRDefault="006D18E7" w:rsidP="006D18E7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EECCE" w14:textId="77777777" w:rsidR="006D18E7" w:rsidRPr="006D18E7" w:rsidRDefault="006D18E7" w:rsidP="006D18E7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F801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0CED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Hranice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C11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(m)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49C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</w:tr>
      <w:tr w:rsidR="006D18E7" w:rsidRPr="006D18E7" w14:paraId="67B5BC53" w14:textId="77777777" w:rsidTr="00446A37">
        <w:trPr>
          <w:trHeight w:val="315"/>
        </w:trPr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7BEF1" w14:textId="77777777" w:rsidR="006D18E7" w:rsidRPr="006D18E7" w:rsidRDefault="006D18E7" w:rsidP="006D18E7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5149E" w14:textId="77777777" w:rsidR="006D18E7" w:rsidRPr="006D18E7" w:rsidRDefault="006D18E7" w:rsidP="006D18E7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94CEFC" w14:textId="77777777" w:rsidR="006D18E7" w:rsidRPr="006D18E7" w:rsidRDefault="006D18E7" w:rsidP="006D18E7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56E5D" w14:textId="77777777" w:rsidR="006D18E7" w:rsidRPr="006D18E7" w:rsidRDefault="006D18E7" w:rsidP="006D18E7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D74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85E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6F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F9E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D8D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3BBFA919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9C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E0CE" w14:textId="0CC7B6B3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1755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0A7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4F1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vinice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0E7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587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36D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310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43A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74463934" w14:textId="77777777" w:rsidTr="00446A37">
        <w:trPr>
          <w:trHeight w:val="9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3D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2E30" w14:textId="1F2B586C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1118, 1592, 1628, 1652, 1719, 1721, 1722, 1731, 1732, 1898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D48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513A" w14:textId="053CED93" w:rsidR="006D18E7" w:rsidRPr="006D18E7" w:rsidRDefault="006D18E7" w:rsidP="00446A3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orná p., lesní p., </w:t>
            </w:r>
            <w:proofErr w:type="spellStart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446A37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068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FE4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A03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067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04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68CCC9EB" w14:textId="77777777" w:rsidTr="00446A37">
        <w:trPr>
          <w:trHeight w:val="186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71E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A2FC" w14:textId="24A41112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1004, 1035, 1314, 1322, 1345, 1367, 1374, 1400, 1403, 1498, 1503, 1591, 1627, 1647, 1720, 1723, 1724, 1789, 1790, 1791, 1871, 1897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6A2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987" w14:textId="0BB553B4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orná p., vinice, lesní p., </w:t>
            </w:r>
            <w:proofErr w:type="spellStart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446A37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29F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4A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B33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4667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ED5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055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732C465E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FE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B69C" w14:textId="136F9C61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1119, 1414, 1583, 1584, 1893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372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44CF" w14:textId="10DF5D8A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orná p., lesní p., </w:t>
            </w:r>
            <w:proofErr w:type="spellStart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446A37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B16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E3E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77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CCE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184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56486A3B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82C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E53B" w14:textId="22A4A552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1605, 1633, 1902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99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60E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p., lesní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87D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C60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79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1FB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711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2C285431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4D9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C8B4" w14:textId="321083F8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AC7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E32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9F5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90F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604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142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267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7DD076E0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9A1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5D8" w14:textId="073BF6FF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06E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9D2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FDC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604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CC6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1C2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0AF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5EE8D8ED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64B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8558" w14:textId="5A12D6F1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1326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31A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FE0" w14:textId="03D55008" w:rsidR="006D18E7" w:rsidRPr="006D18E7" w:rsidRDefault="00F169EE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 w:rsidR="006D18E7"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inice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966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BA5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F41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074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FE19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25D4ED25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DFC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8EB" w14:textId="699AFAD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5F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F3DA" w14:textId="7C1E3E48" w:rsidR="006D18E7" w:rsidRPr="006D18E7" w:rsidRDefault="00F169EE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 w:rsidR="006D18E7"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inice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CF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80F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40E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470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67E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2129F303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61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EB99" w14:textId="48D8A31B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1317, 1328, 1337, 1338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40C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A163" w14:textId="386B8432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vinice, </w:t>
            </w:r>
            <w:proofErr w:type="spellStart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446A37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0D5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62D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68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1563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67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6DE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2FDF7738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877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89A" w14:textId="7FCAA3B0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1335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EE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0D98" w14:textId="2FB7E9AD" w:rsidR="006D18E7" w:rsidRPr="006D18E7" w:rsidRDefault="00F169EE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 w:rsidR="006D18E7"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inice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2EC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4DE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57D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18F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971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469CF684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70C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E03A" w14:textId="49B48B64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120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AE2" w14:textId="4F53ED60" w:rsidR="006D18E7" w:rsidRPr="006D18E7" w:rsidRDefault="00F169EE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 w:rsidR="006D18E7"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inice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CDA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ADC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B6A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F7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3E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6A959EC1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F86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4D39" w14:textId="3974E27B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1300, 2005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4F1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E7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lesní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86E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F83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F3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AE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566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4C9090D9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31F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F6F8" w14:textId="2BA8BA26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1068, 1132, 1218, 1881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4AB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C79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AA6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BE69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F6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1741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1E4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18B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12FFB355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BE6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7301" w14:textId="7013FBB1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8AF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CF8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41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8C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0C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5E6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13565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0319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1354FB9A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C8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B21" w14:textId="284217DB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817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1B6" w14:textId="1290AB1C" w:rsidR="006D18E7" w:rsidRPr="006D18E7" w:rsidRDefault="00F169EE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 w:rsidR="006D18E7"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inice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BC2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F8D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336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06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A89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3504A01B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018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CBC3" w14:textId="536C4E6A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FB7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C9CC" w14:textId="6B0D6F9A" w:rsidR="006D18E7" w:rsidRPr="006D18E7" w:rsidRDefault="00F169EE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  <w:r w:rsidR="006D18E7"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inice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535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7F0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4B5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C45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14275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99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5E2E059B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FE0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Nové Bránice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502B" w14:textId="7FBED023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1009, 1114, 1116, 1154, 1155, 2055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595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1328" w14:textId="7CCD82F2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orná p., </w:t>
            </w:r>
            <w:proofErr w:type="spellStart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446A37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E59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F4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C59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2248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61C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16523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22A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</w:tr>
      <w:tr w:rsidR="006D18E7" w:rsidRPr="006D18E7" w14:paraId="560E095B" w14:textId="77777777" w:rsidTr="00446A37">
        <w:trPr>
          <w:trHeight w:val="559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FA4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Troskotovice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500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3298, 3302, 3619, 3651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2AE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BE9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vinice, orná p.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CAB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FE9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AE9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576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2E9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302E0E4F" w14:textId="77777777" w:rsidTr="00446A37">
        <w:trPr>
          <w:trHeight w:val="559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D26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Troskotovice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9C7" w14:textId="1B4FC57D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3299, 3300, 3301, 3544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88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617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vinice, orná p., ostat. </w:t>
            </w:r>
            <w:proofErr w:type="spellStart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pl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0E6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7EC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86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03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3115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1C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004D3C5C" w14:textId="77777777" w:rsidTr="008774FF">
        <w:trPr>
          <w:trHeight w:val="559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BD6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Troskotovice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BD95" w14:textId="04A9F376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3142, 3145, 3229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DA9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B38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lesní p.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485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382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8E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A41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4161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A4E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623B4070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492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Troskotovice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0D6" w14:textId="5166B786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3721, 3722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E38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2FD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p., lesní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4DA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297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37E9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A75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335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09FAA5CF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F7B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Troskotovice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A21D" w14:textId="16753924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3733, 3735, 3738, 3739, 3742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22E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C99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p., lesní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A55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C6A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02E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2334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68A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8C4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28153D19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A3E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Troskotovice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D7A" w14:textId="771012FA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3476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A53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744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F25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069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CFA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2CC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E85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5156F302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C19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Troskotovice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CCED" w14:textId="60613D72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3297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39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246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zahrada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36E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C0D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7A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61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42A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D18E7" w:rsidRPr="006D18E7" w14:paraId="6873012A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749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Ivaň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5931" w14:textId="49B0F8E4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2410, 2418, 2493, 2555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8272" w14:textId="62A94923" w:rsidR="006D18E7" w:rsidRPr="006D18E7" w:rsidRDefault="00EC405E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1A7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ost.pl./</w:t>
            </w:r>
            <w:proofErr w:type="spellStart"/>
            <w:proofErr w:type="gram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ost</w:t>
            </w:r>
            <w:proofErr w:type="spellEnd"/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. komunikace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2DC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717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9E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4850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681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659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00277780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8CE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Ivaň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821" w14:textId="3136CCF0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2889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B7C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6B5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travní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991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CE9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732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ACC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33F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0642E62C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1FE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Ivaň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8F73" w14:textId="4D4BDF9B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2814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0F4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B19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D549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80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043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6BA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E6A9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18E7" w:rsidRPr="006D18E7" w14:paraId="134A42F8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45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Ivaň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DE56" w14:textId="6AFC204B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3289, 3488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47F6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D1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travní p., lesní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1CF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299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1A4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7F5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0D6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D18E7" w:rsidRPr="006D18E7" w14:paraId="5760D62D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D9F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Přibice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C993" w14:textId="46009FB5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3346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D502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87F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orná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F6B4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C2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BA73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87E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40C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6D18E7" w:rsidRPr="006D18E7" w14:paraId="57F38C0E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6BE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Vranovice nad Svratkou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DB9B" w14:textId="4D5CFB2E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3708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9CD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4558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lesní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4E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CA4F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1FBB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F30A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C9F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6D18E7" w:rsidRPr="006D18E7" w14:paraId="2B6AB0FD" w14:textId="77777777" w:rsidTr="00446A37">
        <w:trPr>
          <w:trHeight w:val="559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E82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Mušov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02F" w14:textId="169CB544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5118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631D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02B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8E7">
              <w:rPr>
                <w:rFonts w:ascii="Calibri" w:hAnsi="Calibri" w:cs="Calibri"/>
                <w:color w:val="000000"/>
                <w:sz w:val="18"/>
                <w:szCs w:val="18"/>
              </w:rPr>
              <w:t>lesní 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DC4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79AC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8D9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13F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3BE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6D18E7" w:rsidRPr="006D18E7" w14:paraId="08AD6F72" w14:textId="77777777" w:rsidTr="00446A37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49FE5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6E0B2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D19A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3B89E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E5DA9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C1B8D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AD10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30843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2B89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EFC1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8E7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</w:tr>
      <w:tr w:rsidR="006D18E7" w:rsidRPr="006D18E7" w14:paraId="5552A194" w14:textId="77777777" w:rsidTr="00446A37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21F7" w14:textId="77777777" w:rsidR="006D18E7" w:rsidRPr="006D18E7" w:rsidRDefault="006D18E7" w:rsidP="006D18E7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8A107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4808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652FB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A30FD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63087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083FC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2554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8C5A1" w14:textId="77777777" w:rsidR="006D18E7" w:rsidRPr="006D18E7" w:rsidRDefault="006D18E7" w:rsidP="006D18E7">
            <w:pPr>
              <w:spacing w:before="0"/>
              <w:ind w:left="0"/>
              <w:jc w:val="center"/>
            </w:pPr>
          </w:p>
        </w:tc>
      </w:tr>
    </w:tbl>
    <w:p w14:paraId="3A65DDAD" w14:textId="5162D85E" w:rsidR="00323861" w:rsidRPr="00AB62AE" w:rsidRDefault="00323861" w:rsidP="00910DD9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413E5638" w14:textId="77777777" w:rsidR="00AB62AE" w:rsidRPr="00AB62AE" w:rsidRDefault="00AB62AE" w:rsidP="00910DD9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sectPr w:rsidR="00AB62AE" w:rsidRPr="00AB62AE" w:rsidSect="00237DB7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36019"/>
    <w:rsid w:val="0013763E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3C72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26A3A"/>
    <w:rsid w:val="002305CB"/>
    <w:rsid w:val="0023080A"/>
    <w:rsid w:val="00234489"/>
    <w:rsid w:val="00237DB7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757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3861"/>
    <w:rsid w:val="00325C2D"/>
    <w:rsid w:val="00327747"/>
    <w:rsid w:val="00340BE7"/>
    <w:rsid w:val="0034297B"/>
    <w:rsid w:val="0034343F"/>
    <w:rsid w:val="00345D17"/>
    <w:rsid w:val="00353628"/>
    <w:rsid w:val="00353BAC"/>
    <w:rsid w:val="00354E99"/>
    <w:rsid w:val="003562D7"/>
    <w:rsid w:val="00356A51"/>
    <w:rsid w:val="00356AD0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4F49"/>
    <w:rsid w:val="003C642B"/>
    <w:rsid w:val="003C6BC8"/>
    <w:rsid w:val="003D0325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6A3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D7DB3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42E9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3013"/>
    <w:rsid w:val="00623C9C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18E7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774FF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73B0"/>
    <w:rsid w:val="00921728"/>
    <w:rsid w:val="00926421"/>
    <w:rsid w:val="009275C7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4893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62AE"/>
    <w:rsid w:val="00AC1E90"/>
    <w:rsid w:val="00AC2F05"/>
    <w:rsid w:val="00AC3D9E"/>
    <w:rsid w:val="00AC4BA8"/>
    <w:rsid w:val="00AC6F0F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3E0F"/>
    <w:rsid w:val="00B57021"/>
    <w:rsid w:val="00B5735E"/>
    <w:rsid w:val="00B5778D"/>
    <w:rsid w:val="00B649BB"/>
    <w:rsid w:val="00B654CB"/>
    <w:rsid w:val="00B721A9"/>
    <w:rsid w:val="00B7660C"/>
    <w:rsid w:val="00B768A0"/>
    <w:rsid w:val="00B810FC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043C"/>
    <w:rsid w:val="00C15359"/>
    <w:rsid w:val="00C2000D"/>
    <w:rsid w:val="00C211EC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194B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3A5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7A8D"/>
    <w:rsid w:val="00DE57F2"/>
    <w:rsid w:val="00DF4F34"/>
    <w:rsid w:val="00DF65C7"/>
    <w:rsid w:val="00E023A5"/>
    <w:rsid w:val="00E0323E"/>
    <w:rsid w:val="00E0680C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08E7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405E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69EE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0621"/>
    <w:rsid w:val="00F52852"/>
    <w:rsid w:val="00F52EB4"/>
    <w:rsid w:val="00F53046"/>
    <w:rsid w:val="00F531DC"/>
    <w:rsid w:val="00F5666D"/>
    <w:rsid w:val="00F60CA8"/>
    <w:rsid w:val="00F625E5"/>
    <w:rsid w:val="00F6390E"/>
    <w:rsid w:val="00F64E52"/>
    <w:rsid w:val="00F679C8"/>
    <w:rsid w:val="00F7000A"/>
    <w:rsid w:val="00F70D9F"/>
    <w:rsid w:val="00F74078"/>
    <w:rsid w:val="00F750EA"/>
    <w:rsid w:val="00F81E37"/>
    <w:rsid w:val="00F844F8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5280</Words>
  <Characters>31157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2025-10-06T09:22:00Z</dcterms:created>
  <dcterms:modified xsi:type="dcterms:W3CDTF">2025-10-06T09:24:00Z</dcterms:modified>
</cp:coreProperties>
</file>