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1861F" w14:textId="24CBC7B1" w:rsidR="0021725F" w:rsidRPr="00737936" w:rsidRDefault="00B83F26" w:rsidP="0031011B">
      <w:pPr>
        <w:pStyle w:val="Nzev"/>
      </w:pPr>
      <w:r w:rsidRPr="00737936">
        <w:t>S</w:t>
      </w:r>
      <w:r w:rsidR="0021725F" w:rsidRPr="00737936">
        <w:t xml:space="preserve">MLOUVA O </w:t>
      </w:r>
      <w:r w:rsidR="00865AAA" w:rsidRPr="00737936">
        <w:t>DÍLO</w:t>
      </w:r>
      <w:r w:rsidR="00721C31" w:rsidRPr="00737936">
        <w:t xml:space="preserve"> NA PROVEDENÍ DOZORU</w:t>
      </w:r>
      <w:r w:rsidR="007214D7">
        <w:t xml:space="preserve"> PROJEKTANTA</w:t>
      </w:r>
    </w:p>
    <w:p w14:paraId="432300BE" w14:textId="77777777" w:rsidR="0021725F" w:rsidRPr="00112268" w:rsidRDefault="0021725F" w:rsidP="0031011B">
      <w:pPr>
        <w:pStyle w:val="Nzev"/>
      </w:pPr>
      <w:r w:rsidRPr="00112268">
        <w:t>(dále jen „smlouva“)</w:t>
      </w:r>
    </w:p>
    <w:p w14:paraId="30E05CAE" w14:textId="77777777" w:rsidR="0021725F" w:rsidRPr="0031011B" w:rsidRDefault="0021725F" w:rsidP="0031011B">
      <w:pPr>
        <w:pStyle w:val="Nzev"/>
        <w:rPr>
          <w:sz w:val="22"/>
          <w:szCs w:val="20"/>
        </w:rPr>
      </w:pPr>
    </w:p>
    <w:p w14:paraId="1D1E4F1E" w14:textId="77777777" w:rsidR="002045CC" w:rsidRPr="0031011B" w:rsidRDefault="002045CC" w:rsidP="0031011B">
      <w:pPr>
        <w:pStyle w:val="Nzev"/>
        <w:rPr>
          <w:b w:val="0"/>
          <w:bCs/>
          <w:sz w:val="22"/>
          <w:szCs w:val="20"/>
        </w:rPr>
      </w:pPr>
      <w:r w:rsidRPr="0031011B">
        <w:rPr>
          <w:b w:val="0"/>
          <w:bCs/>
          <w:sz w:val="22"/>
          <w:szCs w:val="20"/>
        </w:rPr>
        <w:t>uzavřená</w:t>
      </w:r>
    </w:p>
    <w:p w14:paraId="2ECDF004" w14:textId="1CF014BB" w:rsidR="002045CC" w:rsidRPr="0031011B" w:rsidRDefault="002045CC" w:rsidP="0031011B">
      <w:pPr>
        <w:pStyle w:val="Nzev"/>
        <w:rPr>
          <w:b w:val="0"/>
          <w:bCs/>
          <w:sz w:val="22"/>
          <w:szCs w:val="20"/>
        </w:rPr>
      </w:pPr>
      <w:r w:rsidRPr="0031011B">
        <w:rPr>
          <w:b w:val="0"/>
          <w:bCs/>
          <w:sz w:val="22"/>
          <w:szCs w:val="20"/>
        </w:rPr>
        <w:t>podle §</w:t>
      </w:r>
      <w:r w:rsidR="005F7D43">
        <w:rPr>
          <w:b w:val="0"/>
          <w:bCs/>
          <w:sz w:val="22"/>
          <w:szCs w:val="20"/>
        </w:rPr>
        <w:t> </w:t>
      </w:r>
      <w:r w:rsidRPr="0031011B">
        <w:rPr>
          <w:b w:val="0"/>
          <w:bCs/>
          <w:sz w:val="22"/>
          <w:szCs w:val="20"/>
        </w:rPr>
        <w:t>2586 zákona č.</w:t>
      </w:r>
      <w:r w:rsidR="005F7D43">
        <w:rPr>
          <w:b w:val="0"/>
          <w:bCs/>
          <w:sz w:val="22"/>
          <w:szCs w:val="20"/>
        </w:rPr>
        <w:t> </w:t>
      </w:r>
      <w:r w:rsidRPr="0031011B">
        <w:rPr>
          <w:b w:val="0"/>
          <w:bCs/>
          <w:sz w:val="22"/>
          <w:szCs w:val="20"/>
        </w:rPr>
        <w:t>89/2012 Sb., občanský zákoník, ve znění pozdějších předpisů</w:t>
      </w:r>
    </w:p>
    <w:p w14:paraId="2D7D932F" w14:textId="77777777" w:rsidR="002045CC" w:rsidRPr="0031011B" w:rsidRDefault="002045CC" w:rsidP="0031011B">
      <w:pPr>
        <w:pStyle w:val="Nzev"/>
        <w:rPr>
          <w:b w:val="0"/>
          <w:bCs/>
          <w:sz w:val="22"/>
          <w:szCs w:val="20"/>
        </w:rPr>
      </w:pPr>
      <w:r w:rsidRPr="0031011B">
        <w:rPr>
          <w:b w:val="0"/>
          <w:bCs/>
          <w:sz w:val="22"/>
          <w:szCs w:val="20"/>
        </w:rPr>
        <w:t>(dále jen „občanský zákoník“)</w:t>
      </w:r>
    </w:p>
    <w:p w14:paraId="637F8C7A" w14:textId="77777777" w:rsidR="00B83F26" w:rsidRPr="0031011B" w:rsidRDefault="00B83F26" w:rsidP="0031011B">
      <w:pPr>
        <w:pStyle w:val="Nzev"/>
        <w:rPr>
          <w:bCs/>
          <w:sz w:val="20"/>
          <w:szCs w:val="20"/>
        </w:rPr>
      </w:pPr>
    </w:p>
    <w:p w14:paraId="7A98E868" w14:textId="77777777" w:rsidR="00E24120" w:rsidRPr="0031011B" w:rsidRDefault="00E24120" w:rsidP="0031011B">
      <w:pPr>
        <w:pStyle w:val="Nzev"/>
        <w:rPr>
          <w:sz w:val="22"/>
          <w:szCs w:val="20"/>
        </w:rPr>
      </w:pPr>
      <w:r w:rsidRPr="0031011B">
        <w:rPr>
          <w:sz w:val="22"/>
          <w:szCs w:val="20"/>
        </w:rPr>
        <w:t>mezi smluvními stranami</w:t>
      </w:r>
    </w:p>
    <w:p w14:paraId="5718CC73" w14:textId="77777777" w:rsidR="00E24120" w:rsidRPr="00E24120" w:rsidRDefault="00E24120" w:rsidP="003E6132"/>
    <w:p w14:paraId="6D683C8E" w14:textId="77777777" w:rsidR="00E24120" w:rsidRPr="00E24120" w:rsidRDefault="00E24120" w:rsidP="00D8691B">
      <w:pPr>
        <w:tabs>
          <w:tab w:val="left" w:pos="4253"/>
        </w:tabs>
        <w:spacing w:line="280" w:lineRule="exact"/>
        <w:jc w:val="both"/>
        <w:rPr>
          <w:rFonts w:cs="Arial"/>
          <w:b/>
          <w:szCs w:val="24"/>
        </w:rPr>
      </w:pPr>
      <w:r w:rsidRPr="00E24120">
        <w:rPr>
          <w:rFonts w:cs="Arial"/>
          <w:b/>
          <w:szCs w:val="24"/>
        </w:rPr>
        <w:t>Objednatel:</w:t>
      </w:r>
    </w:p>
    <w:p w14:paraId="52E7F930" w14:textId="77777777" w:rsidR="00E24120" w:rsidRPr="00E24120" w:rsidRDefault="00E24120" w:rsidP="00D8691B">
      <w:pPr>
        <w:spacing w:line="280" w:lineRule="exact"/>
        <w:jc w:val="both"/>
        <w:rPr>
          <w:rFonts w:cs="Arial"/>
          <w:b/>
          <w:szCs w:val="24"/>
        </w:rPr>
      </w:pPr>
    </w:p>
    <w:p w14:paraId="7C639C92" w14:textId="77777777" w:rsidR="00C44071" w:rsidRPr="002852D3" w:rsidRDefault="00C44071" w:rsidP="00C44071">
      <w:pPr>
        <w:spacing w:after="0"/>
        <w:rPr>
          <w:rFonts w:cs="Arial"/>
          <w:b/>
        </w:rPr>
      </w:pPr>
      <w:r w:rsidRPr="002852D3">
        <w:rPr>
          <w:rFonts w:cs="Arial"/>
          <w:b/>
        </w:rPr>
        <w:t>Česká republika – Státní pozemkový úřad</w:t>
      </w:r>
    </w:p>
    <w:p w14:paraId="147A9A5B" w14:textId="77777777" w:rsidR="00C44071" w:rsidRPr="002852D3" w:rsidRDefault="00C44071" w:rsidP="00C44071">
      <w:pPr>
        <w:spacing w:after="0"/>
        <w:rPr>
          <w:rFonts w:cs="Arial"/>
          <w:b/>
        </w:rPr>
      </w:pPr>
      <w:r w:rsidRPr="002852D3">
        <w:rPr>
          <w:rFonts w:cs="Arial"/>
          <w:b/>
        </w:rPr>
        <w:t>Sídlo:</w:t>
      </w:r>
      <w:r w:rsidRPr="002852D3">
        <w:rPr>
          <w:rFonts w:cs="Arial"/>
          <w:bCs/>
        </w:rPr>
        <w:t xml:space="preserve"> </w:t>
      </w:r>
      <w:r w:rsidRPr="002852D3">
        <w:rPr>
          <w:rFonts w:cs="Arial"/>
        </w:rPr>
        <w:t>Husinecká 1024/</w:t>
      </w:r>
      <w:proofErr w:type="gramStart"/>
      <w:r w:rsidRPr="002852D3">
        <w:rPr>
          <w:rFonts w:cs="Arial"/>
        </w:rPr>
        <w:t>11a</w:t>
      </w:r>
      <w:proofErr w:type="gramEnd"/>
      <w:r w:rsidRPr="002852D3">
        <w:rPr>
          <w:rFonts w:cs="Arial"/>
        </w:rPr>
        <w:t>, 130 00 Praha 3</w:t>
      </w:r>
    </w:p>
    <w:p w14:paraId="3E805EB7" w14:textId="77777777" w:rsidR="00C44071" w:rsidRPr="002852D3" w:rsidRDefault="00C44071" w:rsidP="00C44071">
      <w:pPr>
        <w:overflowPunct w:val="0"/>
        <w:autoSpaceDE w:val="0"/>
        <w:autoSpaceDN w:val="0"/>
        <w:adjustRightInd w:val="0"/>
        <w:spacing w:after="0"/>
        <w:textAlignment w:val="baseline"/>
        <w:rPr>
          <w:rFonts w:cs="Arial"/>
          <w:b/>
          <w:snapToGrid w:val="0"/>
        </w:rPr>
      </w:pPr>
      <w:r w:rsidRPr="002852D3">
        <w:rPr>
          <w:rFonts w:cs="Arial"/>
          <w:b/>
        </w:rPr>
        <w:t xml:space="preserve">Krajský pozemkový úřad </w:t>
      </w:r>
      <w:r w:rsidRPr="002852D3">
        <w:rPr>
          <w:rFonts w:cs="Arial"/>
          <w:b/>
          <w:bCs/>
          <w:snapToGrid w:val="0"/>
        </w:rPr>
        <w:t>pro Karlovarský kraj</w:t>
      </w:r>
    </w:p>
    <w:p w14:paraId="5DBE5B29" w14:textId="77777777" w:rsidR="00C44071" w:rsidRPr="002852D3" w:rsidRDefault="00C44071" w:rsidP="00C44071">
      <w:pPr>
        <w:overflowPunct w:val="0"/>
        <w:autoSpaceDE w:val="0"/>
        <w:autoSpaceDN w:val="0"/>
        <w:adjustRightInd w:val="0"/>
        <w:spacing w:after="0"/>
        <w:textAlignment w:val="baseline"/>
        <w:rPr>
          <w:rFonts w:cs="Arial"/>
          <w:b/>
        </w:rPr>
      </w:pPr>
      <w:r w:rsidRPr="002852D3">
        <w:rPr>
          <w:rFonts w:cs="Arial"/>
          <w:b/>
        </w:rPr>
        <w:t xml:space="preserve">Adresa: </w:t>
      </w:r>
      <w:bookmarkStart w:id="0" w:name="_Hlk70686380"/>
      <w:r w:rsidRPr="002852D3">
        <w:rPr>
          <w:rFonts w:cs="Arial"/>
          <w:b/>
        </w:rPr>
        <w:t>Chebská 48/73, 360 06 Karlovy Vary</w:t>
      </w:r>
      <w:bookmarkEnd w:id="0"/>
    </w:p>
    <w:p w14:paraId="6ABC1513" w14:textId="77777777" w:rsidR="00C44071" w:rsidRPr="002852D3" w:rsidRDefault="00C44071" w:rsidP="00C44071">
      <w:pPr>
        <w:overflowPunct w:val="0"/>
        <w:autoSpaceDE w:val="0"/>
        <w:autoSpaceDN w:val="0"/>
        <w:adjustRightInd w:val="0"/>
        <w:spacing w:after="0"/>
        <w:textAlignment w:val="baseline"/>
        <w:rPr>
          <w:rFonts w:cs="Arial"/>
          <w:b/>
          <w:snapToGrid w:val="0"/>
        </w:rPr>
      </w:pPr>
      <w:r w:rsidRPr="002852D3">
        <w:rPr>
          <w:rFonts w:cs="Arial"/>
          <w:b/>
        </w:rPr>
        <w:t xml:space="preserve">Pobočka </w:t>
      </w:r>
      <w:r w:rsidRPr="002852D3">
        <w:rPr>
          <w:rFonts w:cs="Arial"/>
          <w:b/>
          <w:bCs/>
          <w:snapToGrid w:val="0"/>
        </w:rPr>
        <w:t>Karlovy Vary</w:t>
      </w:r>
    </w:p>
    <w:p w14:paraId="4C816A4B" w14:textId="77777777" w:rsidR="00C44071" w:rsidRPr="002852D3" w:rsidRDefault="00C44071" w:rsidP="00C44071">
      <w:pPr>
        <w:overflowPunct w:val="0"/>
        <w:autoSpaceDE w:val="0"/>
        <w:autoSpaceDN w:val="0"/>
        <w:adjustRightInd w:val="0"/>
        <w:spacing w:after="0"/>
        <w:textAlignment w:val="baseline"/>
        <w:rPr>
          <w:rFonts w:cs="Arial"/>
          <w:b/>
        </w:rPr>
      </w:pPr>
      <w:r w:rsidRPr="002852D3">
        <w:rPr>
          <w:rFonts w:cs="Arial"/>
          <w:b/>
        </w:rPr>
        <w:t>Adresa: Závodu míru 725/16, 360 17 Karlovy Vary</w:t>
      </w:r>
    </w:p>
    <w:p w14:paraId="1BD7AAC5" w14:textId="77777777" w:rsidR="00C44071" w:rsidRPr="002852D3" w:rsidRDefault="00C44071" w:rsidP="00C44071">
      <w:pPr>
        <w:overflowPunct w:val="0"/>
        <w:autoSpaceDE w:val="0"/>
        <w:autoSpaceDN w:val="0"/>
        <w:adjustRightInd w:val="0"/>
        <w:spacing w:after="0"/>
        <w:textAlignment w:val="baseline"/>
        <w:rPr>
          <w:rFonts w:cs="Arial"/>
          <w:b/>
        </w:rPr>
      </w:pPr>
    </w:p>
    <w:p w14:paraId="3BBF1425" w14:textId="77777777" w:rsidR="00C44071" w:rsidRPr="002852D3" w:rsidRDefault="00C44071" w:rsidP="00C44071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bookmarkStart w:id="1" w:name="_Hlk70686447"/>
      <w:r w:rsidRPr="002852D3">
        <w:rPr>
          <w:rFonts w:eastAsia="Lucida Sans Unicode" w:cs="Arial"/>
          <w:szCs w:val="22"/>
        </w:rPr>
        <w:t>zastoupený:</w:t>
      </w:r>
      <w:r w:rsidRPr="002852D3">
        <w:rPr>
          <w:rFonts w:eastAsia="Lucida Sans Unicode" w:cs="Arial"/>
          <w:szCs w:val="22"/>
        </w:rPr>
        <w:tab/>
      </w:r>
      <w:r w:rsidRPr="002852D3">
        <w:rPr>
          <w:rFonts w:cs="Arial"/>
          <w:szCs w:val="22"/>
        </w:rPr>
        <w:t xml:space="preserve">Ing. Šárkou Václavíkovou, ředitelkou Krajského </w:t>
      </w:r>
      <w:r w:rsidRPr="002852D3">
        <w:rPr>
          <w:rFonts w:cs="Arial"/>
          <w:szCs w:val="22"/>
        </w:rPr>
        <w:tab/>
        <w:t>pozemkového úřadu pro Karlovarský kraj</w:t>
      </w:r>
      <w:r w:rsidRPr="002852D3">
        <w:rPr>
          <w:rFonts w:eastAsia="Lucida Sans Unicode" w:cs="Arial"/>
          <w:szCs w:val="22"/>
        </w:rPr>
        <w:t xml:space="preserve"> </w:t>
      </w:r>
    </w:p>
    <w:p w14:paraId="2C749B58" w14:textId="77777777" w:rsidR="00C44071" w:rsidRPr="002852D3" w:rsidRDefault="00C44071" w:rsidP="00C44071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rPr>
          <w:rFonts w:eastAsia="Lucida Sans Unicode" w:cs="Arial"/>
          <w:szCs w:val="22"/>
        </w:rPr>
      </w:pPr>
      <w:r w:rsidRPr="002852D3">
        <w:rPr>
          <w:rFonts w:eastAsia="Lucida Sans Unicode" w:cs="Arial"/>
          <w:szCs w:val="22"/>
        </w:rPr>
        <w:t>ve smluvních záležitostech oprávněn jednat:</w:t>
      </w:r>
      <w:r w:rsidRPr="002852D3">
        <w:rPr>
          <w:rFonts w:eastAsia="Lucida Sans Unicode" w:cs="Arial"/>
          <w:szCs w:val="22"/>
        </w:rPr>
        <w:tab/>
      </w:r>
      <w:r w:rsidRPr="002852D3">
        <w:rPr>
          <w:rFonts w:cs="Arial"/>
          <w:szCs w:val="22"/>
        </w:rPr>
        <w:t>Ing. Šárka Václavíková, ředitelka Krajského pozemkového úřadu pro Karlovarský kraj</w:t>
      </w:r>
      <w:r w:rsidRPr="002852D3">
        <w:rPr>
          <w:rFonts w:eastAsia="Lucida Sans Unicode" w:cs="Arial"/>
          <w:szCs w:val="22"/>
        </w:rPr>
        <w:t xml:space="preserve"> </w:t>
      </w:r>
    </w:p>
    <w:p w14:paraId="107858E3" w14:textId="77777777" w:rsidR="00C44071" w:rsidRPr="002852D3" w:rsidRDefault="00C44071" w:rsidP="00C44071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napToGrid w:val="0"/>
          <w:szCs w:val="22"/>
        </w:rPr>
      </w:pPr>
      <w:r w:rsidRPr="002852D3">
        <w:rPr>
          <w:rFonts w:eastAsia="Lucida Sans Unicode" w:cs="Arial"/>
          <w:szCs w:val="22"/>
        </w:rPr>
        <w:t xml:space="preserve">v </w:t>
      </w:r>
      <w:r w:rsidRPr="002852D3">
        <w:rPr>
          <w:rFonts w:eastAsia="Lucida Sans Unicode" w:cs="Arial"/>
          <w:snapToGrid w:val="0"/>
          <w:szCs w:val="22"/>
        </w:rPr>
        <w:t>technických záležitostech oprávněn jednat:</w:t>
      </w:r>
      <w:r w:rsidRPr="002852D3">
        <w:rPr>
          <w:rFonts w:eastAsia="Lucida Sans Unicode" w:cs="Arial"/>
          <w:snapToGrid w:val="0"/>
          <w:szCs w:val="22"/>
        </w:rPr>
        <w:tab/>
      </w:r>
      <w:r w:rsidRPr="002852D3">
        <w:rPr>
          <w:rFonts w:cs="Arial"/>
          <w:szCs w:val="22"/>
        </w:rPr>
        <w:t>Ing. Jiří Loufek, vedoucí Pobočky Karlovy Vary</w:t>
      </w:r>
    </w:p>
    <w:p w14:paraId="73F6AEBD" w14:textId="77777777" w:rsidR="00C44071" w:rsidRPr="002852D3" w:rsidRDefault="00C44071" w:rsidP="00C44071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2852D3">
        <w:rPr>
          <w:rFonts w:eastAsia="Lucida Sans Unicode" w:cs="Arial"/>
          <w:szCs w:val="22"/>
        </w:rPr>
        <w:t>Tel.:</w:t>
      </w:r>
      <w:r w:rsidRPr="002852D3">
        <w:rPr>
          <w:rFonts w:eastAsia="Lucida Sans Unicode" w:cs="Arial"/>
          <w:szCs w:val="22"/>
        </w:rPr>
        <w:tab/>
        <w:t>+420602420536</w:t>
      </w:r>
      <w:r w:rsidRPr="002852D3">
        <w:rPr>
          <w:rFonts w:eastAsia="Lucida Sans Unicode" w:cs="Arial"/>
          <w:szCs w:val="22"/>
        </w:rPr>
        <w:tab/>
      </w:r>
      <w:r w:rsidRPr="002852D3">
        <w:rPr>
          <w:rFonts w:eastAsia="Lucida Sans Unicode" w:cs="Arial"/>
          <w:szCs w:val="22"/>
        </w:rPr>
        <w:tab/>
        <w:t xml:space="preserve"> </w:t>
      </w:r>
    </w:p>
    <w:p w14:paraId="599A844A" w14:textId="5C726BD5" w:rsidR="00C44071" w:rsidRPr="002852D3" w:rsidRDefault="00C44071" w:rsidP="00C44071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2852D3">
        <w:rPr>
          <w:rFonts w:eastAsia="Lucida Sans Unicode" w:cs="Arial"/>
          <w:szCs w:val="22"/>
        </w:rPr>
        <w:t>E-mail:</w:t>
      </w:r>
      <w:r w:rsidRPr="002852D3">
        <w:rPr>
          <w:rFonts w:eastAsia="Lucida Sans Unicode" w:cs="Arial"/>
          <w:szCs w:val="22"/>
        </w:rPr>
        <w:tab/>
        <w:t>j</w:t>
      </w:r>
      <w:r w:rsidR="002402C2">
        <w:rPr>
          <w:rFonts w:eastAsia="Lucida Sans Unicode" w:cs="Arial"/>
          <w:szCs w:val="22"/>
        </w:rPr>
        <w:t>iri</w:t>
      </w:r>
      <w:r w:rsidRPr="002852D3">
        <w:rPr>
          <w:rFonts w:eastAsia="Lucida Sans Unicode" w:cs="Arial"/>
          <w:szCs w:val="22"/>
        </w:rPr>
        <w:t>.loufek@spu</w:t>
      </w:r>
      <w:r w:rsidR="002402C2">
        <w:rPr>
          <w:rFonts w:eastAsia="Lucida Sans Unicode" w:cs="Arial"/>
          <w:szCs w:val="22"/>
        </w:rPr>
        <w:t>.gov</w:t>
      </w:r>
      <w:r w:rsidRPr="002852D3">
        <w:rPr>
          <w:rFonts w:eastAsia="Lucida Sans Unicode" w:cs="Arial"/>
          <w:szCs w:val="22"/>
        </w:rPr>
        <w:t>.cz</w:t>
      </w:r>
    </w:p>
    <w:p w14:paraId="17D20000" w14:textId="77777777" w:rsidR="00C44071" w:rsidRPr="002852D3" w:rsidRDefault="00C44071" w:rsidP="00C44071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2852D3">
        <w:rPr>
          <w:rFonts w:eastAsia="Lucida Sans Unicode" w:cs="Arial"/>
          <w:szCs w:val="22"/>
        </w:rPr>
        <w:t>ID DS:</w:t>
      </w:r>
      <w:r w:rsidRPr="002852D3">
        <w:rPr>
          <w:rFonts w:eastAsia="Lucida Sans Unicode" w:cs="Arial"/>
          <w:szCs w:val="22"/>
        </w:rPr>
        <w:tab/>
        <w:t>z49per3</w:t>
      </w:r>
    </w:p>
    <w:p w14:paraId="6E56AFCD" w14:textId="77777777" w:rsidR="00C44071" w:rsidRPr="002852D3" w:rsidRDefault="00C44071" w:rsidP="00C44071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2852D3">
        <w:rPr>
          <w:rFonts w:eastAsia="Lucida Sans Unicode" w:cs="Arial"/>
          <w:szCs w:val="22"/>
        </w:rPr>
        <w:t>Bankovní spojení:</w:t>
      </w:r>
      <w:r w:rsidRPr="002852D3">
        <w:rPr>
          <w:rFonts w:eastAsia="Lucida Sans Unicode" w:cs="Arial"/>
          <w:szCs w:val="22"/>
        </w:rPr>
        <w:tab/>
        <w:t xml:space="preserve">ČNB </w:t>
      </w:r>
      <w:r w:rsidRPr="002852D3">
        <w:rPr>
          <w:rFonts w:eastAsia="Lucida Sans Unicode" w:cs="Arial"/>
          <w:szCs w:val="22"/>
        </w:rPr>
        <w:tab/>
      </w:r>
    </w:p>
    <w:p w14:paraId="0EA34755" w14:textId="77777777" w:rsidR="00C44071" w:rsidRPr="002852D3" w:rsidRDefault="00C44071" w:rsidP="00C44071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  <w:r w:rsidRPr="002852D3">
        <w:rPr>
          <w:rFonts w:eastAsia="Lucida Sans Unicode" w:cs="Arial"/>
          <w:bCs/>
          <w:szCs w:val="22"/>
        </w:rPr>
        <w:t>Číslo účtu:</w:t>
      </w:r>
      <w:r w:rsidRPr="002852D3">
        <w:rPr>
          <w:rFonts w:eastAsia="Lucida Sans Unicode" w:cs="Arial"/>
          <w:bCs/>
          <w:szCs w:val="22"/>
        </w:rPr>
        <w:tab/>
        <w:t>3723001/0710</w:t>
      </w:r>
    </w:p>
    <w:p w14:paraId="28F44519" w14:textId="77777777" w:rsidR="00C44071" w:rsidRPr="002852D3" w:rsidRDefault="00C44071" w:rsidP="00C44071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  <w:r w:rsidRPr="002852D3">
        <w:rPr>
          <w:rFonts w:eastAsia="Lucida Sans Unicode" w:cs="Arial"/>
          <w:bCs/>
          <w:szCs w:val="22"/>
        </w:rPr>
        <w:t>IČO:</w:t>
      </w:r>
      <w:r w:rsidRPr="002852D3">
        <w:rPr>
          <w:rFonts w:eastAsia="Lucida Sans Unicode" w:cs="Arial"/>
          <w:bCs/>
          <w:szCs w:val="22"/>
        </w:rPr>
        <w:tab/>
        <w:t xml:space="preserve">01312774                                                                 </w:t>
      </w:r>
    </w:p>
    <w:p w14:paraId="3E0B92EB" w14:textId="77777777" w:rsidR="00C44071" w:rsidRPr="00F50E68" w:rsidRDefault="00C44071" w:rsidP="00C44071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  <w:r w:rsidRPr="002852D3">
        <w:rPr>
          <w:rFonts w:eastAsia="Lucida Sans Unicode" w:cs="Arial"/>
          <w:bCs/>
          <w:szCs w:val="22"/>
        </w:rPr>
        <w:t>DIČ:</w:t>
      </w:r>
      <w:r w:rsidRPr="002852D3">
        <w:rPr>
          <w:rFonts w:eastAsia="Lucida Sans Unicode" w:cs="Arial"/>
          <w:bCs/>
          <w:szCs w:val="22"/>
        </w:rPr>
        <w:tab/>
      </w:r>
      <w:r>
        <w:rPr>
          <w:rFonts w:eastAsia="Lucida Sans Unicode" w:cs="Arial"/>
          <w:bCs/>
          <w:szCs w:val="22"/>
        </w:rPr>
        <w:t xml:space="preserve">CZ01312774 </w:t>
      </w:r>
      <w:r w:rsidRPr="002852D3">
        <w:rPr>
          <w:rFonts w:eastAsia="Lucida Sans Unicode" w:cs="Arial"/>
          <w:bCs/>
          <w:szCs w:val="22"/>
        </w:rPr>
        <w:t>není plátcem DPH</w:t>
      </w:r>
      <w:r w:rsidRPr="00F50E68">
        <w:rPr>
          <w:rFonts w:eastAsia="Lucida Sans Unicode" w:cs="Arial"/>
          <w:bCs/>
          <w:szCs w:val="22"/>
        </w:rPr>
        <w:t xml:space="preserve"> </w:t>
      </w:r>
    </w:p>
    <w:bookmarkEnd w:id="1"/>
    <w:p w14:paraId="0601CC11" w14:textId="77777777" w:rsidR="00E24120" w:rsidRPr="00E24120" w:rsidRDefault="00E24120" w:rsidP="00D8691B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cs="Arial"/>
          <w:szCs w:val="24"/>
        </w:rPr>
      </w:pPr>
      <w:r w:rsidRPr="00E24120">
        <w:rPr>
          <w:rFonts w:cs="Arial"/>
          <w:szCs w:val="24"/>
        </w:rPr>
        <w:t>(dále jen „</w:t>
      </w:r>
      <w:r w:rsidRPr="00E24120">
        <w:rPr>
          <w:rFonts w:cs="Arial"/>
          <w:b/>
          <w:szCs w:val="24"/>
        </w:rPr>
        <w:t>objednatel</w:t>
      </w:r>
      <w:r w:rsidRPr="00E24120">
        <w:rPr>
          <w:rFonts w:cs="Arial"/>
          <w:szCs w:val="24"/>
        </w:rPr>
        <w:t>“)</w:t>
      </w:r>
    </w:p>
    <w:p w14:paraId="0DFE4BD8" w14:textId="77777777" w:rsidR="00E24120" w:rsidRPr="00E24120" w:rsidRDefault="00E24120" w:rsidP="00D8691B">
      <w:pPr>
        <w:tabs>
          <w:tab w:val="left" w:pos="4253"/>
        </w:tabs>
        <w:spacing w:line="280" w:lineRule="exact"/>
        <w:jc w:val="both"/>
        <w:rPr>
          <w:rFonts w:cs="Arial"/>
          <w:bCs/>
          <w:szCs w:val="24"/>
        </w:rPr>
      </w:pPr>
    </w:p>
    <w:p w14:paraId="6FB062A0" w14:textId="77777777" w:rsidR="00E24120" w:rsidRPr="00E24120" w:rsidRDefault="00E24120" w:rsidP="00D8691B">
      <w:pPr>
        <w:spacing w:line="280" w:lineRule="exact"/>
        <w:rPr>
          <w:rFonts w:cs="Arial"/>
          <w:b/>
          <w:szCs w:val="24"/>
        </w:rPr>
      </w:pPr>
      <w:r w:rsidRPr="00E24120">
        <w:rPr>
          <w:rFonts w:cs="Arial"/>
          <w:b/>
          <w:szCs w:val="24"/>
        </w:rPr>
        <w:t>a</w:t>
      </w:r>
    </w:p>
    <w:p w14:paraId="5CC48710" w14:textId="77777777" w:rsidR="00E24120" w:rsidRPr="00E24120" w:rsidRDefault="00E24120" w:rsidP="00D8691B">
      <w:pPr>
        <w:tabs>
          <w:tab w:val="left" w:pos="4253"/>
        </w:tabs>
        <w:spacing w:line="280" w:lineRule="exact"/>
        <w:jc w:val="both"/>
        <w:rPr>
          <w:rFonts w:cs="Arial"/>
          <w:b/>
          <w:szCs w:val="24"/>
        </w:rPr>
      </w:pPr>
      <w:r w:rsidRPr="00E24120">
        <w:rPr>
          <w:rFonts w:cs="Arial"/>
          <w:b/>
          <w:szCs w:val="24"/>
        </w:rPr>
        <w:t>Zhotovitel:</w:t>
      </w:r>
    </w:p>
    <w:p w14:paraId="7A7E633A" w14:textId="77777777" w:rsidR="00E24120" w:rsidRPr="00E24120" w:rsidRDefault="00E24120" w:rsidP="00D8691B">
      <w:pPr>
        <w:tabs>
          <w:tab w:val="left" w:pos="4253"/>
        </w:tabs>
        <w:spacing w:line="280" w:lineRule="exact"/>
        <w:jc w:val="both"/>
        <w:rPr>
          <w:rFonts w:cs="Arial"/>
          <w:b/>
          <w:szCs w:val="24"/>
        </w:rPr>
      </w:pPr>
      <w:r w:rsidRPr="00E24120">
        <w:rPr>
          <w:rFonts w:cs="Arial"/>
          <w:b/>
          <w:szCs w:val="24"/>
        </w:rPr>
        <w:t xml:space="preserve">Jméno: </w:t>
      </w:r>
      <w:r w:rsidRPr="00E24120">
        <w:rPr>
          <w:rFonts w:cs="Arial"/>
          <w:b/>
          <w:bCs/>
          <w:snapToGrid w:val="0"/>
          <w:szCs w:val="24"/>
          <w:highlight w:val="yellow"/>
        </w:rPr>
        <w:t>[DOPLNIT]</w:t>
      </w:r>
    </w:p>
    <w:p w14:paraId="5DB18FEB" w14:textId="77777777" w:rsidR="00E24120" w:rsidRPr="00E24120" w:rsidRDefault="00E24120" w:rsidP="00D8691B">
      <w:pPr>
        <w:tabs>
          <w:tab w:val="left" w:pos="4253"/>
        </w:tabs>
        <w:spacing w:line="280" w:lineRule="exact"/>
        <w:jc w:val="both"/>
        <w:rPr>
          <w:rFonts w:cs="Arial"/>
          <w:b/>
          <w:szCs w:val="24"/>
        </w:rPr>
      </w:pPr>
      <w:r w:rsidRPr="00E24120">
        <w:rPr>
          <w:rFonts w:cs="Arial"/>
          <w:b/>
          <w:szCs w:val="24"/>
        </w:rPr>
        <w:t>Sídlo:</w:t>
      </w:r>
      <w:r w:rsidRPr="00E24120">
        <w:rPr>
          <w:rFonts w:cs="Arial"/>
          <w:bCs/>
          <w:szCs w:val="24"/>
        </w:rPr>
        <w:t xml:space="preserve"> </w:t>
      </w:r>
      <w:r w:rsidRPr="00E24120">
        <w:rPr>
          <w:rFonts w:cs="Arial"/>
          <w:b/>
          <w:bCs/>
          <w:snapToGrid w:val="0"/>
          <w:szCs w:val="24"/>
          <w:highlight w:val="yellow"/>
        </w:rPr>
        <w:t>[DOPLNIT]</w:t>
      </w:r>
    </w:p>
    <w:p w14:paraId="7FEB2147" w14:textId="77777777" w:rsidR="00E24120" w:rsidRPr="00E24120" w:rsidRDefault="00E24120" w:rsidP="00D8691B">
      <w:pPr>
        <w:tabs>
          <w:tab w:val="left" w:pos="4253"/>
        </w:tabs>
        <w:spacing w:line="280" w:lineRule="exact"/>
        <w:jc w:val="both"/>
        <w:rPr>
          <w:rFonts w:cs="Arial"/>
          <w:i/>
          <w:szCs w:val="24"/>
        </w:rPr>
      </w:pPr>
      <w:r w:rsidRPr="00E24120">
        <w:rPr>
          <w:rFonts w:cs="Arial"/>
          <w:szCs w:val="24"/>
        </w:rPr>
        <w:t xml:space="preserve">zastoupený: </w:t>
      </w:r>
      <w:r w:rsidRPr="00E24120">
        <w:rPr>
          <w:rFonts w:cs="Arial"/>
          <w:b/>
          <w:bCs/>
          <w:snapToGrid w:val="0"/>
          <w:szCs w:val="24"/>
          <w:highlight w:val="yellow"/>
        </w:rPr>
        <w:t>[DOPLNIT]</w:t>
      </w:r>
      <w:r w:rsidRPr="00E24120">
        <w:rPr>
          <w:rFonts w:cs="Arial"/>
          <w:bCs/>
          <w:snapToGrid w:val="0"/>
          <w:szCs w:val="24"/>
          <w:highlight w:val="yellow"/>
        </w:rPr>
        <w:t xml:space="preserve"> </w:t>
      </w:r>
      <w:r w:rsidRPr="00E24120">
        <w:rPr>
          <w:rFonts w:cs="Arial"/>
          <w:i/>
          <w:szCs w:val="24"/>
          <w:highlight w:val="yellow"/>
        </w:rPr>
        <w:t>statutární orgán (dle výpisu z obch. rejstříku)</w:t>
      </w:r>
    </w:p>
    <w:p w14:paraId="7A68AB1B" w14:textId="77777777" w:rsidR="00E24120" w:rsidRPr="00E24120" w:rsidRDefault="00E24120" w:rsidP="00D8691B">
      <w:pPr>
        <w:tabs>
          <w:tab w:val="left" w:pos="284"/>
          <w:tab w:val="left" w:pos="4678"/>
        </w:tabs>
        <w:spacing w:line="280" w:lineRule="exact"/>
        <w:jc w:val="both"/>
        <w:rPr>
          <w:rFonts w:cs="Arial"/>
          <w:szCs w:val="24"/>
        </w:rPr>
      </w:pPr>
      <w:r w:rsidRPr="00E24120">
        <w:rPr>
          <w:rFonts w:cs="Arial"/>
          <w:szCs w:val="24"/>
        </w:rPr>
        <w:tab/>
        <w:t>Tel.:</w:t>
      </w:r>
      <w:r w:rsidRPr="00E24120">
        <w:rPr>
          <w:rFonts w:cs="Arial"/>
          <w:szCs w:val="24"/>
        </w:rPr>
        <w:tab/>
      </w:r>
      <w:r w:rsidRPr="00E24120">
        <w:rPr>
          <w:rFonts w:cs="Arial"/>
          <w:b/>
          <w:bCs/>
          <w:snapToGrid w:val="0"/>
          <w:szCs w:val="24"/>
          <w:highlight w:val="yellow"/>
        </w:rPr>
        <w:t>[DOPLNIT]</w:t>
      </w:r>
    </w:p>
    <w:p w14:paraId="1C793700" w14:textId="77777777" w:rsidR="00E24120" w:rsidRPr="00E24120" w:rsidRDefault="00E24120" w:rsidP="00D8691B">
      <w:pPr>
        <w:tabs>
          <w:tab w:val="left" w:pos="284"/>
          <w:tab w:val="left" w:pos="4678"/>
        </w:tabs>
        <w:spacing w:line="280" w:lineRule="exact"/>
        <w:ind w:right="-110"/>
        <w:jc w:val="both"/>
        <w:rPr>
          <w:rFonts w:cs="Arial"/>
          <w:bCs/>
          <w:snapToGrid w:val="0"/>
          <w:szCs w:val="24"/>
        </w:rPr>
      </w:pPr>
      <w:r w:rsidRPr="00E24120">
        <w:rPr>
          <w:rFonts w:cs="Arial"/>
          <w:szCs w:val="24"/>
        </w:rPr>
        <w:tab/>
        <w:t>E-mail:</w:t>
      </w:r>
      <w:r w:rsidRPr="00E24120">
        <w:rPr>
          <w:rFonts w:cs="Arial"/>
          <w:szCs w:val="24"/>
        </w:rPr>
        <w:tab/>
      </w:r>
      <w:r w:rsidRPr="00E24120">
        <w:rPr>
          <w:rFonts w:cs="Arial"/>
          <w:b/>
          <w:bCs/>
          <w:snapToGrid w:val="0"/>
          <w:szCs w:val="24"/>
          <w:highlight w:val="yellow"/>
        </w:rPr>
        <w:t>[DOPLNIT]</w:t>
      </w:r>
    </w:p>
    <w:p w14:paraId="713FCF24" w14:textId="77777777" w:rsidR="00E24120" w:rsidRPr="00E24120" w:rsidRDefault="00E24120" w:rsidP="00D8691B">
      <w:pPr>
        <w:tabs>
          <w:tab w:val="left" w:pos="284"/>
          <w:tab w:val="left" w:pos="4678"/>
        </w:tabs>
        <w:spacing w:line="280" w:lineRule="exact"/>
        <w:ind w:right="-110"/>
        <w:jc w:val="both"/>
        <w:rPr>
          <w:rFonts w:cs="Arial"/>
          <w:b/>
          <w:bCs/>
          <w:snapToGrid w:val="0"/>
          <w:szCs w:val="24"/>
        </w:rPr>
      </w:pPr>
      <w:r w:rsidRPr="00E24120">
        <w:rPr>
          <w:rFonts w:cs="Arial"/>
          <w:snapToGrid w:val="0"/>
          <w:szCs w:val="24"/>
        </w:rPr>
        <w:tab/>
        <w:t>ID DS:</w:t>
      </w:r>
      <w:r w:rsidRPr="00E24120">
        <w:rPr>
          <w:rFonts w:cs="Arial"/>
          <w:bCs/>
          <w:snapToGrid w:val="0"/>
          <w:szCs w:val="24"/>
        </w:rPr>
        <w:tab/>
      </w:r>
      <w:r w:rsidRPr="00E24120">
        <w:rPr>
          <w:rFonts w:cs="Arial"/>
          <w:b/>
          <w:bCs/>
          <w:snapToGrid w:val="0"/>
          <w:szCs w:val="24"/>
          <w:highlight w:val="yellow"/>
        </w:rPr>
        <w:t>[DOPLNIT]</w:t>
      </w:r>
    </w:p>
    <w:p w14:paraId="37FA979B" w14:textId="77777777" w:rsidR="00E24120" w:rsidRPr="00E24120" w:rsidRDefault="00E24120" w:rsidP="00D8691B">
      <w:pPr>
        <w:tabs>
          <w:tab w:val="left" w:pos="284"/>
          <w:tab w:val="left" w:pos="4678"/>
        </w:tabs>
        <w:spacing w:line="280" w:lineRule="exact"/>
        <w:ind w:right="-284"/>
        <w:rPr>
          <w:rFonts w:cs="Arial"/>
          <w:szCs w:val="24"/>
        </w:rPr>
      </w:pPr>
      <w:r w:rsidRPr="00E24120">
        <w:rPr>
          <w:rFonts w:cs="Arial"/>
          <w:szCs w:val="24"/>
        </w:rPr>
        <w:t>v technických záležitostech je oprávněn jednat:</w:t>
      </w:r>
      <w:r w:rsidRPr="00E24120">
        <w:rPr>
          <w:rFonts w:cs="Arial"/>
          <w:szCs w:val="24"/>
        </w:rPr>
        <w:tab/>
      </w:r>
      <w:r w:rsidRPr="00E24120">
        <w:rPr>
          <w:rFonts w:cs="Arial"/>
          <w:b/>
          <w:bCs/>
          <w:snapToGrid w:val="0"/>
          <w:szCs w:val="24"/>
          <w:highlight w:val="yellow"/>
        </w:rPr>
        <w:t>[DOPLNIT]</w:t>
      </w:r>
    </w:p>
    <w:p w14:paraId="2396F525" w14:textId="77777777" w:rsidR="00E24120" w:rsidRPr="00E24120" w:rsidRDefault="00E24120" w:rsidP="00D8691B">
      <w:pPr>
        <w:tabs>
          <w:tab w:val="left" w:pos="284"/>
          <w:tab w:val="left" w:pos="4678"/>
        </w:tabs>
        <w:spacing w:line="280" w:lineRule="exact"/>
        <w:jc w:val="both"/>
        <w:rPr>
          <w:rFonts w:cs="Arial"/>
          <w:szCs w:val="24"/>
        </w:rPr>
      </w:pPr>
      <w:r w:rsidRPr="00E24120">
        <w:rPr>
          <w:rFonts w:cs="Arial"/>
          <w:szCs w:val="24"/>
        </w:rPr>
        <w:tab/>
        <w:t>Tel.:</w:t>
      </w:r>
      <w:r w:rsidRPr="00E24120">
        <w:rPr>
          <w:rFonts w:cs="Arial"/>
          <w:szCs w:val="24"/>
        </w:rPr>
        <w:tab/>
      </w:r>
      <w:r w:rsidRPr="00E24120">
        <w:rPr>
          <w:rFonts w:cs="Arial"/>
          <w:b/>
          <w:bCs/>
          <w:snapToGrid w:val="0"/>
          <w:szCs w:val="24"/>
          <w:highlight w:val="yellow"/>
        </w:rPr>
        <w:t>[DOPLNIT]</w:t>
      </w:r>
    </w:p>
    <w:p w14:paraId="71474C21" w14:textId="77777777" w:rsidR="00E24120" w:rsidRPr="00E24120" w:rsidRDefault="00E24120" w:rsidP="00D8691B">
      <w:pPr>
        <w:tabs>
          <w:tab w:val="left" w:pos="284"/>
          <w:tab w:val="left" w:pos="4678"/>
        </w:tabs>
        <w:spacing w:line="280" w:lineRule="exact"/>
        <w:ind w:right="-110"/>
        <w:jc w:val="both"/>
        <w:rPr>
          <w:rFonts w:cs="Arial"/>
          <w:b/>
          <w:bCs/>
          <w:snapToGrid w:val="0"/>
          <w:szCs w:val="24"/>
        </w:rPr>
      </w:pPr>
      <w:r w:rsidRPr="00E24120">
        <w:rPr>
          <w:rFonts w:cs="Arial"/>
          <w:szCs w:val="24"/>
        </w:rPr>
        <w:tab/>
        <w:t>E-mail:</w:t>
      </w:r>
      <w:r w:rsidRPr="00E24120">
        <w:rPr>
          <w:rFonts w:cs="Arial"/>
          <w:szCs w:val="24"/>
        </w:rPr>
        <w:tab/>
      </w:r>
      <w:r w:rsidRPr="00E24120">
        <w:rPr>
          <w:rFonts w:cs="Arial"/>
          <w:b/>
          <w:bCs/>
          <w:snapToGrid w:val="0"/>
          <w:szCs w:val="24"/>
          <w:highlight w:val="yellow"/>
        </w:rPr>
        <w:t>[DOPLNIT]</w:t>
      </w:r>
    </w:p>
    <w:p w14:paraId="574076F6" w14:textId="77777777" w:rsidR="00E24120" w:rsidRPr="00E24120" w:rsidRDefault="00E24120" w:rsidP="00D8691B">
      <w:pPr>
        <w:tabs>
          <w:tab w:val="left" w:pos="284"/>
          <w:tab w:val="left" w:pos="4678"/>
        </w:tabs>
        <w:spacing w:line="280" w:lineRule="exact"/>
        <w:ind w:right="-284"/>
        <w:rPr>
          <w:rFonts w:cs="Arial"/>
          <w:szCs w:val="24"/>
        </w:rPr>
      </w:pPr>
      <w:r w:rsidRPr="00E24120">
        <w:rPr>
          <w:rFonts w:cs="Arial"/>
          <w:szCs w:val="24"/>
        </w:rPr>
        <w:tab/>
        <w:t>Bankovní spojení:</w:t>
      </w:r>
      <w:r w:rsidRPr="00E24120">
        <w:rPr>
          <w:rFonts w:cs="Arial"/>
          <w:szCs w:val="24"/>
        </w:rPr>
        <w:tab/>
      </w:r>
      <w:r w:rsidRPr="00E24120">
        <w:rPr>
          <w:rFonts w:cs="Arial"/>
          <w:b/>
          <w:bCs/>
          <w:snapToGrid w:val="0"/>
          <w:szCs w:val="24"/>
          <w:highlight w:val="yellow"/>
        </w:rPr>
        <w:t>[DOPLNIT]</w:t>
      </w:r>
    </w:p>
    <w:p w14:paraId="5F20A7A3" w14:textId="77777777" w:rsidR="00E24120" w:rsidRPr="00E24120" w:rsidRDefault="00E24120" w:rsidP="00D8691B">
      <w:pPr>
        <w:tabs>
          <w:tab w:val="left" w:pos="284"/>
          <w:tab w:val="left" w:pos="4678"/>
        </w:tabs>
        <w:spacing w:line="280" w:lineRule="exact"/>
        <w:jc w:val="both"/>
        <w:rPr>
          <w:rFonts w:cs="Arial"/>
          <w:szCs w:val="24"/>
        </w:rPr>
      </w:pPr>
      <w:r w:rsidRPr="00E24120">
        <w:rPr>
          <w:rFonts w:cs="Arial"/>
          <w:szCs w:val="24"/>
        </w:rPr>
        <w:tab/>
        <w:t>Číslo účtu:</w:t>
      </w:r>
      <w:r w:rsidRPr="00E24120">
        <w:rPr>
          <w:rFonts w:cs="Arial"/>
          <w:szCs w:val="24"/>
        </w:rPr>
        <w:tab/>
      </w:r>
      <w:r w:rsidRPr="00E24120">
        <w:rPr>
          <w:rFonts w:cs="Arial"/>
          <w:b/>
          <w:bCs/>
          <w:snapToGrid w:val="0"/>
          <w:szCs w:val="24"/>
          <w:highlight w:val="yellow"/>
        </w:rPr>
        <w:t>[DOPLNIT]</w:t>
      </w:r>
    </w:p>
    <w:p w14:paraId="02CC041E" w14:textId="77777777" w:rsidR="00E24120" w:rsidRPr="00E24120" w:rsidRDefault="00E24120" w:rsidP="00D8691B">
      <w:pPr>
        <w:tabs>
          <w:tab w:val="left" w:pos="284"/>
          <w:tab w:val="left" w:pos="4678"/>
        </w:tabs>
        <w:spacing w:line="280" w:lineRule="exact"/>
        <w:jc w:val="both"/>
        <w:rPr>
          <w:rFonts w:cs="Arial"/>
          <w:szCs w:val="24"/>
        </w:rPr>
      </w:pPr>
      <w:r w:rsidRPr="00E24120">
        <w:rPr>
          <w:rFonts w:cs="Arial"/>
          <w:szCs w:val="24"/>
        </w:rPr>
        <w:tab/>
        <w:t>IČO:</w:t>
      </w:r>
      <w:r w:rsidRPr="00E24120">
        <w:rPr>
          <w:rFonts w:cs="Arial"/>
          <w:szCs w:val="24"/>
        </w:rPr>
        <w:tab/>
      </w:r>
      <w:r w:rsidRPr="00E24120">
        <w:rPr>
          <w:rFonts w:cs="Arial"/>
          <w:b/>
          <w:bCs/>
          <w:snapToGrid w:val="0"/>
          <w:szCs w:val="24"/>
          <w:highlight w:val="yellow"/>
        </w:rPr>
        <w:t>[DOPLNIT]</w:t>
      </w:r>
    </w:p>
    <w:p w14:paraId="67C69597" w14:textId="77777777" w:rsidR="00E24120" w:rsidRPr="00E24120" w:rsidRDefault="00E24120" w:rsidP="00D8691B">
      <w:pPr>
        <w:tabs>
          <w:tab w:val="left" w:pos="284"/>
          <w:tab w:val="left" w:pos="4678"/>
        </w:tabs>
        <w:spacing w:line="280" w:lineRule="exact"/>
        <w:jc w:val="both"/>
        <w:rPr>
          <w:rFonts w:cs="Arial"/>
          <w:szCs w:val="24"/>
        </w:rPr>
      </w:pPr>
      <w:r w:rsidRPr="00E24120">
        <w:rPr>
          <w:rFonts w:cs="Arial"/>
          <w:szCs w:val="24"/>
        </w:rPr>
        <w:tab/>
        <w:t>DIČ:</w:t>
      </w:r>
      <w:r w:rsidRPr="00E24120">
        <w:rPr>
          <w:rFonts w:cs="Arial"/>
          <w:szCs w:val="24"/>
        </w:rPr>
        <w:tab/>
      </w:r>
      <w:r w:rsidRPr="00E24120">
        <w:rPr>
          <w:rFonts w:cs="Arial"/>
          <w:b/>
          <w:bCs/>
          <w:snapToGrid w:val="0"/>
          <w:szCs w:val="24"/>
          <w:highlight w:val="yellow"/>
        </w:rPr>
        <w:t>[DOPLNIT] je/není plátcem DPH</w:t>
      </w:r>
    </w:p>
    <w:p w14:paraId="48659F85" w14:textId="77777777" w:rsidR="00E24120" w:rsidRPr="00E24120" w:rsidRDefault="00E24120" w:rsidP="00D8691B">
      <w:pPr>
        <w:spacing w:line="280" w:lineRule="exact"/>
        <w:jc w:val="both"/>
        <w:rPr>
          <w:rFonts w:cs="Arial"/>
          <w:szCs w:val="24"/>
        </w:rPr>
      </w:pPr>
      <w:r w:rsidRPr="00E24120">
        <w:rPr>
          <w:rFonts w:cs="Arial"/>
          <w:szCs w:val="24"/>
        </w:rPr>
        <w:t xml:space="preserve">Společnost je zapsaná v obchodním rejstříku vedeném u </w:t>
      </w:r>
      <w:r w:rsidRPr="00E24120">
        <w:rPr>
          <w:rFonts w:cs="Arial"/>
          <w:b/>
          <w:bCs/>
          <w:snapToGrid w:val="0"/>
          <w:szCs w:val="24"/>
          <w:highlight w:val="yellow"/>
        </w:rPr>
        <w:t>[DOPLNIT]</w:t>
      </w:r>
      <w:r w:rsidRPr="00E24120">
        <w:rPr>
          <w:rFonts w:cs="Arial"/>
          <w:szCs w:val="24"/>
        </w:rPr>
        <w:t xml:space="preserve">, oddíl </w:t>
      </w:r>
      <w:r w:rsidRPr="00E24120">
        <w:rPr>
          <w:rFonts w:cs="Arial"/>
          <w:b/>
          <w:bCs/>
          <w:snapToGrid w:val="0"/>
          <w:szCs w:val="24"/>
          <w:highlight w:val="yellow"/>
        </w:rPr>
        <w:t>[DOPLNIT]</w:t>
      </w:r>
      <w:r w:rsidRPr="00E24120">
        <w:rPr>
          <w:rFonts w:cs="Arial"/>
          <w:szCs w:val="24"/>
        </w:rPr>
        <w:t xml:space="preserve">, vložka </w:t>
      </w:r>
      <w:r w:rsidRPr="00E24120">
        <w:rPr>
          <w:rFonts w:cs="Arial"/>
          <w:b/>
          <w:bCs/>
          <w:snapToGrid w:val="0"/>
          <w:szCs w:val="24"/>
          <w:highlight w:val="yellow"/>
        </w:rPr>
        <w:t>[DOPLNIT]</w:t>
      </w:r>
      <w:r w:rsidRPr="00E24120">
        <w:rPr>
          <w:rFonts w:cs="Arial"/>
          <w:snapToGrid w:val="0"/>
          <w:szCs w:val="24"/>
        </w:rPr>
        <w:t>.</w:t>
      </w:r>
    </w:p>
    <w:p w14:paraId="7DA57DBD" w14:textId="77777777" w:rsidR="00E24120" w:rsidRPr="00E24120" w:rsidRDefault="00E24120" w:rsidP="00D8691B">
      <w:pPr>
        <w:tabs>
          <w:tab w:val="left" w:pos="2127"/>
          <w:tab w:val="left" w:pos="4800"/>
        </w:tabs>
        <w:spacing w:line="280" w:lineRule="exact"/>
        <w:jc w:val="both"/>
        <w:rPr>
          <w:rFonts w:cs="Arial"/>
          <w:snapToGrid w:val="0"/>
          <w:szCs w:val="22"/>
        </w:rPr>
      </w:pPr>
      <w:r w:rsidRPr="00E24120">
        <w:rPr>
          <w:rFonts w:cs="Arial"/>
          <w:szCs w:val="24"/>
        </w:rPr>
        <w:lastRenderedPageBreak/>
        <w:t>(dále jen „</w:t>
      </w:r>
      <w:r w:rsidRPr="00E24120">
        <w:rPr>
          <w:rFonts w:cs="Arial"/>
          <w:b/>
          <w:szCs w:val="24"/>
        </w:rPr>
        <w:t>zhotovitel</w:t>
      </w:r>
      <w:r w:rsidRPr="00E24120">
        <w:rPr>
          <w:rFonts w:cs="Arial"/>
          <w:szCs w:val="24"/>
        </w:rPr>
        <w:t>“)</w:t>
      </w:r>
    </w:p>
    <w:p w14:paraId="4321FDE9" w14:textId="77777777" w:rsidR="00505E0D" w:rsidRDefault="00505E0D" w:rsidP="00505E0D">
      <w:pPr>
        <w:jc w:val="both"/>
        <w:rPr>
          <w:rFonts w:cs="Arial"/>
          <w:szCs w:val="22"/>
        </w:rPr>
      </w:pPr>
    </w:p>
    <w:p w14:paraId="32605038" w14:textId="2DEB1A05" w:rsidR="00505E0D" w:rsidRPr="00825FD1" w:rsidRDefault="00505E0D" w:rsidP="00505E0D">
      <w:pPr>
        <w:jc w:val="both"/>
        <w:rPr>
          <w:rFonts w:cs="Arial"/>
          <w:b/>
          <w:i/>
          <w:szCs w:val="22"/>
        </w:rPr>
      </w:pPr>
      <w:r w:rsidRPr="00825FD1">
        <w:rPr>
          <w:rFonts w:cs="Arial"/>
          <w:szCs w:val="22"/>
        </w:rPr>
        <w:t>Na základě výsledku výběrového řízení provedené v souladu s příslušnými ustanoveními zákona č.</w:t>
      </w:r>
      <w:r w:rsidR="005F7D43">
        <w:rPr>
          <w:rFonts w:cs="Arial"/>
          <w:szCs w:val="22"/>
        </w:rPr>
        <w:t> </w:t>
      </w:r>
      <w:r w:rsidRPr="00825FD1">
        <w:rPr>
          <w:rFonts w:cs="Arial"/>
          <w:szCs w:val="22"/>
        </w:rPr>
        <w:t>134/2016 Sb., o zadávání veřejných zakázek, ve znění pozdějších předpisů (dále jen „</w:t>
      </w:r>
      <w:r w:rsidRPr="00825FD1">
        <w:rPr>
          <w:rFonts w:cs="Arial"/>
          <w:snapToGrid w:val="0"/>
          <w:szCs w:val="22"/>
        </w:rPr>
        <w:t>ZZVZ“)</w:t>
      </w:r>
      <w:r w:rsidR="008C6100">
        <w:rPr>
          <w:rFonts w:cs="Arial"/>
          <w:snapToGrid w:val="0"/>
          <w:szCs w:val="22"/>
        </w:rPr>
        <w:t>,</w:t>
      </w:r>
      <w:r w:rsidRPr="00825FD1">
        <w:rPr>
          <w:rFonts w:cs="Arial"/>
          <w:snapToGrid w:val="0"/>
          <w:szCs w:val="22"/>
        </w:rPr>
        <w:t xml:space="preserve"> </w:t>
      </w:r>
      <w:r w:rsidRPr="00825FD1">
        <w:rPr>
          <w:rFonts w:cs="Arial"/>
          <w:szCs w:val="22"/>
        </w:rPr>
        <w:t xml:space="preserve">uzavírají smluvní strany tuto </w:t>
      </w:r>
      <w:r>
        <w:rPr>
          <w:rFonts w:cs="Arial"/>
          <w:szCs w:val="22"/>
        </w:rPr>
        <w:t>s</w:t>
      </w:r>
      <w:r w:rsidRPr="00825FD1">
        <w:rPr>
          <w:rFonts w:cs="Arial"/>
          <w:szCs w:val="22"/>
        </w:rPr>
        <w:t>mlouvu.</w:t>
      </w:r>
    </w:p>
    <w:p w14:paraId="50D5C65A" w14:textId="77777777" w:rsidR="00E24120" w:rsidRPr="00E24120" w:rsidRDefault="00E24120" w:rsidP="00E24120">
      <w:pPr>
        <w:tabs>
          <w:tab w:val="left" w:pos="2127"/>
          <w:tab w:val="left" w:pos="4800"/>
        </w:tabs>
        <w:jc w:val="both"/>
        <w:rPr>
          <w:rFonts w:cs="Arial"/>
          <w:snapToGrid w:val="0"/>
          <w:szCs w:val="22"/>
        </w:rPr>
      </w:pPr>
    </w:p>
    <w:p w14:paraId="7CE08597" w14:textId="753A3934" w:rsidR="00B83F26" w:rsidRPr="00DE43B6" w:rsidRDefault="00B83F26" w:rsidP="00DE43B6">
      <w:pPr>
        <w:pStyle w:val="l-L1"/>
      </w:pPr>
      <w:r w:rsidRPr="00DE43B6">
        <w:t xml:space="preserve">Předmět </w:t>
      </w:r>
      <w:r w:rsidR="000B10BB">
        <w:t>a účel smlouvy</w:t>
      </w:r>
    </w:p>
    <w:p w14:paraId="3B20F0A0" w14:textId="31D31D3B" w:rsidR="002A2CF6" w:rsidRDefault="00B83F26" w:rsidP="00A30016">
      <w:pPr>
        <w:pStyle w:val="l-L2"/>
        <w:numPr>
          <w:ilvl w:val="0"/>
          <w:numId w:val="15"/>
        </w:numPr>
        <w:ind w:left="357" w:hanging="357"/>
      </w:pPr>
      <w:r w:rsidRPr="00CD628A">
        <w:t>Objednatel je stavebníkem stavby specifikované v čl.</w:t>
      </w:r>
      <w:r w:rsidR="00AC4A03">
        <w:t> </w:t>
      </w:r>
      <w:r w:rsidRPr="00CD628A">
        <w:t>I. odst.</w:t>
      </w:r>
      <w:r w:rsidR="00AC4A03">
        <w:t> </w:t>
      </w:r>
      <w:r w:rsidR="008C61B3" w:rsidRPr="00CD628A">
        <w:t>3</w:t>
      </w:r>
      <w:r w:rsidR="00994F06">
        <w:t>.</w:t>
      </w:r>
      <w:r w:rsidRPr="00CD628A">
        <w:t xml:space="preserve"> této smlouvy, nad jejímž prováděním je nutné dle ustanovení §</w:t>
      </w:r>
      <w:r w:rsidR="00AC4A03">
        <w:t> </w:t>
      </w:r>
      <w:r w:rsidR="00AC32B2" w:rsidRPr="00CD628A">
        <w:t>161</w:t>
      </w:r>
      <w:r w:rsidRPr="00CD628A">
        <w:t xml:space="preserve"> odst.</w:t>
      </w:r>
      <w:r w:rsidR="00AC4A03">
        <w:t> </w:t>
      </w:r>
      <w:r w:rsidR="00AC32B2" w:rsidRPr="00CD628A">
        <w:t>2</w:t>
      </w:r>
      <w:r w:rsidRPr="00CD628A">
        <w:t xml:space="preserve"> zákona č.</w:t>
      </w:r>
      <w:r w:rsidR="00AC4A03">
        <w:t> </w:t>
      </w:r>
      <w:r w:rsidR="00AC32B2" w:rsidRPr="00CD628A">
        <w:t>283</w:t>
      </w:r>
      <w:r w:rsidRPr="00CD628A">
        <w:t>/20</w:t>
      </w:r>
      <w:r w:rsidR="00AC32B2" w:rsidRPr="00CD628A">
        <w:t>21</w:t>
      </w:r>
      <w:r w:rsidRPr="00CD628A">
        <w:t xml:space="preserve"> Sb., </w:t>
      </w:r>
      <w:r w:rsidR="00AC32B2" w:rsidRPr="00CD628A">
        <w:t>stavební zákon</w:t>
      </w:r>
      <w:r w:rsidR="00CF38A5" w:rsidRPr="00CD628A">
        <w:t>, ve znění pozdějších předpisů</w:t>
      </w:r>
      <w:r w:rsidR="00896610">
        <w:t xml:space="preserve"> (dále jen „SZ“)</w:t>
      </w:r>
      <w:r w:rsidR="008C6100">
        <w:t>,</w:t>
      </w:r>
      <w:r w:rsidR="00AC32B2" w:rsidRPr="00CD628A">
        <w:t xml:space="preserve"> </w:t>
      </w:r>
      <w:r w:rsidRPr="00CD628A">
        <w:t xml:space="preserve">zajistit </w:t>
      </w:r>
      <w:r w:rsidR="007214D7">
        <w:rPr>
          <w:b/>
          <w:bCs/>
        </w:rPr>
        <w:t>dozor projektanta</w:t>
      </w:r>
      <w:r w:rsidRPr="00CD628A">
        <w:t xml:space="preserve"> nad souladem prováděné stavby s ověřenou projektovou dokumentací.</w:t>
      </w:r>
    </w:p>
    <w:p w14:paraId="2840043D" w14:textId="04E2B780" w:rsidR="000B3316" w:rsidRPr="002A2CF6" w:rsidRDefault="2EDF0124" w:rsidP="00A30016">
      <w:pPr>
        <w:pStyle w:val="l-L2"/>
        <w:numPr>
          <w:ilvl w:val="0"/>
          <w:numId w:val="15"/>
        </w:numPr>
        <w:ind w:left="357" w:hanging="357"/>
      </w:pPr>
      <w:r w:rsidRPr="002A2CF6">
        <w:t xml:space="preserve">Předmětem </w:t>
      </w:r>
      <w:r w:rsidR="0A61F8A8" w:rsidRPr="002A2CF6">
        <w:t>díla</w:t>
      </w:r>
      <w:r w:rsidRPr="002A2CF6">
        <w:t xml:space="preserve"> je </w:t>
      </w:r>
      <w:r w:rsidR="17A77F57" w:rsidRPr="002A2CF6">
        <w:t xml:space="preserve">výkon </w:t>
      </w:r>
      <w:r w:rsidRPr="002A2CF6">
        <w:t>dozor</w:t>
      </w:r>
      <w:r w:rsidR="09B503B2" w:rsidRPr="002A2CF6">
        <w:t>u</w:t>
      </w:r>
      <w:r w:rsidR="004E62D6">
        <w:t xml:space="preserve"> projektanta</w:t>
      </w:r>
      <w:r w:rsidRPr="002A2CF6">
        <w:t xml:space="preserve"> </w:t>
      </w:r>
      <w:r w:rsidR="0D761B7A" w:rsidRPr="002A2CF6">
        <w:t>při realizaci staveb uvedených v</w:t>
      </w:r>
      <w:r w:rsidR="00AC4A03">
        <w:t> </w:t>
      </w:r>
      <w:r w:rsidR="3A5C1897" w:rsidRPr="002A2CF6">
        <w:t>č</w:t>
      </w:r>
      <w:r w:rsidR="0D761B7A" w:rsidRPr="002A2CF6">
        <w:t>l.</w:t>
      </w:r>
      <w:r w:rsidR="00AC4A03">
        <w:t> </w:t>
      </w:r>
      <w:r w:rsidR="0D761B7A" w:rsidRPr="002A2CF6">
        <w:t>I.</w:t>
      </w:r>
      <w:r w:rsidR="3A5C1897" w:rsidRPr="002A2CF6">
        <w:t xml:space="preserve"> odst.</w:t>
      </w:r>
      <w:r w:rsidR="00AC4A03">
        <w:t> </w:t>
      </w:r>
      <w:r w:rsidR="3A5C1897" w:rsidRPr="002A2CF6">
        <w:t>3</w:t>
      </w:r>
      <w:r w:rsidR="00994F06">
        <w:t>.</w:t>
      </w:r>
      <w:r w:rsidR="0D761B7A" w:rsidRPr="002A2CF6">
        <w:t xml:space="preserve">, </w:t>
      </w:r>
      <w:r w:rsidR="6F0069D8" w:rsidRPr="002A2CF6">
        <w:t>a</w:t>
      </w:r>
      <w:r w:rsidR="00FF480F">
        <w:t> </w:t>
      </w:r>
      <w:r w:rsidR="6F0069D8" w:rsidRPr="002A2CF6">
        <w:t xml:space="preserve">to </w:t>
      </w:r>
      <w:r w:rsidR="0D761B7A" w:rsidRPr="002A2CF6">
        <w:t>v rozsahu uvedeném v</w:t>
      </w:r>
      <w:r w:rsidR="00AC4A03">
        <w:t> </w:t>
      </w:r>
      <w:r w:rsidR="3A5C1897" w:rsidRPr="002A2CF6">
        <w:t>č</w:t>
      </w:r>
      <w:r w:rsidR="0D761B7A" w:rsidRPr="002A2CF6">
        <w:t>l.</w:t>
      </w:r>
      <w:r w:rsidR="00AC4A03">
        <w:t> </w:t>
      </w:r>
      <w:r w:rsidR="0D761B7A" w:rsidRPr="002A2CF6">
        <w:t>II</w:t>
      </w:r>
      <w:r w:rsidR="00994F06">
        <w:t>.</w:t>
      </w:r>
      <w:r w:rsidR="00AC4A03">
        <w:t> </w:t>
      </w:r>
      <w:r w:rsidR="0D761B7A" w:rsidRPr="002A2CF6">
        <w:t>Specifikace díla</w:t>
      </w:r>
      <w:r w:rsidR="6F0069D8" w:rsidRPr="002A2CF6">
        <w:t xml:space="preserve">. Dílo </w:t>
      </w:r>
      <w:r w:rsidR="0D761B7A" w:rsidRPr="002A2CF6">
        <w:t>je realizováno na základě výsledku výběrového řízení podle ZZVZ.</w:t>
      </w:r>
    </w:p>
    <w:p w14:paraId="2E5AE760" w14:textId="5058C4FA" w:rsidR="009B22A4" w:rsidRDefault="00057F3C" w:rsidP="00A30016">
      <w:pPr>
        <w:pStyle w:val="l-L2"/>
        <w:numPr>
          <w:ilvl w:val="0"/>
          <w:numId w:val="15"/>
        </w:numPr>
        <w:ind w:left="357" w:hanging="357"/>
      </w:pPr>
      <w:r w:rsidRPr="00397219">
        <w:t>Zhotovitel se zavazuje, že provede pro objednatele dozor</w:t>
      </w:r>
      <w:r w:rsidR="004E62D6">
        <w:t xml:space="preserve"> projektanta</w:t>
      </w:r>
      <w:r w:rsidRPr="00397219">
        <w:t xml:space="preserve"> při realizaci stavby:</w:t>
      </w:r>
    </w:p>
    <w:p w14:paraId="02088898" w14:textId="77777777" w:rsidR="00956054" w:rsidRPr="005F0F87" w:rsidRDefault="009B22A4" w:rsidP="00956054">
      <w:pPr>
        <w:pStyle w:val="l-L2"/>
        <w:ind w:left="357"/>
      </w:pPr>
      <w:r>
        <w:rPr>
          <w:rStyle w:val="l-L2Char"/>
          <w:rFonts w:cs="Arial"/>
          <w:szCs w:val="22"/>
        </w:rPr>
        <w:tab/>
      </w:r>
    </w:p>
    <w:p w14:paraId="277B0F39" w14:textId="77777777" w:rsidR="00956054" w:rsidRPr="002852D3" w:rsidRDefault="00956054" w:rsidP="00956054">
      <w:pPr>
        <w:pStyle w:val="l-L2"/>
        <w:ind w:left="357"/>
      </w:pPr>
      <w:r w:rsidRPr="005F0F87">
        <w:t>Název stavby:</w:t>
      </w:r>
      <w:r w:rsidRPr="005F0F87">
        <w:tab/>
      </w:r>
      <w:r w:rsidRPr="002852D3">
        <w:rPr>
          <w:rStyle w:val="l-L2Char"/>
          <w:rFonts w:cs="Arial"/>
          <w:bCs/>
          <w:szCs w:val="22"/>
        </w:rPr>
        <w:t>R</w:t>
      </w:r>
      <w:r w:rsidRPr="002852D3">
        <w:rPr>
          <w:rFonts w:cs="Arial"/>
          <w:bCs/>
          <w:snapToGrid w:val="0"/>
          <w:szCs w:val="22"/>
        </w:rPr>
        <w:t>ekonstrukce DC01, M5, VN10 a VN11 v </w:t>
      </w:r>
      <w:proofErr w:type="spellStart"/>
      <w:r w:rsidRPr="002852D3">
        <w:rPr>
          <w:rFonts w:cs="Arial"/>
          <w:bCs/>
          <w:snapToGrid w:val="0"/>
          <w:szCs w:val="22"/>
        </w:rPr>
        <w:t>k.ú</w:t>
      </w:r>
      <w:proofErr w:type="spellEnd"/>
      <w:r w:rsidRPr="002852D3">
        <w:rPr>
          <w:rFonts w:cs="Arial"/>
          <w:bCs/>
          <w:snapToGrid w:val="0"/>
          <w:szCs w:val="22"/>
        </w:rPr>
        <w:t>. Dlouhá Lomnice</w:t>
      </w:r>
    </w:p>
    <w:p w14:paraId="3703C168" w14:textId="1278DB0F" w:rsidR="00956054" w:rsidRPr="002852D3" w:rsidRDefault="00956054" w:rsidP="00956054">
      <w:pPr>
        <w:pStyle w:val="l-L2"/>
        <w:ind w:left="357"/>
        <w:rPr>
          <w:bCs/>
        </w:rPr>
      </w:pPr>
      <w:r w:rsidRPr="002852D3">
        <w:t>Místo stavby:</w:t>
      </w:r>
      <w:r w:rsidRPr="002852D3">
        <w:tab/>
      </w:r>
      <w:proofErr w:type="spellStart"/>
      <w:r w:rsidRPr="002852D3">
        <w:rPr>
          <w:bCs/>
          <w:snapToGrid w:val="0"/>
          <w:lang w:val="en-US"/>
        </w:rPr>
        <w:t>katastrální</w:t>
      </w:r>
      <w:proofErr w:type="spellEnd"/>
      <w:r w:rsidRPr="002852D3">
        <w:rPr>
          <w:bCs/>
          <w:snapToGrid w:val="0"/>
          <w:lang w:val="en-US"/>
        </w:rPr>
        <w:t xml:space="preserve"> </w:t>
      </w:r>
      <w:proofErr w:type="spellStart"/>
      <w:r w:rsidRPr="002852D3">
        <w:rPr>
          <w:bCs/>
          <w:snapToGrid w:val="0"/>
          <w:lang w:val="en-US"/>
        </w:rPr>
        <w:t>území</w:t>
      </w:r>
      <w:proofErr w:type="spellEnd"/>
      <w:r w:rsidRPr="002852D3">
        <w:rPr>
          <w:bCs/>
          <w:snapToGrid w:val="0"/>
          <w:lang w:val="en-US"/>
        </w:rPr>
        <w:t xml:space="preserve"> </w:t>
      </w:r>
      <w:r w:rsidRPr="002852D3">
        <w:rPr>
          <w:bCs/>
          <w:snapToGrid w:val="0"/>
        </w:rPr>
        <w:t>Dlouhá Lomnice</w:t>
      </w:r>
      <w:r w:rsidRPr="002852D3">
        <w:rPr>
          <w:bCs/>
          <w:snapToGrid w:val="0"/>
          <w:lang w:val="en-US"/>
        </w:rPr>
        <w:t xml:space="preserve">, </w:t>
      </w:r>
      <w:proofErr w:type="spellStart"/>
      <w:r>
        <w:rPr>
          <w:bCs/>
          <w:snapToGrid w:val="0"/>
          <w:lang w:val="en-US"/>
        </w:rPr>
        <w:t>město</w:t>
      </w:r>
      <w:proofErr w:type="spellEnd"/>
      <w:r w:rsidRPr="002852D3">
        <w:rPr>
          <w:bCs/>
          <w:snapToGrid w:val="0"/>
          <w:lang w:val="en-US"/>
        </w:rPr>
        <w:t xml:space="preserve"> </w:t>
      </w:r>
      <w:proofErr w:type="spellStart"/>
      <w:r w:rsidRPr="002852D3">
        <w:rPr>
          <w:bCs/>
          <w:snapToGrid w:val="0"/>
          <w:lang w:val="en-US"/>
        </w:rPr>
        <w:t>Bochov</w:t>
      </w:r>
      <w:proofErr w:type="spellEnd"/>
      <w:r w:rsidRPr="002852D3">
        <w:rPr>
          <w:bCs/>
          <w:snapToGrid w:val="0"/>
          <w:lang w:val="en-US"/>
        </w:rPr>
        <w:t xml:space="preserve">, </w:t>
      </w:r>
      <w:proofErr w:type="spellStart"/>
      <w:r w:rsidRPr="002852D3">
        <w:rPr>
          <w:bCs/>
          <w:snapToGrid w:val="0"/>
          <w:lang w:val="en-US"/>
        </w:rPr>
        <w:t>okres</w:t>
      </w:r>
      <w:proofErr w:type="spellEnd"/>
      <w:r w:rsidRPr="002852D3">
        <w:rPr>
          <w:bCs/>
          <w:snapToGrid w:val="0"/>
          <w:lang w:val="en-US"/>
        </w:rPr>
        <w:t xml:space="preserve"> Karlovy Vary</w:t>
      </w:r>
    </w:p>
    <w:p w14:paraId="261F7DC0" w14:textId="35513384" w:rsidR="00956054" w:rsidRPr="002852D3" w:rsidRDefault="00956054" w:rsidP="00956054">
      <w:pPr>
        <w:spacing w:after="0" w:line="280" w:lineRule="atLeast"/>
      </w:pPr>
      <w:r>
        <w:t xml:space="preserve">      </w:t>
      </w:r>
      <w:r w:rsidRPr="002852D3">
        <w:t>Popis stavby:</w:t>
      </w:r>
      <w:r w:rsidRPr="002852D3">
        <w:tab/>
      </w:r>
    </w:p>
    <w:p w14:paraId="7F34C862" w14:textId="77777777" w:rsidR="00192480" w:rsidRDefault="00192480" w:rsidP="00956054">
      <w:pPr>
        <w:spacing w:after="0" w:line="280" w:lineRule="atLeast"/>
        <w:ind w:left="2127" w:hanging="1418"/>
        <w:rPr>
          <w:rStyle w:val="l-L2Char"/>
          <w:rFonts w:cs="Arial"/>
          <w:b/>
          <w:bCs/>
          <w:szCs w:val="22"/>
        </w:rPr>
      </w:pPr>
    </w:p>
    <w:p w14:paraId="1374AD5B" w14:textId="58F662AF" w:rsidR="00956054" w:rsidRPr="002852D3" w:rsidRDefault="00956054" w:rsidP="00956054">
      <w:pPr>
        <w:spacing w:after="0" w:line="280" w:lineRule="atLeast"/>
        <w:ind w:left="2127" w:hanging="1418"/>
        <w:rPr>
          <w:rFonts w:cs="Arial"/>
          <w:b/>
          <w:bCs/>
          <w:szCs w:val="22"/>
        </w:rPr>
      </w:pPr>
      <w:r w:rsidRPr="002852D3">
        <w:rPr>
          <w:rStyle w:val="l-L2Char"/>
          <w:rFonts w:cs="Arial"/>
          <w:b/>
          <w:bCs/>
          <w:szCs w:val="22"/>
        </w:rPr>
        <w:t>1) R</w:t>
      </w:r>
      <w:r w:rsidRPr="002852D3">
        <w:rPr>
          <w:rFonts w:cs="Arial"/>
          <w:b/>
          <w:bCs/>
          <w:szCs w:val="22"/>
        </w:rPr>
        <w:t xml:space="preserve">ekonstrukce polní cesty DC01 (úsek A </w:t>
      </w:r>
      <w:proofErr w:type="spellStart"/>
      <w:r w:rsidRPr="002852D3">
        <w:rPr>
          <w:rFonts w:cs="Arial"/>
          <w:b/>
          <w:bCs/>
          <w:szCs w:val="22"/>
        </w:rPr>
        <w:t>a</w:t>
      </w:r>
      <w:proofErr w:type="spellEnd"/>
      <w:r w:rsidRPr="002852D3">
        <w:rPr>
          <w:rFonts w:cs="Arial"/>
          <w:b/>
          <w:bCs/>
          <w:szCs w:val="22"/>
        </w:rPr>
        <w:t xml:space="preserve"> B)</w:t>
      </w:r>
    </w:p>
    <w:p w14:paraId="7E2B3766" w14:textId="77777777" w:rsidR="00956054" w:rsidRPr="002852D3" w:rsidRDefault="00956054" w:rsidP="00956054">
      <w:pPr>
        <w:spacing w:after="0" w:line="280" w:lineRule="atLeast"/>
        <w:ind w:left="2127" w:hanging="1418"/>
        <w:rPr>
          <w:rFonts w:cs="Arial"/>
          <w:szCs w:val="22"/>
        </w:rPr>
      </w:pPr>
      <w:r w:rsidRPr="002852D3">
        <w:rPr>
          <w:rFonts w:cs="Arial"/>
          <w:szCs w:val="22"/>
        </w:rPr>
        <w:t xml:space="preserve">Pozemek </w:t>
      </w:r>
      <w:proofErr w:type="spellStart"/>
      <w:r w:rsidRPr="002852D3">
        <w:rPr>
          <w:rFonts w:cs="Arial"/>
          <w:szCs w:val="22"/>
        </w:rPr>
        <w:t>p.č</w:t>
      </w:r>
      <w:proofErr w:type="spellEnd"/>
      <w:r w:rsidRPr="002852D3">
        <w:rPr>
          <w:rFonts w:cs="Arial"/>
          <w:szCs w:val="22"/>
        </w:rPr>
        <w:t xml:space="preserve">. </w:t>
      </w:r>
      <w:proofErr w:type="gramStart"/>
      <w:r w:rsidRPr="002852D3">
        <w:rPr>
          <w:rFonts w:cs="Arial"/>
          <w:szCs w:val="22"/>
        </w:rPr>
        <w:t>2419  na</w:t>
      </w:r>
      <w:proofErr w:type="gramEnd"/>
      <w:r w:rsidRPr="002852D3">
        <w:rPr>
          <w:rFonts w:cs="Arial"/>
          <w:szCs w:val="22"/>
        </w:rPr>
        <w:t xml:space="preserve"> LV 1 (město Bochov) a </w:t>
      </w:r>
      <w:proofErr w:type="spellStart"/>
      <w:r w:rsidRPr="002852D3">
        <w:rPr>
          <w:rFonts w:cs="Arial"/>
          <w:szCs w:val="22"/>
        </w:rPr>
        <w:t>p.č</w:t>
      </w:r>
      <w:proofErr w:type="spellEnd"/>
      <w:r w:rsidRPr="002852D3">
        <w:rPr>
          <w:rFonts w:cs="Arial"/>
          <w:szCs w:val="22"/>
        </w:rPr>
        <w:t>. 2406 na LV 10002 (SPÚ)</w:t>
      </w:r>
    </w:p>
    <w:p w14:paraId="5AF93EDC" w14:textId="77777777" w:rsidR="00956054" w:rsidRPr="002852D3" w:rsidRDefault="00956054" w:rsidP="00956054">
      <w:pPr>
        <w:spacing w:after="0" w:line="280" w:lineRule="atLeast"/>
        <w:ind w:left="709"/>
        <w:rPr>
          <w:rFonts w:cs="Arial"/>
          <w:szCs w:val="22"/>
        </w:rPr>
      </w:pPr>
      <w:r w:rsidRPr="002852D3">
        <w:rPr>
          <w:rFonts w:cs="Arial"/>
          <w:szCs w:val="22"/>
        </w:rPr>
        <w:t>Délka cesty: celkem 581 m, úsek A 125 m, úsek B 456 m.</w:t>
      </w:r>
    </w:p>
    <w:p w14:paraId="26ED7309" w14:textId="77777777" w:rsidR="00956054" w:rsidRPr="002852D3" w:rsidRDefault="00956054" w:rsidP="00956054">
      <w:pPr>
        <w:spacing w:after="0" w:line="280" w:lineRule="atLeast"/>
        <w:ind w:left="709"/>
        <w:rPr>
          <w:rFonts w:cs="Arial"/>
          <w:szCs w:val="22"/>
        </w:rPr>
      </w:pPr>
      <w:r w:rsidRPr="002852D3">
        <w:rPr>
          <w:rFonts w:cs="Arial"/>
          <w:szCs w:val="22"/>
        </w:rPr>
        <w:t>Kategorie: 4,0/20</w:t>
      </w:r>
    </w:p>
    <w:p w14:paraId="7E62F66F" w14:textId="77777777" w:rsidR="00956054" w:rsidRPr="002852D3" w:rsidRDefault="00956054" w:rsidP="00956054">
      <w:pPr>
        <w:spacing w:after="0" w:line="280" w:lineRule="atLeast"/>
        <w:ind w:left="709"/>
        <w:rPr>
          <w:rFonts w:cs="Arial"/>
          <w:szCs w:val="22"/>
        </w:rPr>
      </w:pPr>
      <w:r w:rsidRPr="002852D3">
        <w:rPr>
          <w:rFonts w:cs="Arial"/>
          <w:szCs w:val="22"/>
        </w:rPr>
        <w:t>Doporučený povrch: štěrkový s asfaltovým postřikem, variantně penetrační makadam</w:t>
      </w:r>
    </w:p>
    <w:p w14:paraId="3594FC2F" w14:textId="77777777" w:rsidR="00956054" w:rsidRPr="002852D3" w:rsidRDefault="00956054" w:rsidP="00956054">
      <w:pPr>
        <w:spacing w:after="0" w:line="280" w:lineRule="atLeast"/>
        <w:ind w:left="709"/>
        <w:rPr>
          <w:rFonts w:cs="Arial"/>
          <w:szCs w:val="22"/>
        </w:rPr>
      </w:pPr>
      <w:r w:rsidRPr="002852D3">
        <w:rPr>
          <w:rFonts w:cs="Arial"/>
          <w:szCs w:val="22"/>
        </w:rPr>
        <w:t>Odvodnění: úsek A jednostranný trojúhelníkový cestní příkop SP06, úsek B příčným sklonem vozovky do přilehlého terénu</w:t>
      </w:r>
    </w:p>
    <w:p w14:paraId="2F9B544B" w14:textId="77777777" w:rsidR="00956054" w:rsidRPr="002852D3" w:rsidRDefault="00956054" w:rsidP="00956054">
      <w:pPr>
        <w:spacing w:after="0" w:line="280" w:lineRule="atLeast"/>
        <w:ind w:left="709"/>
        <w:rPr>
          <w:rFonts w:cs="Arial"/>
          <w:szCs w:val="22"/>
        </w:rPr>
      </w:pPr>
      <w:r w:rsidRPr="002852D3">
        <w:rPr>
          <w:rFonts w:cs="Arial"/>
          <w:szCs w:val="22"/>
        </w:rPr>
        <w:t>Vegetační doprovod: není navržen</w:t>
      </w:r>
    </w:p>
    <w:p w14:paraId="74FD8414" w14:textId="77777777" w:rsidR="00956054" w:rsidRPr="002852D3" w:rsidRDefault="00956054" w:rsidP="00956054">
      <w:pPr>
        <w:spacing w:after="0" w:line="280" w:lineRule="atLeast"/>
        <w:ind w:left="709"/>
        <w:rPr>
          <w:rFonts w:cs="Arial"/>
          <w:szCs w:val="22"/>
        </w:rPr>
      </w:pPr>
      <w:r w:rsidRPr="002852D3">
        <w:rPr>
          <w:rFonts w:cs="Arial"/>
          <w:szCs w:val="22"/>
        </w:rPr>
        <w:t>Dotčená zařízení: nejsou</w:t>
      </w:r>
    </w:p>
    <w:p w14:paraId="3CC0F45E" w14:textId="77777777" w:rsidR="00956054" w:rsidRPr="002852D3" w:rsidRDefault="00956054" w:rsidP="00956054">
      <w:pPr>
        <w:spacing w:after="0" w:line="280" w:lineRule="atLeast"/>
        <w:ind w:left="709"/>
        <w:rPr>
          <w:rFonts w:cs="Arial"/>
          <w:szCs w:val="22"/>
        </w:rPr>
      </w:pPr>
      <w:r w:rsidRPr="002852D3">
        <w:rPr>
          <w:rFonts w:cs="Arial"/>
          <w:szCs w:val="22"/>
        </w:rPr>
        <w:t xml:space="preserve">Popis objektů: Úsek A – cesta se napojuje na místní komunikaci MK01, v km 0,010 se nachází mostek M05 přes Lomnický potok (IDVT 10100207), který je navržen k rekonstrukci, v km 0,027 je propustek P29 a v km 0,102 propustek P31 přes cestní příkop SP06 v napojení na polní cesty DC03 a DC20. V km 0,100 je navržen sjezd HS26 na zemědělské pozemky. </w:t>
      </w:r>
    </w:p>
    <w:p w14:paraId="516B92CA" w14:textId="77777777" w:rsidR="00956054" w:rsidRPr="002852D3" w:rsidRDefault="00956054" w:rsidP="00956054">
      <w:pPr>
        <w:spacing w:after="0" w:line="280" w:lineRule="atLeast"/>
        <w:ind w:left="709"/>
        <w:rPr>
          <w:rFonts w:cs="Arial"/>
          <w:szCs w:val="22"/>
        </w:rPr>
      </w:pPr>
      <w:r w:rsidRPr="002852D3">
        <w:rPr>
          <w:rFonts w:cs="Arial"/>
          <w:szCs w:val="22"/>
        </w:rPr>
        <w:t xml:space="preserve">Úsek B – cesta pokračuje přímým napojením na úsek A, v místě křížení toku IDVT </w:t>
      </w:r>
      <w:proofErr w:type="gramStart"/>
      <w:r w:rsidRPr="002852D3">
        <w:rPr>
          <w:rFonts w:cs="Arial"/>
          <w:szCs w:val="22"/>
        </w:rPr>
        <w:t>10233990  je</w:t>
      </w:r>
      <w:proofErr w:type="gramEnd"/>
      <w:r w:rsidRPr="002852D3">
        <w:rPr>
          <w:rFonts w:cs="Arial"/>
          <w:szCs w:val="22"/>
        </w:rPr>
        <w:t xml:space="preserve"> propustek P30 mezi VN10 a VN11. Nutnost vyřešení bezpečného převedení vody z VN10 do VN11. Cesta končí na hranici </w:t>
      </w:r>
      <w:proofErr w:type="spellStart"/>
      <w:r w:rsidRPr="002852D3">
        <w:rPr>
          <w:rFonts w:cs="Arial"/>
          <w:szCs w:val="22"/>
        </w:rPr>
        <w:t>k.ú</w:t>
      </w:r>
      <w:proofErr w:type="spellEnd"/>
      <w:r w:rsidRPr="002852D3">
        <w:rPr>
          <w:rFonts w:cs="Arial"/>
          <w:szCs w:val="22"/>
        </w:rPr>
        <w:t>. s přímým napojením na polní cestu DC06 v </w:t>
      </w:r>
      <w:proofErr w:type="spellStart"/>
      <w:r w:rsidRPr="002852D3">
        <w:rPr>
          <w:rFonts w:cs="Arial"/>
          <w:szCs w:val="22"/>
        </w:rPr>
        <w:t>k.ú</w:t>
      </w:r>
      <w:proofErr w:type="spellEnd"/>
      <w:r w:rsidRPr="002852D3">
        <w:rPr>
          <w:rFonts w:cs="Arial"/>
          <w:szCs w:val="22"/>
        </w:rPr>
        <w:t xml:space="preserve">. Německý </w:t>
      </w:r>
      <w:proofErr w:type="spellStart"/>
      <w:r w:rsidRPr="002852D3">
        <w:rPr>
          <w:rFonts w:cs="Arial"/>
          <w:szCs w:val="22"/>
        </w:rPr>
        <w:t>Chloumek</w:t>
      </w:r>
      <w:proofErr w:type="spellEnd"/>
    </w:p>
    <w:p w14:paraId="589DCF4E" w14:textId="77777777" w:rsidR="00192480" w:rsidRDefault="00192480" w:rsidP="00956054">
      <w:pPr>
        <w:spacing w:after="0" w:line="280" w:lineRule="atLeast"/>
        <w:ind w:left="709"/>
        <w:rPr>
          <w:rFonts w:cs="Arial"/>
          <w:b/>
          <w:bCs/>
          <w:szCs w:val="22"/>
        </w:rPr>
      </w:pPr>
    </w:p>
    <w:p w14:paraId="25E9E945" w14:textId="175FFDF1" w:rsidR="00956054" w:rsidRPr="002852D3" w:rsidRDefault="00956054" w:rsidP="00956054">
      <w:pPr>
        <w:spacing w:after="0" w:line="280" w:lineRule="atLeast"/>
        <w:ind w:left="709"/>
        <w:rPr>
          <w:rFonts w:cs="Arial"/>
          <w:b/>
          <w:bCs/>
          <w:szCs w:val="22"/>
        </w:rPr>
      </w:pPr>
      <w:r w:rsidRPr="002852D3">
        <w:rPr>
          <w:rFonts w:cs="Arial"/>
          <w:b/>
          <w:bCs/>
          <w:szCs w:val="22"/>
        </w:rPr>
        <w:t>2) Rekonstrukce vodohospodářských opatření VN10 a VN11</w:t>
      </w:r>
    </w:p>
    <w:p w14:paraId="19A6C44D" w14:textId="77777777" w:rsidR="00956054" w:rsidRPr="002852D3" w:rsidRDefault="00956054" w:rsidP="00956054">
      <w:pPr>
        <w:spacing w:after="0" w:line="280" w:lineRule="atLeast"/>
        <w:ind w:left="2127" w:hanging="1418"/>
        <w:rPr>
          <w:rFonts w:cs="Arial"/>
          <w:szCs w:val="22"/>
        </w:rPr>
      </w:pPr>
      <w:r w:rsidRPr="002852D3">
        <w:rPr>
          <w:rFonts w:cs="Arial"/>
          <w:szCs w:val="22"/>
        </w:rPr>
        <w:t xml:space="preserve">Pozemek </w:t>
      </w:r>
      <w:proofErr w:type="spellStart"/>
      <w:r w:rsidRPr="002852D3">
        <w:rPr>
          <w:rFonts w:cs="Arial"/>
          <w:szCs w:val="22"/>
        </w:rPr>
        <w:t>p.č</w:t>
      </w:r>
      <w:proofErr w:type="spellEnd"/>
      <w:r w:rsidRPr="002852D3">
        <w:rPr>
          <w:rFonts w:cs="Arial"/>
          <w:szCs w:val="22"/>
        </w:rPr>
        <w:t xml:space="preserve">. 2418, 2420, </w:t>
      </w:r>
      <w:proofErr w:type="gramStart"/>
      <w:r w:rsidRPr="002852D3">
        <w:rPr>
          <w:rFonts w:cs="Arial"/>
          <w:szCs w:val="22"/>
        </w:rPr>
        <w:t>2421  na</w:t>
      </w:r>
      <w:proofErr w:type="gramEnd"/>
      <w:r w:rsidRPr="002852D3">
        <w:rPr>
          <w:rFonts w:cs="Arial"/>
          <w:szCs w:val="22"/>
        </w:rPr>
        <w:t xml:space="preserve"> LV 1 (město Bochov) </w:t>
      </w:r>
    </w:p>
    <w:p w14:paraId="2DC57559" w14:textId="77777777" w:rsidR="00956054" w:rsidRPr="002852D3" w:rsidRDefault="00956054" w:rsidP="00956054">
      <w:pPr>
        <w:spacing w:after="0" w:line="280" w:lineRule="atLeast"/>
        <w:ind w:left="2127" w:hanging="1418"/>
        <w:rPr>
          <w:rFonts w:cs="Arial"/>
          <w:szCs w:val="22"/>
        </w:rPr>
      </w:pPr>
      <w:r w:rsidRPr="002852D3">
        <w:rPr>
          <w:rFonts w:cs="Arial"/>
          <w:szCs w:val="22"/>
        </w:rPr>
        <w:t>Výměra: VN10 1864 m2, VN11 10002 m2</w:t>
      </w:r>
    </w:p>
    <w:p w14:paraId="0B3393BA" w14:textId="77777777" w:rsidR="00956054" w:rsidRPr="002852D3" w:rsidRDefault="00956054" w:rsidP="00956054">
      <w:pPr>
        <w:spacing w:after="0" w:line="280" w:lineRule="atLeast"/>
        <w:ind w:left="709"/>
        <w:rPr>
          <w:rFonts w:cs="Arial"/>
          <w:szCs w:val="22"/>
        </w:rPr>
      </w:pPr>
      <w:r w:rsidRPr="002852D3">
        <w:rPr>
          <w:rFonts w:cs="Arial"/>
          <w:szCs w:val="22"/>
        </w:rPr>
        <w:t xml:space="preserve">Popis objektů: Stávající vodohospodářské opatření VN10 je na toku IDVT 10233990 a současně periodicky akumuluje vody ze sousedního lesního pozemku a mokřadu. </w:t>
      </w:r>
    </w:p>
    <w:p w14:paraId="54B7097B" w14:textId="77777777" w:rsidR="00956054" w:rsidRPr="002852D3" w:rsidRDefault="00956054" w:rsidP="00956054">
      <w:pPr>
        <w:spacing w:after="0" w:line="280" w:lineRule="atLeast"/>
        <w:ind w:left="709"/>
        <w:rPr>
          <w:rFonts w:cs="Arial"/>
          <w:szCs w:val="22"/>
        </w:rPr>
      </w:pPr>
      <w:r w:rsidRPr="002852D3">
        <w:rPr>
          <w:rFonts w:cs="Arial"/>
          <w:szCs w:val="22"/>
        </w:rPr>
        <w:t xml:space="preserve">Stávající vodohospodářské opatření VN11 je na toku IDVT 10233990, má charakter tůně s kruhovou zemní hrází. Rekonstrukce souvisí se stavbou DC01 a propustku P30. </w:t>
      </w:r>
      <w:r w:rsidRPr="002852D3">
        <w:rPr>
          <w:rFonts w:cs="Arial"/>
          <w:szCs w:val="22"/>
        </w:rPr>
        <w:lastRenderedPageBreak/>
        <w:t>Potřeba vyřešení bezpečného převedení vod z VN10 do VN11 včetně akumulace vod na pozemcích těchto opatření.</w:t>
      </w:r>
    </w:p>
    <w:p w14:paraId="77B6F1C5" w14:textId="77777777" w:rsidR="00956054" w:rsidRPr="002852D3" w:rsidRDefault="00956054" w:rsidP="00956054">
      <w:pPr>
        <w:spacing w:after="0" w:line="280" w:lineRule="atLeast"/>
        <w:ind w:left="709"/>
        <w:rPr>
          <w:rFonts w:cs="Arial"/>
          <w:szCs w:val="22"/>
        </w:rPr>
      </w:pPr>
    </w:p>
    <w:p w14:paraId="4066079B" w14:textId="77777777" w:rsidR="00956054" w:rsidRPr="002852D3" w:rsidRDefault="00956054" w:rsidP="00956054">
      <w:pPr>
        <w:spacing w:after="0" w:line="280" w:lineRule="atLeast"/>
        <w:ind w:left="709"/>
        <w:rPr>
          <w:rFonts w:cs="Arial"/>
          <w:b/>
          <w:bCs/>
          <w:szCs w:val="22"/>
        </w:rPr>
      </w:pPr>
      <w:r w:rsidRPr="002852D3">
        <w:rPr>
          <w:rFonts w:cs="Arial"/>
          <w:b/>
          <w:bCs/>
          <w:szCs w:val="22"/>
        </w:rPr>
        <w:t>3) Rekonstrukce mostku M05</w:t>
      </w:r>
    </w:p>
    <w:p w14:paraId="253E94A9" w14:textId="77777777" w:rsidR="00956054" w:rsidRPr="002852D3" w:rsidRDefault="00956054" w:rsidP="00956054">
      <w:pPr>
        <w:spacing w:after="0" w:line="280" w:lineRule="atLeast"/>
        <w:ind w:left="2127" w:hanging="1418"/>
        <w:rPr>
          <w:rFonts w:cs="Arial"/>
          <w:szCs w:val="22"/>
        </w:rPr>
      </w:pPr>
      <w:r w:rsidRPr="002852D3">
        <w:rPr>
          <w:rFonts w:cs="Arial"/>
          <w:szCs w:val="22"/>
        </w:rPr>
        <w:t xml:space="preserve">Pozemek </w:t>
      </w:r>
      <w:proofErr w:type="spellStart"/>
      <w:r w:rsidRPr="002852D3">
        <w:rPr>
          <w:rFonts w:cs="Arial"/>
          <w:szCs w:val="22"/>
        </w:rPr>
        <w:t>p.č</w:t>
      </w:r>
      <w:proofErr w:type="spellEnd"/>
      <w:r w:rsidRPr="002852D3">
        <w:rPr>
          <w:rFonts w:cs="Arial"/>
          <w:szCs w:val="22"/>
        </w:rPr>
        <w:t xml:space="preserve">. </w:t>
      </w:r>
      <w:proofErr w:type="gramStart"/>
      <w:r w:rsidRPr="002852D3">
        <w:rPr>
          <w:rFonts w:cs="Arial"/>
          <w:szCs w:val="22"/>
        </w:rPr>
        <w:t>2400  na</w:t>
      </w:r>
      <w:proofErr w:type="gramEnd"/>
      <w:r w:rsidRPr="002852D3">
        <w:rPr>
          <w:rFonts w:cs="Arial"/>
          <w:szCs w:val="22"/>
        </w:rPr>
        <w:t xml:space="preserve"> LV 32 (Povodí Ohře, státní podnik) – Lomnický potok</w:t>
      </w:r>
    </w:p>
    <w:p w14:paraId="6CD9D894" w14:textId="77777777" w:rsidR="00956054" w:rsidRPr="002852D3" w:rsidRDefault="00956054" w:rsidP="00956054">
      <w:pPr>
        <w:spacing w:after="0" w:line="280" w:lineRule="atLeast"/>
        <w:ind w:left="709"/>
        <w:rPr>
          <w:rFonts w:cs="Arial"/>
          <w:szCs w:val="22"/>
        </w:rPr>
      </w:pPr>
      <w:r w:rsidRPr="002852D3">
        <w:rPr>
          <w:rFonts w:cs="Arial"/>
          <w:szCs w:val="22"/>
        </w:rPr>
        <w:t>Délka mostu: 10,2 m</w:t>
      </w:r>
    </w:p>
    <w:p w14:paraId="7C56A703" w14:textId="77777777" w:rsidR="00956054" w:rsidRPr="002852D3" w:rsidRDefault="00956054" w:rsidP="00956054">
      <w:pPr>
        <w:spacing w:after="0" w:line="280" w:lineRule="atLeast"/>
        <w:ind w:left="709"/>
        <w:rPr>
          <w:rFonts w:cs="Arial"/>
          <w:szCs w:val="22"/>
        </w:rPr>
      </w:pPr>
      <w:r w:rsidRPr="002852D3">
        <w:rPr>
          <w:rFonts w:cs="Arial"/>
          <w:szCs w:val="22"/>
        </w:rPr>
        <w:t>Délka přemostění: 3,5 m</w:t>
      </w:r>
    </w:p>
    <w:p w14:paraId="23522B08" w14:textId="77777777" w:rsidR="00956054" w:rsidRPr="002852D3" w:rsidRDefault="00956054" w:rsidP="00956054">
      <w:pPr>
        <w:spacing w:after="0" w:line="280" w:lineRule="atLeast"/>
        <w:ind w:left="709"/>
        <w:rPr>
          <w:rFonts w:cs="Arial"/>
          <w:szCs w:val="22"/>
        </w:rPr>
      </w:pPr>
      <w:r w:rsidRPr="002852D3">
        <w:rPr>
          <w:rFonts w:cs="Arial"/>
          <w:szCs w:val="22"/>
        </w:rPr>
        <w:t>Šířka mostu: 8,10 m</w:t>
      </w:r>
    </w:p>
    <w:p w14:paraId="22499F02" w14:textId="77777777" w:rsidR="00956054" w:rsidRPr="002852D3" w:rsidRDefault="00956054" w:rsidP="00956054">
      <w:pPr>
        <w:spacing w:after="0" w:line="280" w:lineRule="atLeast"/>
        <w:ind w:left="709"/>
        <w:rPr>
          <w:rFonts w:cs="Arial"/>
          <w:szCs w:val="22"/>
        </w:rPr>
      </w:pPr>
      <w:r w:rsidRPr="002852D3">
        <w:rPr>
          <w:rFonts w:cs="Arial"/>
          <w:szCs w:val="22"/>
        </w:rPr>
        <w:t>Výška mostu nad terénem: 1,41 m</w:t>
      </w:r>
    </w:p>
    <w:p w14:paraId="7D65E60A" w14:textId="77777777" w:rsidR="00956054" w:rsidRPr="002852D3" w:rsidRDefault="00956054" w:rsidP="00956054">
      <w:pPr>
        <w:spacing w:after="0" w:line="280" w:lineRule="atLeast"/>
        <w:ind w:left="709"/>
        <w:rPr>
          <w:rFonts w:cs="Arial"/>
          <w:szCs w:val="22"/>
        </w:rPr>
      </w:pPr>
      <w:r w:rsidRPr="002852D3">
        <w:rPr>
          <w:rFonts w:cs="Arial"/>
          <w:szCs w:val="22"/>
        </w:rPr>
        <w:t>Stavební výška: 0,45 m</w:t>
      </w:r>
    </w:p>
    <w:p w14:paraId="4937176D" w14:textId="77777777" w:rsidR="00956054" w:rsidRPr="002852D3" w:rsidRDefault="00956054" w:rsidP="00956054">
      <w:pPr>
        <w:spacing w:after="0" w:line="280" w:lineRule="atLeast"/>
        <w:ind w:left="709"/>
        <w:rPr>
          <w:rFonts w:cs="Arial"/>
          <w:szCs w:val="22"/>
        </w:rPr>
      </w:pPr>
      <w:r w:rsidRPr="002852D3">
        <w:rPr>
          <w:rFonts w:cs="Arial"/>
          <w:szCs w:val="22"/>
        </w:rPr>
        <w:t>Plocha nosné konstrukce mostu: 33,75 m</w:t>
      </w:r>
      <w:r w:rsidRPr="002852D3">
        <w:rPr>
          <w:rFonts w:cs="Arial"/>
          <w:szCs w:val="22"/>
          <w:vertAlign w:val="superscript"/>
        </w:rPr>
        <w:t>2</w:t>
      </w:r>
    </w:p>
    <w:p w14:paraId="618A8BEF" w14:textId="77777777" w:rsidR="00956054" w:rsidRPr="002852D3" w:rsidRDefault="00956054" w:rsidP="00956054">
      <w:pPr>
        <w:spacing w:after="0" w:line="280" w:lineRule="atLeast"/>
        <w:ind w:left="709"/>
        <w:rPr>
          <w:rFonts w:cs="Arial"/>
          <w:szCs w:val="22"/>
        </w:rPr>
      </w:pPr>
      <w:r w:rsidRPr="002852D3">
        <w:rPr>
          <w:rFonts w:cs="Arial"/>
          <w:szCs w:val="22"/>
        </w:rPr>
        <w:t xml:space="preserve">Popis objektů: Založení mostu je navrženo plošné na železobetonových monolitických základových pasech, spodní stavbu </w:t>
      </w:r>
      <w:proofErr w:type="gramStart"/>
      <w:r w:rsidRPr="002852D3">
        <w:rPr>
          <w:rFonts w:cs="Arial"/>
          <w:szCs w:val="22"/>
        </w:rPr>
        <w:t>tvoří</w:t>
      </w:r>
      <w:proofErr w:type="gramEnd"/>
      <w:r w:rsidRPr="002852D3">
        <w:rPr>
          <w:rFonts w:cs="Arial"/>
          <w:szCs w:val="22"/>
        </w:rPr>
        <w:t xml:space="preserve"> železobetonové stojky </w:t>
      </w:r>
      <w:proofErr w:type="spellStart"/>
      <w:r w:rsidRPr="002852D3">
        <w:rPr>
          <w:rFonts w:cs="Arial"/>
          <w:szCs w:val="22"/>
        </w:rPr>
        <w:t>polorámu</w:t>
      </w:r>
      <w:proofErr w:type="spellEnd"/>
      <w:r w:rsidRPr="002852D3">
        <w:rPr>
          <w:rFonts w:cs="Arial"/>
          <w:szCs w:val="22"/>
        </w:rPr>
        <w:t xml:space="preserve">, křídla tvoří monolitická železobetonová opěrná zeď 500 mm a mostovku tvoří příčel 350 mm železobetonového monolitického </w:t>
      </w:r>
      <w:proofErr w:type="spellStart"/>
      <w:r w:rsidRPr="002852D3">
        <w:rPr>
          <w:rFonts w:cs="Arial"/>
          <w:szCs w:val="22"/>
        </w:rPr>
        <w:t>polorámu</w:t>
      </w:r>
      <w:proofErr w:type="spellEnd"/>
      <w:r w:rsidRPr="002852D3">
        <w:rPr>
          <w:rFonts w:cs="Arial"/>
          <w:szCs w:val="22"/>
        </w:rPr>
        <w:t xml:space="preserve"> z betonu C 30/37 XF1. Vozovka je s celoplošnou izolací, odvod vody drenážní trubkou, výtokovou římsou. Povrch asfaltobeton. Ocelové zábradlí.</w:t>
      </w:r>
    </w:p>
    <w:p w14:paraId="1B2739C7" w14:textId="77777777" w:rsidR="00956054" w:rsidRPr="002852D3" w:rsidRDefault="00956054" w:rsidP="00956054">
      <w:pPr>
        <w:pStyle w:val="l-L2"/>
        <w:ind w:left="357"/>
      </w:pPr>
      <w:r w:rsidRPr="002852D3">
        <w:t>(dále jen „stavba“).</w:t>
      </w:r>
    </w:p>
    <w:p w14:paraId="7A42F393" w14:textId="77777777" w:rsidR="00397219" w:rsidRPr="00397219" w:rsidRDefault="00397219" w:rsidP="00987BFF">
      <w:pPr>
        <w:pStyle w:val="l-L2"/>
        <w:rPr>
          <w:rStyle w:val="l-L2Char"/>
        </w:rPr>
      </w:pPr>
    </w:p>
    <w:p w14:paraId="41B2CF88" w14:textId="6A40D70F" w:rsidR="00531C6F" w:rsidRPr="00F32916" w:rsidRDefault="00B83F26" w:rsidP="00987BFF">
      <w:pPr>
        <w:pStyle w:val="l-L1"/>
      </w:pPr>
      <w:r w:rsidRPr="00D53952">
        <w:t>Specifikace díla</w:t>
      </w:r>
    </w:p>
    <w:p w14:paraId="6DC07CF4" w14:textId="7E1C0AE1" w:rsidR="00B83F26" w:rsidRPr="00654BF5" w:rsidRDefault="00B83F26" w:rsidP="00A30016">
      <w:pPr>
        <w:pStyle w:val="l-L2"/>
        <w:numPr>
          <w:ilvl w:val="0"/>
          <w:numId w:val="13"/>
        </w:numPr>
      </w:pPr>
      <w:r w:rsidRPr="00766EA4">
        <w:t xml:space="preserve">Výkonem </w:t>
      </w:r>
      <w:r w:rsidRPr="00654BF5">
        <w:t xml:space="preserve">dozoru </w:t>
      </w:r>
      <w:r w:rsidR="004E62D6">
        <w:t xml:space="preserve">projektanta </w:t>
      </w:r>
      <w:r w:rsidRPr="00654BF5">
        <w:t xml:space="preserve">se zabezpečuje dodržování základních parametrů díla v souladu se </w:t>
      </w:r>
      <w:r w:rsidR="00BE6B7F">
        <w:t>schválenou dokumentací pro provádění stavby</w:t>
      </w:r>
      <w:r w:rsidRPr="00654BF5">
        <w:t>, podmínkami smlouvy, doplňky a</w:t>
      </w:r>
      <w:r w:rsidR="00F32916">
        <w:t> </w:t>
      </w:r>
      <w:r w:rsidRPr="00654BF5">
        <w:t>změnami projektové dokumentace, které budou schváleny objednatelem.</w:t>
      </w:r>
    </w:p>
    <w:p w14:paraId="0C868F0F" w14:textId="4B0B6360" w:rsidR="00B83F26" w:rsidRPr="00654BF5" w:rsidRDefault="00B83F26" w:rsidP="00A30016">
      <w:pPr>
        <w:pStyle w:val="l-L2"/>
        <w:numPr>
          <w:ilvl w:val="0"/>
          <w:numId w:val="13"/>
        </w:numPr>
      </w:pPr>
      <w:r w:rsidRPr="00654BF5">
        <w:t>Zhotovitel se zavazuje, že dle ustanovení §</w:t>
      </w:r>
      <w:r w:rsidR="00554450">
        <w:t> </w:t>
      </w:r>
      <w:r w:rsidR="00AC32B2" w:rsidRPr="00654BF5">
        <w:t>161</w:t>
      </w:r>
      <w:r w:rsidRPr="00654BF5">
        <w:t xml:space="preserve"> odst.</w:t>
      </w:r>
      <w:r w:rsidR="00554450">
        <w:t> </w:t>
      </w:r>
      <w:r w:rsidR="00AC32B2" w:rsidRPr="00654BF5">
        <w:t>2</w:t>
      </w:r>
      <w:r w:rsidRPr="00654BF5">
        <w:t xml:space="preserve"> </w:t>
      </w:r>
      <w:r w:rsidR="00896610">
        <w:t>SZ</w:t>
      </w:r>
      <w:r w:rsidR="0035249E" w:rsidRPr="00654BF5">
        <w:t xml:space="preserve"> </w:t>
      </w:r>
      <w:r w:rsidRPr="00654BF5">
        <w:t>bude vykonávat dozor</w:t>
      </w:r>
      <w:r w:rsidR="004E62D6">
        <w:t xml:space="preserve"> projektanta</w:t>
      </w:r>
      <w:r w:rsidRPr="00654BF5">
        <w:t xml:space="preserve"> nad souladem zhotovované stavby specifikované v čl.</w:t>
      </w:r>
      <w:r w:rsidR="00554450">
        <w:t> </w:t>
      </w:r>
      <w:r w:rsidRPr="00654BF5">
        <w:t>I. odst.</w:t>
      </w:r>
      <w:r w:rsidR="00554450">
        <w:t> </w:t>
      </w:r>
      <w:r w:rsidR="007D089F" w:rsidRPr="00654BF5">
        <w:t>3</w:t>
      </w:r>
      <w:r w:rsidR="00994F06">
        <w:t>.</w:t>
      </w:r>
      <w:r w:rsidRPr="00654BF5">
        <w:t xml:space="preserve"> této smlouvy s ověřenou projektovou dokumentací po dobu výstavby</w:t>
      </w:r>
      <w:r w:rsidR="00015DD0" w:rsidRPr="00654BF5">
        <w:t xml:space="preserve"> (dále jen „plnění“)</w:t>
      </w:r>
      <w:r w:rsidRPr="00654BF5">
        <w:t xml:space="preserve">, a to zejména </w:t>
      </w:r>
      <w:r w:rsidR="00206E65" w:rsidRPr="00654BF5">
        <w:t xml:space="preserve">v rozsahu </w:t>
      </w:r>
      <w:r w:rsidRPr="00654BF5">
        <w:t>níže specifikovan</w:t>
      </w:r>
      <w:r w:rsidR="00206E65" w:rsidRPr="00654BF5">
        <w:t>ých činností</w:t>
      </w:r>
      <w:r w:rsidRPr="00654BF5">
        <w:t>:</w:t>
      </w:r>
    </w:p>
    <w:p w14:paraId="212AF404" w14:textId="4EB793EC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 xml:space="preserve">účastní se </w:t>
      </w:r>
      <w:r w:rsidR="002B171C" w:rsidRPr="00F32916">
        <w:t xml:space="preserve">protokolárního </w:t>
      </w:r>
      <w:r w:rsidRPr="00F32916">
        <w:t>předání staveniště zhotovitelem stavby specifikované v čl.</w:t>
      </w:r>
      <w:r w:rsidR="00D46FFD">
        <w:t> </w:t>
      </w:r>
      <w:r w:rsidRPr="00F32916">
        <w:t>I. odst.</w:t>
      </w:r>
      <w:r w:rsidR="00D46FFD">
        <w:t> </w:t>
      </w:r>
      <w:r w:rsidR="007D089F" w:rsidRPr="00F32916">
        <w:t>3</w:t>
      </w:r>
      <w:r w:rsidR="00994F06">
        <w:t>.</w:t>
      </w:r>
      <w:r w:rsidRPr="00F32916">
        <w:t xml:space="preserve"> této smlouvy, přičemž kontroluje, zda skutečnosti známé v době předání staveniště odpovídají předpokladům, podle kterých byla vypracována projektová dokumentace,</w:t>
      </w:r>
    </w:p>
    <w:p w14:paraId="07DFEE76" w14:textId="6916B3BA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dohlíží na soulad zhotovované stavby s projektovou dokumentací ověřenou ve stavebním řízení</w:t>
      </w:r>
      <w:r w:rsidR="00EB5A0B">
        <w:t xml:space="preserve"> (případně vodoprávním řízením)</w:t>
      </w:r>
      <w:r w:rsidRPr="00F32916">
        <w:t>, která je podkladem pro jeho činnost, sleduje a kontroluje postup výstavby ve vztahu k</w:t>
      </w:r>
      <w:r w:rsidR="002B171C" w:rsidRPr="00F32916">
        <w:t xml:space="preserve"> této </w:t>
      </w:r>
      <w:r w:rsidRPr="00F32916">
        <w:t>dokumentaci,</w:t>
      </w:r>
    </w:p>
    <w:p w14:paraId="34CBD067" w14:textId="77777777" w:rsidR="00EF1A5F" w:rsidRPr="00F32916" w:rsidRDefault="00EF1A5F" w:rsidP="00A30016">
      <w:pPr>
        <w:pStyle w:val="l-L2"/>
        <w:numPr>
          <w:ilvl w:val="1"/>
          <w:numId w:val="14"/>
        </w:numPr>
      </w:pPr>
      <w:r w:rsidRPr="00F32916">
        <w:t>sleduje postup výstavby z technického hlediska a z hlediska časového plánu výstavby</w:t>
      </w:r>
    </w:p>
    <w:p w14:paraId="0A06C75A" w14:textId="2C2DBA57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účastní se bezodkladně na výzvu objednatele či zhotovitele stavby</w:t>
      </w:r>
      <w:r w:rsidR="00EF1A5F" w:rsidRPr="00F32916">
        <w:t xml:space="preserve"> kontrolních dnů, zásadních zkoušek </w:t>
      </w:r>
      <w:r w:rsidRPr="00F32916">
        <w:t>a měření a vydává stanoviska k jejich výsledkům</w:t>
      </w:r>
      <w:r w:rsidR="001F43CE" w:rsidRPr="00F32916">
        <w:t>,</w:t>
      </w:r>
    </w:p>
    <w:p w14:paraId="411A898F" w14:textId="46E27F63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podává nutná vysvětlení k dokumentaci stavby, která je podkladem pro výkon autorského dozoru</w:t>
      </w:r>
      <w:r w:rsidR="00F7191E">
        <w:t xml:space="preserve"> projektanta</w:t>
      </w:r>
      <w:r w:rsidRPr="00F32916">
        <w:t xml:space="preserve"> a spolupracuje při odstraňování důsledků nedostatků, zjištěných v</w:t>
      </w:r>
      <w:r w:rsidR="005F7D43">
        <w:t> </w:t>
      </w:r>
      <w:r w:rsidRPr="00F32916">
        <w:t>této</w:t>
      </w:r>
      <w:r w:rsidR="005F7D43">
        <w:t> </w:t>
      </w:r>
      <w:r w:rsidRPr="00F32916">
        <w:t>dokumentaci,</w:t>
      </w:r>
    </w:p>
    <w:p w14:paraId="321BFFD4" w14:textId="18991988" w:rsidR="00EF1A5F" w:rsidRPr="00F32916" w:rsidRDefault="00EF1A5F" w:rsidP="00A30016">
      <w:pPr>
        <w:pStyle w:val="l-L2"/>
        <w:numPr>
          <w:ilvl w:val="1"/>
          <w:numId w:val="14"/>
        </w:numPr>
      </w:pPr>
      <w:r w:rsidRPr="00F32916">
        <w:t>podává vyjádření k požadavkům na větší množství výrobků a výkonů oproti projektové dokumentaci</w:t>
      </w:r>
      <w:r w:rsidR="002B171C" w:rsidRPr="00F32916">
        <w:t>,</w:t>
      </w:r>
    </w:p>
    <w:p w14:paraId="7732296D" w14:textId="77777777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navrhuje změny a odchylky ke zlepšení řešení projektu, vznikající ve fázi realizace projektu,</w:t>
      </w:r>
    </w:p>
    <w:p w14:paraId="5A6C2A64" w14:textId="71525705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posuzuje návrhy na změny stavby, na odchylky od schválené projektové dokumentace, které byly vyvolány vlivem okolností vzniklých v průběhu realizace díla,</w:t>
      </w:r>
    </w:p>
    <w:p w14:paraId="02A31879" w14:textId="77777777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lastRenderedPageBreak/>
        <w:t>na žádost objednatele provede posouzení a odsouhlasení případných návrhů zhotovitele stavby na změny schválené projektové dokumentace a na odchylky od ní, které byly vyvolány vlivem okolností vzniklých v průběhu realizace díla,</w:t>
      </w:r>
    </w:p>
    <w:p w14:paraId="68E8ED33" w14:textId="394F15FE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spolupracuje</w:t>
      </w:r>
      <w:r w:rsidR="00EF1A5F" w:rsidRPr="00F32916">
        <w:t xml:space="preserve"> </w:t>
      </w:r>
      <w:r w:rsidRPr="00F32916">
        <w:t>s ostatními partnery</w:t>
      </w:r>
      <w:r w:rsidR="00EF1A5F" w:rsidRPr="00F32916">
        <w:t xml:space="preserve"> </w:t>
      </w:r>
      <w:r w:rsidRPr="00F32916">
        <w:t>(objednatel, zhotovitel</w:t>
      </w:r>
      <w:r w:rsidR="00EF1A5F" w:rsidRPr="00F32916">
        <w:t xml:space="preserve"> </w:t>
      </w:r>
      <w:r w:rsidRPr="00F32916">
        <w:t>stavby,</w:t>
      </w:r>
      <w:r w:rsidR="00EF1A5F" w:rsidRPr="00F32916">
        <w:t xml:space="preserve"> </w:t>
      </w:r>
      <w:r w:rsidRPr="00F32916">
        <w:t xml:space="preserve">technický dozor </w:t>
      </w:r>
      <w:r w:rsidR="00EF1A5F" w:rsidRPr="00F32916">
        <w:t>stav</w:t>
      </w:r>
      <w:r w:rsidRPr="00F32916">
        <w:t>ebníka</w:t>
      </w:r>
      <w:r w:rsidR="00EF1A5F" w:rsidRPr="00F32916">
        <w:t>, koordinátor bezpečnosti práce</w:t>
      </w:r>
      <w:r w:rsidRPr="00F32916">
        <w:t>) při operativním řešení problémů vzniklých na</w:t>
      </w:r>
      <w:r w:rsidR="005F7D43">
        <w:t> </w:t>
      </w:r>
      <w:r w:rsidRPr="00F32916">
        <w:t>stavbě,</w:t>
      </w:r>
    </w:p>
    <w:p w14:paraId="4AE0A441" w14:textId="5392C936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 xml:space="preserve">sleduje dodržování podmínek pro stavbu tak, jak jsou určeny </w:t>
      </w:r>
      <w:r w:rsidR="002B171C" w:rsidRPr="00F32916">
        <w:t xml:space="preserve">ve vydaném </w:t>
      </w:r>
      <w:r w:rsidRPr="00F32916">
        <w:t xml:space="preserve">stavebním povolení </w:t>
      </w:r>
      <w:r w:rsidR="00F7191E">
        <w:t xml:space="preserve">(případně vodoprávním povolení) </w:t>
      </w:r>
      <w:r w:rsidRPr="00F32916">
        <w:t xml:space="preserve">a </w:t>
      </w:r>
      <w:r w:rsidR="002B171C" w:rsidRPr="00F32916">
        <w:t xml:space="preserve">ve </w:t>
      </w:r>
      <w:r w:rsidRPr="00F32916">
        <w:t>stanovis</w:t>
      </w:r>
      <w:r w:rsidR="002B171C" w:rsidRPr="00F32916">
        <w:t>cích</w:t>
      </w:r>
      <w:r w:rsidRPr="00F32916">
        <w:t xml:space="preserve"> dotčených účastníků výstavby, která jsou ve stavebním povolení stanovena jako závazná,</w:t>
      </w:r>
    </w:p>
    <w:p w14:paraId="270A2C94" w14:textId="1232E2F1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svá zjištění, požadavky a návrhy zaznamenává do stavebního deníku,</w:t>
      </w:r>
    </w:p>
    <w:p w14:paraId="4C5CF0DF" w14:textId="52C2F9C8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aktivně se zúčastní přebírání stavby objednatelem od zhotovitele stavby specifikované v čl.</w:t>
      </w:r>
      <w:r w:rsidR="00281042">
        <w:t> </w:t>
      </w:r>
      <w:r w:rsidRPr="00F32916">
        <w:t>I. odst.</w:t>
      </w:r>
      <w:r w:rsidR="00281042">
        <w:t> </w:t>
      </w:r>
      <w:r w:rsidR="007D089F" w:rsidRPr="00F32916">
        <w:t>3</w:t>
      </w:r>
      <w:r w:rsidR="00994F06">
        <w:t>.</w:t>
      </w:r>
      <w:r w:rsidRPr="00F32916">
        <w:t xml:space="preserve"> této smlouvy a při kontrole odstranění závad zjištěných při přebírání stavby objednatelem, přičemž aktivní účastí se rozumí kompletní samostatná prohlídka zhotovované stavby, upozorňování na vady a nedodělky stavby, vypracování zápisu o</w:t>
      </w:r>
      <w:r w:rsidR="005F7D43">
        <w:t> </w:t>
      </w:r>
      <w:r w:rsidRPr="00F32916">
        <w:t>nalezených vadách a nedodělcích a jeho předání objednateli,</w:t>
      </w:r>
    </w:p>
    <w:p w14:paraId="24918350" w14:textId="77777777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aktivně se účastní kolaudace a při kontrole odstranění kolaudačních závad,</w:t>
      </w:r>
    </w:p>
    <w:p w14:paraId="7D6767E7" w14:textId="77777777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odsouhlasení dokumentace skutečného provedení stavby,</w:t>
      </w:r>
    </w:p>
    <w:p w14:paraId="030A12F1" w14:textId="147632D8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po dokončení stavby zhotovitel vyhotoví zprávu o souladu zhotovené stavby s ověřenou projektovou dokumentací.</w:t>
      </w:r>
    </w:p>
    <w:p w14:paraId="05642B71" w14:textId="49A76442" w:rsidR="003C6AA3" w:rsidRDefault="00B83F26" w:rsidP="00A30016">
      <w:pPr>
        <w:pStyle w:val="l-L2"/>
        <w:numPr>
          <w:ilvl w:val="0"/>
          <w:numId w:val="13"/>
        </w:numPr>
      </w:pPr>
      <w:r w:rsidRPr="00D53952">
        <w:t xml:space="preserve">Datum a čas výkonu dozoru </w:t>
      </w:r>
      <w:r w:rsidR="004E62D6">
        <w:t xml:space="preserve">projektanta </w:t>
      </w:r>
      <w:r w:rsidRPr="00D53952">
        <w:t>na stavbě zaznamenává zhotovitel do stavebního deníku.</w:t>
      </w:r>
    </w:p>
    <w:p w14:paraId="07F13F8E" w14:textId="32FD1B92" w:rsidR="003C6AA3" w:rsidRDefault="00B83F26" w:rsidP="00A30016">
      <w:pPr>
        <w:pStyle w:val="l-L2"/>
        <w:numPr>
          <w:ilvl w:val="0"/>
          <w:numId w:val="13"/>
        </w:numPr>
      </w:pPr>
      <w:r w:rsidRPr="00D53952">
        <w:t xml:space="preserve">Součástí výkonu dozoru </w:t>
      </w:r>
      <w:r w:rsidR="004E62D6">
        <w:t xml:space="preserve">projektanta </w:t>
      </w:r>
      <w:r w:rsidR="003511BE" w:rsidRPr="00D53952">
        <w:t xml:space="preserve">je </w:t>
      </w:r>
      <w:r w:rsidRPr="00D53952">
        <w:t>provád</w:t>
      </w:r>
      <w:r w:rsidR="00B705C1" w:rsidRPr="00D53952">
        <w:t>ě</w:t>
      </w:r>
      <w:r w:rsidRPr="00D53952">
        <w:t xml:space="preserve">ní </w:t>
      </w:r>
      <w:r w:rsidR="002B171C">
        <w:t xml:space="preserve">nezbytných </w:t>
      </w:r>
      <w:r w:rsidR="00EC3260" w:rsidRPr="00D53952">
        <w:t xml:space="preserve">drobných </w:t>
      </w:r>
      <w:r w:rsidR="003511BE" w:rsidRPr="00D53952">
        <w:t xml:space="preserve">úprav </w:t>
      </w:r>
      <w:r w:rsidRPr="00D53952">
        <w:t>v projektové dokumentaci,</w:t>
      </w:r>
      <w:r w:rsidR="008A1D16" w:rsidRPr="00D53952">
        <w:t xml:space="preserve"> které musí být schváleny objednatelem.</w:t>
      </w:r>
    </w:p>
    <w:p w14:paraId="4289D21C" w14:textId="319245DE" w:rsidR="003C6AA3" w:rsidRDefault="00EC3260" w:rsidP="00A30016">
      <w:pPr>
        <w:pStyle w:val="l-L2"/>
        <w:numPr>
          <w:ilvl w:val="0"/>
          <w:numId w:val="13"/>
        </w:numPr>
      </w:pPr>
      <w:r w:rsidRPr="00D53952">
        <w:t xml:space="preserve">Součástí dozoru </w:t>
      </w:r>
      <w:r w:rsidR="00193E18">
        <w:t xml:space="preserve">projektanta </w:t>
      </w:r>
      <w:r w:rsidRPr="00D53952">
        <w:t xml:space="preserve">není zpracování </w:t>
      </w:r>
      <w:r w:rsidR="00B705C1" w:rsidRPr="00D53952">
        <w:t xml:space="preserve">změn </w:t>
      </w:r>
      <w:r w:rsidRPr="00D53952">
        <w:t>v projektové dokumentaci, které významným způsobem mění projektem navrhované řešení</w:t>
      </w:r>
      <w:r w:rsidR="008A1D16" w:rsidRPr="00D53952">
        <w:t>, případně podléhají schválení stavebním nebo jiným speciálním úřadem a které mohou být vyvolány různými vlivy, např.</w:t>
      </w:r>
      <w:r w:rsidR="002973F2">
        <w:t> </w:t>
      </w:r>
      <w:r w:rsidR="008A1D16" w:rsidRPr="00D53952">
        <w:t>podrobnějším poznáním přírodních podmínek, změnou předpokládaného postupu a</w:t>
      </w:r>
      <w:r w:rsidR="002973F2">
        <w:t> </w:t>
      </w:r>
      <w:r w:rsidR="008A1D16" w:rsidRPr="00D53952">
        <w:t xml:space="preserve">sledu prací na </w:t>
      </w:r>
      <w:r w:rsidR="002B171C">
        <w:t>stavbě</w:t>
      </w:r>
      <w:r w:rsidR="008A1D16" w:rsidRPr="00D53952">
        <w:t>, a řada dalších vlivů a změn, včetně zákonných předpisů.</w:t>
      </w:r>
      <w:bookmarkStart w:id="2" w:name="_Hlk16163141"/>
    </w:p>
    <w:p w14:paraId="5F732522" w14:textId="5654AAD6" w:rsidR="009C6A12" w:rsidRPr="009C6A12" w:rsidRDefault="009B4D42" w:rsidP="00A30016">
      <w:pPr>
        <w:pStyle w:val="l-L2"/>
        <w:numPr>
          <w:ilvl w:val="0"/>
          <w:numId w:val="13"/>
        </w:numPr>
      </w:pPr>
      <w:r w:rsidRPr="00397219">
        <w:t xml:space="preserve">V případě potřeby zpracuje </w:t>
      </w:r>
      <w:r w:rsidR="002E2A05" w:rsidRPr="00397219">
        <w:t xml:space="preserve">zhotovitel </w:t>
      </w:r>
      <w:r w:rsidRPr="00397219">
        <w:t>dodatečné informace v </w:t>
      </w:r>
      <w:r w:rsidRPr="00B835B3">
        <w:t>rámci výběrového řízení veřejné zakáz</w:t>
      </w:r>
      <w:r w:rsidR="002E2A05" w:rsidRPr="00B835B3">
        <w:t>ky</w:t>
      </w:r>
      <w:r w:rsidRPr="00B835B3">
        <w:t xml:space="preserve"> na realizaci stavb</w:t>
      </w:r>
      <w:r w:rsidR="002E2A05" w:rsidRPr="00B835B3">
        <w:t xml:space="preserve">y </w:t>
      </w:r>
      <w:r w:rsidR="00B835B3" w:rsidRPr="00B835B3">
        <w:rPr>
          <w:rStyle w:val="l-L2Char"/>
          <w:rFonts w:cs="Arial"/>
          <w:bCs/>
          <w:szCs w:val="22"/>
        </w:rPr>
        <w:t>R</w:t>
      </w:r>
      <w:r w:rsidR="00B835B3" w:rsidRPr="00B835B3">
        <w:rPr>
          <w:rFonts w:cs="Arial"/>
          <w:bCs/>
          <w:snapToGrid w:val="0"/>
          <w:szCs w:val="22"/>
        </w:rPr>
        <w:t>ekonstrukce DC01, M5, VN10 a VN11 v </w:t>
      </w:r>
      <w:proofErr w:type="spellStart"/>
      <w:r w:rsidR="00B835B3" w:rsidRPr="00B835B3">
        <w:rPr>
          <w:rFonts w:cs="Arial"/>
          <w:bCs/>
          <w:snapToGrid w:val="0"/>
          <w:szCs w:val="22"/>
        </w:rPr>
        <w:t>k.ú</w:t>
      </w:r>
      <w:proofErr w:type="spellEnd"/>
      <w:r w:rsidR="00B835B3" w:rsidRPr="00B835B3">
        <w:rPr>
          <w:rFonts w:cs="Arial"/>
          <w:bCs/>
          <w:snapToGrid w:val="0"/>
          <w:szCs w:val="22"/>
        </w:rPr>
        <w:t>. Dlouhá</w:t>
      </w:r>
      <w:r w:rsidR="00B835B3" w:rsidRPr="002852D3">
        <w:rPr>
          <w:rFonts w:cs="Arial"/>
          <w:bCs/>
          <w:snapToGrid w:val="0"/>
          <w:szCs w:val="22"/>
        </w:rPr>
        <w:t xml:space="preserve"> Lomnice</w:t>
      </w:r>
      <w:r w:rsidR="002E2A05" w:rsidRPr="00397219">
        <w:t>,</w:t>
      </w:r>
      <w:r w:rsidR="002E2A05" w:rsidRPr="00542A63">
        <w:t xml:space="preserve"> </w:t>
      </w:r>
      <w:r w:rsidR="002E2A05" w:rsidRPr="00397219">
        <w:t>dle projektové dokumentace</w:t>
      </w:r>
      <w:r w:rsidR="00542A63" w:rsidRPr="00397219">
        <w:t>.</w:t>
      </w:r>
      <w:bookmarkEnd w:id="2"/>
    </w:p>
    <w:p w14:paraId="2C7FBAF8" w14:textId="77777777" w:rsidR="009C6A12" w:rsidRDefault="009C6A12" w:rsidP="009C6A12">
      <w:pPr>
        <w:pStyle w:val="l-L2"/>
      </w:pPr>
    </w:p>
    <w:p w14:paraId="395FEFEA" w14:textId="0E67C728" w:rsidR="00B83F26" w:rsidRPr="00D53952" w:rsidRDefault="00B83F26" w:rsidP="009C6A12">
      <w:pPr>
        <w:pStyle w:val="l-L1"/>
      </w:pPr>
      <w:r w:rsidRPr="00D53952">
        <w:t>Doba plnění</w:t>
      </w:r>
    </w:p>
    <w:p w14:paraId="49FFD507" w14:textId="0B808E68" w:rsidR="00015DD0" w:rsidRDefault="00B83F26" w:rsidP="00A30016">
      <w:pPr>
        <w:pStyle w:val="l-L2"/>
        <w:numPr>
          <w:ilvl w:val="0"/>
          <w:numId w:val="12"/>
        </w:numPr>
      </w:pPr>
      <w:r w:rsidRPr="00BB4EEA">
        <w:t>Zhotovitel bude provádět činnosti podle čl.</w:t>
      </w:r>
      <w:r w:rsidR="006642C9">
        <w:t> </w:t>
      </w:r>
      <w:r w:rsidRPr="00BB4EEA">
        <w:t>II. této smlouvy ode dne</w:t>
      </w:r>
      <w:r w:rsidR="00DC05CC">
        <w:t xml:space="preserve"> </w:t>
      </w:r>
      <w:r w:rsidR="00CD7362">
        <w:t xml:space="preserve">účinnosti </w:t>
      </w:r>
      <w:r w:rsidR="00DC05CC">
        <w:t>této smlouvy</w:t>
      </w:r>
      <w:r w:rsidRPr="00BB4EEA">
        <w:t xml:space="preserve"> do</w:t>
      </w:r>
      <w:r w:rsidR="002973F2">
        <w:t> </w:t>
      </w:r>
      <w:r w:rsidRPr="00BB4EEA">
        <w:t xml:space="preserve">vydání kolaudačního </w:t>
      </w:r>
      <w:r w:rsidR="00FD564D">
        <w:t>rozhodnutí</w:t>
      </w:r>
      <w:r w:rsidR="00FD564D" w:rsidRPr="00BB4EEA">
        <w:t xml:space="preserve"> </w:t>
      </w:r>
      <w:r w:rsidR="00270033" w:rsidRPr="00BB4EEA">
        <w:t>na stavbu</w:t>
      </w:r>
      <w:r w:rsidR="00716FB1">
        <w:t xml:space="preserve">. V </w:t>
      </w:r>
      <w:r w:rsidR="00EB5E26" w:rsidRPr="00BB4EEA">
        <w:t>případ</w:t>
      </w:r>
      <w:r w:rsidR="00EB5E26">
        <w:t>ě</w:t>
      </w:r>
      <w:r w:rsidR="00A00B86" w:rsidRPr="00BB4EEA">
        <w:t xml:space="preserve"> </w:t>
      </w:r>
      <w:r w:rsidR="00716FB1">
        <w:t xml:space="preserve">zjištění vad nebo nedodělku při předání stavby nebo při její kolaudaci nebo v rámci záruční doby bude zhotovitel provádět tyto činnosti </w:t>
      </w:r>
      <w:r w:rsidR="0085556B" w:rsidRPr="00BB4EEA">
        <w:t xml:space="preserve">až do doby </w:t>
      </w:r>
      <w:r w:rsidRPr="00BB4EEA">
        <w:t>odstranění</w:t>
      </w:r>
      <w:r w:rsidR="00716FB1">
        <w:t xml:space="preserve"> těchto</w:t>
      </w:r>
      <w:r w:rsidRPr="00BB4EEA">
        <w:t xml:space="preserve"> vad</w:t>
      </w:r>
      <w:r w:rsidR="00270033" w:rsidRPr="00BB4EEA">
        <w:t xml:space="preserve"> </w:t>
      </w:r>
      <w:r w:rsidR="00716FB1">
        <w:t>či</w:t>
      </w:r>
      <w:r w:rsidR="002973F2">
        <w:t> </w:t>
      </w:r>
      <w:r w:rsidRPr="00BB4EEA">
        <w:t>nedodělků</w:t>
      </w:r>
      <w:r w:rsidR="00716FB1">
        <w:t>.</w:t>
      </w:r>
      <w:r w:rsidRPr="00BB4EEA">
        <w:t xml:space="preserve"> </w:t>
      </w:r>
    </w:p>
    <w:p w14:paraId="24E02C36" w14:textId="77777777" w:rsidR="009C6A12" w:rsidRDefault="009C6A12" w:rsidP="009C6A12">
      <w:pPr>
        <w:pStyle w:val="l-L2"/>
      </w:pPr>
    </w:p>
    <w:p w14:paraId="6611D943" w14:textId="492BBC2D" w:rsidR="00015DD0" w:rsidRDefault="002F28FF" w:rsidP="009C6A12">
      <w:pPr>
        <w:pStyle w:val="l-L1"/>
      </w:pPr>
      <w:r>
        <w:t>Místo</w:t>
      </w:r>
      <w:r w:rsidR="00015DD0" w:rsidRPr="00D53952">
        <w:t xml:space="preserve"> plnění</w:t>
      </w:r>
    </w:p>
    <w:p w14:paraId="55C8C0D2" w14:textId="5706EA0E" w:rsidR="00015DD0" w:rsidRDefault="00015DD0" w:rsidP="00A30016">
      <w:pPr>
        <w:pStyle w:val="l-L2"/>
        <w:numPr>
          <w:ilvl w:val="0"/>
          <w:numId w:val="11"/>
        </w:numPr>
      </w:pPr>
      <w:r w:rsidRPr="009C6A12">
        <w:t>Místem poskytování plnění bude především místo stavby specifikované v čl.</w:t>
      </w:r>
      <w:r w:rsidR="002973F2">
        <w:t> </w:t>
      </w:r>
      <w:r w:rsidRPr="009C6A12">
        <w:t>I</w:t>
      </w:r>
      <w:r w:rsidR="00CC07D3">
        <w:t>.</w:t>
      </w:r>
      <w:r w:rsidRPr="009C6A12">
        <w:t xml:space="preserve"> odst.</w:t>
      </w:r>
      <w:r w:rsidR="002973F2">
        <w:t> </w:t>
      </w:r>
      <w:r w:rsidR="007D089F" w:rsidRPr="009C6A12">
        <w:t>3</w:t>
      </w:r>
      <w:r w:rsidR="00CC07D3">
        <w:t>.</w:t>
      </w:r>
      <w:r w:rsidRPr="009C6A12">
        <w:t xml:space="preserve"> této</w:t>
      </w:r>
      <w:r w:rsidR="002973F2">
        <w:t> </w:t>
      </w:r>
      <w:r w:rsidRPr="009C6A12">
        <w:t>smlouvy</w:t>
      </w:r>
      <w:r w:rsidR="000E6467" w:rsidRPr="009C6A12">
        <w:t xml:space="preserve"> a případně sídlo objednatele či zhotovitele dle určení objednatele. Písemnosti související s plněním vyhotovené zhotovitelem budou objednateli předávány dle dohody, jinak v sídle objednatele.</w:t>
      </w:r>
    </w:p>
    <w:p w14:paraId="2EFDEBE2" w14:textId="77777777" w:rsidR="009C6A12" w:rsidRPr="009C6A12" w:rsidRDefault="009C6A12" w:rsidP="009C6A12">
      <w:pPr>
        <w:pStyle w:val="l-L2"/>
      </w:pPr>
    </w:p>
    <w:p w14:paraId="1C8ACEE4" w14:textId="771065F2" w:rsidR="00B83F26" w:rsidRDefault="00B83F26" w:rsidP="009C6A12">
      <w:pPr>
        <w:pStyle w:val="l-L1"/>
      </w:pPr>
      <w:r w:rsidRPr="00D53952">
        <w:lastRenderedPageBreak/>
        <w:t>Práva a povinnosti</w:t>
      </w:r>
    </w:p>
    <w:p w14:paraId="1D82CE56" w14:textId="77777777" w:rsidR="00987BFF" w:rsidRPr="00395879" w:rsidRDefault="00B83F26" w:rsidP="00A30016">
      <w:pPr>
        <w:pStyle w:val="l-L2"/>
        <w:numPr>
          <w:ilvl w:val="0"/>
          <w:numId w:val="8"/>
        </w:numPr>
      </w:pPr>
      <w:r w:rsidRPr="00395879">
        <w:t>Povinnosti objednatele:</w:t>
      </w:r>
    </w:p>
    <w:p w14:paraId="0A0FED5E" w14:textId="4EAE8B76" w:rsidR="00B83F26" w:rsidRPr="00987BFF" w:rsidRDefault="00B83F26" w:rsidP="00A30016">
      <w:pPr>
        <w:pStyle w:val="l-L2"/>
        <w:numPr>
          <w:ilvl w:val="1"/>
          <w:numId w:val="10"/>
        </w:numPr>
      </w:pPr>
      <w:r w:rsidRPr="00987BFF">
        <w:rPr>
          <w:rFonts w:cs="Arial"/>
          <w:szCs w:val="22"/>
        </w:rPr>
        <w:t>Přizvat zhotovitele ke všem rozhodujícím jednáním souvisejícím s předmětem této</w:t>
      </w:r>
      <w:r w:rsidR="001B4E11">
        <w:rPr>
          <w:rFonts w:cs="Arial"/>
          <w:szCs w:val="22"/>
        </w:rPr>
        <w:t> </w:t>
      </w:r>
      <w:r w:rsidRPr="00987BFF">
        <w:rPr>
          <w:rFonts w:cs="Arial"/>
          <w:szCs w:val="22"/>
        </w:rPr>
        <w:t xml:space="preserve">smlouvy, resp. předat </w:t>
      </w:r>
      <w:r w:rsidR="009C0CA5" w:rsidRPr="00987BFF">
        <w:rPr>
          <w:rFonts w:cs="Arial"/>
          <w:szCs w:val="22"/>
        </w:rPr>
        <w:t xml:space="preserve">mu </w:t>
      </w:r>
      <w:r w:rsidRPr="00987BFF">
        <w:rPr>
          <w:rFonts w:cs="Arial"/>
          <w:szCs w:val="22"/>
        </w:rPr>
        <w:t>neprodleně zápis nebo informace z jednání, kterých</w:t>
      </w:r>
      <w:r w:rsidR="009F145A" w:rsidRPr="00987BFF">
        <w:rPr>
          <w:rFonts w:cs="Arial"/>
          <w:szCs w:val="22"/>
        </w:rPr>
        <w:t xml:space="preserve"> </w:t>
      </w:r>
      <w:r w:rsidRPr="00987BFF">
        <w:rPr>
          <w:rFonts w:cs="Arial"/>
          <w:szCs w:val="22"/>
        </w:rPr>
        <w:t>se zhotovitel nezúčastnil.</w:t>
      </w:r>
    </w:p>
    <w:p w14:paraId="2011E03B" w14:textId="2CB719E6" w:rsidR="00B83F26" w:rsidRPr="00D53952" w:rsidRDefault="00B83F26" w:rsidP="00A30016">
      <w:pPr>
        <w:pStyle w:val="l-L2"/>
        <w:numPr>
          <w:ilvl w:val="1"/>
          <w:numId w:val="10"/>
        </w:numPr>
        <w:rPr>
          <w:rFonts w:cs="Arial"/>
          <w:szCs w:val="22"/>
        </w:rPr>
      </w:pPr>
      <w:r w:rsidRPr="00D53952">
        <w:rPr>
          <w:rFonts w:cs="Arial"/>
          <w:szCs w:val="22"/>
        </w:rPr>
        <w:t>Zabezpečit provedení prací a činností, které nemohou být přeneseny</w:t>
      </w:r>
      <w:r w:rsidR="009F145A" w:rsidRPr="00D53952">
        <w:rPr>
          <w:rFonts w:cs="Arial"/>
          <w:szCs w:val="22"/>
        </w:rPr>
        <w:t xml:space="preserve"> </w:t>
      </w:r>
      <w:r w:rsidRPr="00D53952">
        <w:rPr>
          <w:rFonts w:cs="Arial"/>
          <w:szCs w:val="22"/>
        </w:rPr>
        <w:t>na zhotovitele pro</w:t>
      </w:r>
      <w:r w:rsidR="002973F2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nezastupitelnost objednatele.</w:t>
      </w:r>
    </w:p>
    <w:p w14:paraId="2A1A2D32" w14:textId="298A0F39" w:rsidR="0097470B" w:rsidRDefault="007214D7" w:rsidP="00A30016">
      <w:pPr>
        <w:pStyle w:val="l-L2"/>
        <w:numPr>
          <w:ilvl w:val="1"/>
          <w:numId w:val="10"/>
        </w:numPr>
        <w:rPr>
          <w:rFonts w:cs="Arial"/>
          <w:szCs w:val="22"/>
        </w:rPr>
      </w:pPr>
      <w:r>
        <w:rPr>
          <w:rFonts w:cs="Arial"/>
          <w:szCs w:val="22"/>
        </w:rPr>
        <w:t>V</w:t>
      </w:r>
      <w:r w:rsidR="00D93301" w:rsidRPr="00D53952">
        <w:rPr>
          <w:rFonts w:cs="Arial"/>
          <w:szCs w:val="22"/>
        </w:rPr>
        <w:t> nezbytném rozsahu poskytnout zhotoviteli součinnost pro</w:t>
      </w:r>
      <w:r w:rsidR="002973F2">
        <w:rPr>
          <w:rFonts w:cs="Arial"/>
          <w:szCs w:val="22"/>
        </w:rPr>
        <w:t> </w:t>
      </w:r>
      <w:r w:rsidR="00D93301" w:rsidRPr="00D53952">
        <w:rPr>
          <w:rFonts w:cs="Arial"/>
          <w:szCs w:val="22"/>
        </w:rPr>
        <w:t>poskytování plnění, zejména se zavazuje poskytnout zhotoviteli na vyžádání podklady nezbytné pro poskytování plnění.</w:t>
      </w:r>
    </w:p>
    <w:p w14:paraId="5894A65F" w14:textId="219E7E28" w:rsidR="00987BFF" w:rsidRDefault="00D93301" w:rsidP="00A30016">
      <w:pPr>
        <w:pStyle w:val="l-L2"/>
        <w:numPr>
          <w:ilvl w:val="1"/>
          <w:numId w:val="10"/>
        </w:numPr>
        <w:rPr>
          <w:rFonts w:cs="Arial"/>
          <w:szCs w:val="22"/>
        </w:rPr>
      </w:pPr>
      <w:r w:rsidRPr="0097470B">
        <w:rPr>
          <w:rFonts w:cs="Arial"/>
          <w:szCs w:val="22"/>
        </w:rPr>
        <w:t>Objednatel je oprávněn kontrolovat, zda je plnění poskytováno</w:t>
      </w:r>
      <w:r w:rsidR="009F145A" w:rsidRPr="0097470B">
        <w:rPr>
          <w:rFonts w:cs="Arial"/>
          <w:szCs w:val="22"/>
        </w:rPr>
        <w:t xml:space="preserve"> </w:t>
      </w:r>
      <w:r w:rsidRPr="0097470B">
        <w:rPr>
          <w:rFonts w:cs="Arial"/>
          <w:szCs w:val="22"/>
        </w:rPr>
        <w:t>zhotovitelem řádně a</w:t>
      </w:r>
      <w:r w:rsidR="00987BFF">
        <w:rPr>
          <w:rFonts w:cs="Arial"/>
          <w:szCs w:val="22"/>
        </w:rPr>
        <w:t> </w:t>
      </w:r>
      <w:r w:rsidRPr="0097470B">
        <w:rPr>
          <w:rFonts w:cs="Arial"/>
          <w:szCs w:val="22"/>
        </w:rPr>
        <w:t>v souladu s touto smlouvou, jeho pokyny a příslušnými právními předpisy.</w:t>
      </w:r>
    </w:p>
    <w:p w14:paraId="4FE9A23C" w14:textId="68CB414A" w:rsidR="00531C6F" w:rsidRPr="00395879" w:rsidRDefault="00B83F26" w:rsidP="00A30016">
      <w:pPr>
        <w:pStyle w:val="l-L2"/>
        <w:numPr>
          <w:ilvl w:val="0"/>
          <w:numId w:val="8"/>
        </w:numPr>
        <w:rPr>
          <w:rFonts w:cs="Arial"/>
          <w:szCs w:val="22"/>
        </w:rPr>
      </w:pPr>
      <w:r w:rsidRPr="00395879">
        <w:rPr>
          <w:rFonts w:cs="Arial"/>
          <w:szCs w:val="22"/>
        </w:rPr>
        <w:t>Povinnosti zhotovitele:</w:t>
      </w:r>
    </w:p>
    <w:p w14:paraId="5101C784" w14:textId="5EAAFA55" w:rsidR="00B83F26" w:rsidRPr="00D53952" w:rsidRDefault="00B83F26" w:rsidP="00A30016">
      <w:pPr>
        <w:pStyle w:val="l-L2"/>
        <w:numPr>
          <w:ilvl w:val="1"/>
          <w:numId w:val="9"/>
        </w:numPr>
        <w:rPr>
          <w:rFonts w:cs="Arial"/>
          <w:szCs w:val="22"/>
        </w:rPr>
      </w:pPr>
      <w:r w:rsidRPr="00D53952">
        <w:rPr>
          <w:rFonts w:cs="Arial"/>
          <w:szCs w:val="22"/>
        </w:rPr>
        <w:t xml:space="preserve">Zabezpečovat činnosti, které jsou předmětem této smlouvy, s náležitou </w:t>
      </w:r>
      <w:r w:rsidR="009C0CA5">
        <w:rPr>
          <w:rFonts w:cs="Arial"/>
          <w:szCs w:val="22"/>
        </w:rPr>
        <w:t>péčí</w:t>
      </w:r>
      <w:r w:rsidRPr="00D53952">
        <w:rPr>
          <w:rFonts w:cs="Arial"/>
          <w:szCs w:val="22"/>
        </w:rPr>
        <w:t>, odborností a v souladu se zájmy objednatele.</w:t>
      </w:r>
    </w:p>
    <w:p w14:paraId="4C4FE620" w14:textId="16EA6E94" w:rsidR="00B83F26" w:rsidRPr="00D53952" w:rsidRDefault="00B83F26" w:rsidP="00A30016">
      <w:pPr>
        <w:pStyle w:val="l-L2"/>
        <w:numPr>
          <w:ilvl w:val="1"/>
          <w:numId w:val="9"/>
        </w:numPr>
        <w:rPr>
          <w:rFonts w:cs="Arial"/>
          <w:szCs w:val="22"/>
        </w:rPr>
      </w:pPr>
      <w:r w:rsidRPr="00D53952">
        <w:rPr>
          <w:rFonts w:cs="Arial"/>
          <w:szCs w:val="22"/>
        </w:rPr>
        <w:t>Dodržovat všeobecně závazné předpisy, technické normy, dohody vyplývající z</w:t>
      </w:r>
      <w:r w:rsidR="002973F2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této</w:t>
      </w:r>
      <w:r w:rsidR="002973F2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smlouvy, pokyny objednatele a vyjádření orgánů státní správy.</w:t>
      </w:r>
    </w:p>
    <w:p w14:paraId="303C24EE" w14:textId="2C1A3281" w:rsidR="00B83F26" w:rsidRPr="00D53952" w:rsidRDefault="00B83F26" w:rsidP="00A30016">
      <w:pPr>
        <w:pStyle w:val="l-L2"/>
        <w:numPr>
          <w:ilvl w:val="1"/>
          <w:numId w:val="9"/>
        </w:numPr>
        <w:rPr>
          <w:rFonts w:cs="Arial"/>
          <w:szCs w:val="22"/>
        </w:rPr>
      </w:pPr>
      <w:r w:rsidRPr="00D53952">
        <w:rPr>
          <w:rFonts w:cs="Arial"/>
          <w:szCs w:val="22"/>
        </w:rPr>
        <w:t>Upozornit písemně a bez zbytečného odkladu objednatele na zřejmou nevhodnost jeho pokynů, které by mohly mít za následek vznik škody. V případě,</w:t>
      </w:r>
      <w:r w:rsidR="002213F5" w:rsidRPr="00D53952">
        <w:rPr>
          <w:rFonts w:cs="Arial"/>
          <w:szCs w:val="22"/>
        </w:rPr>
        <w:t xml:space="preserve"> </w:t>
      </w:r>
      <w:r w:rsidRPr="00D53952">
        <w:rPr>
          <w:rFonts w:cs="Arial"/>
          <w:szCs w:val="22"/>
        </w:rPr>
        <w:t>že objednatel i</w:t>
      </w:r>
      <w:r w:rsidR="002973F2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přes</w:t>
      </w:r>
      <w:r w:rsidR="002973F2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upozornění zhotovitele na splnění pokynů trvá, neodpovídá zhotovitel za škodu takto vzniklou. Pro případ, že zhotovitel nesplní shora uvedenou povinnost, je povinen uhradit objednateli škodu, která mu tímto jednáním vznikla.</w:t>
      </w:r>
    </w:p>
    <w:p w14:paraId="0E6186FF" w14:textId="0104FE9C" w:rsidR="00B83F26" w:rsidRPr="00D53952" w:rsidRDefault="00B83F26" w:rsidP="00A30016">
      <w:pPr>
        <w:pStyle w:val="l-L2"/>
        <w:numPr>
          <w:ilvl w:val="1"/>
          <w:numId w:val="9"/>
        </w:numPr>
        <w:rPr>
          <w:rFonts w:cs="Arial"/>
          <w:szCs w:val="22"/>
        </w:rPr>
      </w:pPr>
      <w:r w:rsidRPr="00D53952">
        <w:rPr>
          <w:rFonts w:cs="Arial"/>
          <w:szCs w:val="22"/>
        </w:rPr>
        <w:t>Pravidelně informovat objednatele o všech jednáních, ke kterým jím byl zmocněn dle</w:t>
      </w:r>
      <w:r w:rsidR="001B4E11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této</w:t>
      </w:r>
      <w:r w:rsidR="001B4E11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smlouvy.</w:t>
      </w:r>
    </w:p>
    <w:p w14:paraId="4E849185" w14:textId="3AB1FE5E" w:rsidR="006B6D36" w:rsidRPr="00F16EEB" w:rsidRDefault="007214D7" w:rsidP="00A30016">
      <w:pPr>
        <w:pStyle w:val="l-L2"/>
        <w:numPr>
          <w:ilvl w:val="1"/>
          <w:numId w:val="9"/>
        </w:numPr>
      </w:pPr>
      <w:r>
        <w:rPr>
          <w:rFonts w:cs="Arial"/>
          <w:szCs w:val="22"/>
        </w:rPr>
        <w:t>V</w:t>
      </w:r>
      <w:r w:rsidR="00EF7CB8" w:rsidRPr="00D53952">
        <w:rPr>
          <w:rFonts w:cs="Arial"/>
          <w:szCs w:val="22"/>
        </w:rPr>
        <w:t>čas oznámit objednateli všechny okolnosti, které zjistil při</w:t>
      </w:r>
      <w:r w:rsidR="002973F2">
        <w:rPr>
          <w:rFonts w:cs="Arial"/>
          <w:szCs w:val="22"/>
        </w:rPr>
        <w:t> </w:t>
      </w:r>
      <w:r w:rsidR="00EF7CB8" w:rsidRPr="00D53952">
        <w:rPr>
          <w:rFonts w:cs="Arial"/>
          <w:szCs w:val="22"/>
        </w:rPr>
        <w:t>poskytování plnění a jež mohou mít vliv na změnu pokynů objednatele.</w:t>
      </w:r>
    </w:p>
    <w:p w14:paraId="4ECF6D96" w14:textId="376EE29A" w:rsidR="006B6D36" w:rsidRPr="00D53952" w:rsidRDefault="007214D7" w:rsidP="00A30016">
      <w:pPr>
        <w:pStyle w:val="l-L2"/>
        <w:numPr>
          <w:ilvl w:val="1"/>
          <w:numId w:val="9"/>
        </w:numPr>
        <w:rPr>
          <w:rFonts w:cs="Arial"/>
          <w:szCs w:val="22"/>
        </w:rPr>
      </w:pPr>
      <w:r>
        <w:t>P</w:t>
      </w:r>
      <w:r w:rsidR="00B1283A">
        <w:t>oskytovat plnění</w:t>
      </w:r>
      <w:r w:rsidR="009C0CA5" w:rsidRPr="00F16EEB">
        <w:t xml:space="preserve"> </w:t>
      </w:r>
      <w:r w:rsidR="006B6D36" w:rsidRPr="00F16EEB">
        <w:t>výhradně svými pověřenými zaměstnanci s dostatečnou kvalifikací.</w:t>
      </w:r>
    </w:p>
    <w:p w14:paraId="4458B08E" w14:textId="79300A5B" w:rsidR="00653A09" w:rsidRPr="00F16EEB" w:rsidRDefault="00EF7CB8" w:rsidP="00A30016">
      <w:pPr>
        <w:pStyle w:val="l-L2"/>
        <w:numPr>
          <w:ilvl w:val="1"/>
          <w:numId w:val="9"/>
        </w:numPr>
        <w:rPr>
          <w:rFonts w:cs="Arial"/>
          <w:szCs w:val="22"/>
        </w:rPr>
      </w:pPr>
      <w:r w:rsidRPr="00D53952">
        <w:rPr>
          <w:rFonts w:cs="Arial"/>
          <w:szCs w:val="22"/>
        </w:rPr>
        <w:t xml:space="preserve">Zhotovitel prohlašuje, že odpovídá objednateli za škodu na věcech, které od objednatele protokolárně převzal pro účely poskytnutí plnění, a zavazuje se spolu se zakončením plnění dle této smlouvy předložit objednateli vyúčtování a vrátit mu veškeré takové věci, které při poskytování </w:t>
      </w:r>
      <w:r w:rsidR="00D178FE">
        <w:rPr>
          <w:rFonts w:cs="Arial"/>
          <w:szCs w:val="22"/>
        </w:rPr>
        <w:t>plnění</w:t>
      </w:r>
      <w:r w:rsidR="00D178FE" w:rsidRPr="00D53952">
        <w:rPr>
          <w:rFonts w:cs="Arial"/>
          <w:szCs w:val="22"/>
        </w:rPr>
        <w:t xml:space="preserve"> </w:t>
      </w:r>
      <w:r w:rsidRPr="00D53952">
        <w:rPr>
          <w:rFonts w:cs="Arial"/>
          <w:szCs w:val="22"/>
        </w:rPr>
        <w:t>nezpracoval.</w:t>
      </w:r>
    </w:p>
    <w:p w14:paraId="793503CD" w14:textId="1BF1CFEE" w:rsidR="00653A09" w:rsidRDefault="00DC05CC" w:rsidP="00A30016">
      <w:pPr>
        <w:pStyle w:val="l-L2"/>
        <w:numPr>
          <w:ilvl w:val="1"/>
          <w:numId w:val="9"/>
        </w:numPr>
        <w:rPr>
          <w:rFonts w:cs="Arial"/>
        </w:rPr>
      </w:pPr>
      <w:r w:rsidRPr="5170DEB6">
        <w:rPr>
          <w:rFonts w:cs="Arial"/>
        </w:rPr>
        <w:t>Spolupr</w:t>
      </w:r>
      <w:r w:rsidR="008C61B3" w:rsidRPr="5170DEB6">
        <w:rPr>
          <w:rFonts w:cs="Arial"/>
        </w:rPr>
        <w:t>a</w:t>
      </w:r>
      <w:r w:rsidRPr="5170DEB6">
        <w:rPr>
          <w:rFonts w:cs="Arial"/>
        </w:rPr>
        <w:t>c</w:t>
      </w:r>
      <w:r w:rsidR="008C61B3" w:rsidRPr="5170DEB6">
        <w:rPr>
          <w:rFonts w:cs="Arial"/>
        </w:rPr>
        <w:t>ovat</w:t>
      </w:r>
      <w:r w:rsidRPr="5170DEB6">
        <w:rPr>
          <w:rFonts w:cs="Arial"/>
        </w:rPr>
        <w:t xml:space="preserve"> </w:t>
      </w:r>
      <w:r w:rsidR="00653A09" w:rsidRPr="5170DEB6">
        <w:rPr>
          <w:rFonts w:cs="Arial"/>
        </w:rPr>
        <w:t xml:space="preserve">při </w:t>
      </w:r>
      <w:r w:rsidR="5765A8C5" w:rsidRPr="008517A3">
        <w:rPr>
          <w:rFonts w:cs="Arial"/>
        </w:rPr>
        <w:t>výběrovém</w:t>
      </w:r>
      <w:r w:rsidR="00653A09" w:rsidRPr="00B835B3">
        <w:rPr>
          <w:rFonts w:cs="Arial"/>
        </w:rPr>
        <w:t xml:space="preserve"> řízení</w:t>
      </w:r>
      <w:r w:rsidR="00653A09" w:rsidRPr="5170DEB6">
        <w:rPr>
          <w:rFonts w:cs="Arial"/>
        </w:rPr>
        <w:t xml:space="preserve"> na realizaci stavby.</w:t>
      </w:r>
    </w:p>
    <w:p w14:paraId="1EE1C9F0" w14:textId="77777777" w:rsidR="00F16EEB" w:rsidRPr="00F16EEB" w:rsidRDefault="00F16EEB" w:rsidP="002973F2">
      <w:pPr>
        <w:pStyle w:val="l-L2"/>
        <w:rPr>
          <w:rFonts w:cs="Arial"/>
          <w:szCs w:val="22"/>
        </w:rPr>
      </w:pPr>
    </w:p>
    <w:p w14:paraId="4B3E1838" w14:textId="77777777" w:rsidR="009C0CA5" w:rsidRPr="00BB4EEA" w:rsidRDefault="009C0CA5" w:rsidP="00F16EEB">
      <w:pPr>
        <w:pStyle w:val="l-L1"/>
      </w:pPr>
      <w:r w:rsidRPr="00BB4EEA">
        <w:t>Pojištění zhotovitele</w:t>
      </w:r>
    </w:p>
    <w:p w14:paraId="592197FF" w14:textId="4090DE9A" w:rsidR="008517A3" w:rsidRPr="008517A3" w:rsidRDefault="009C0CA5" w:rsidP="008517A3">
      <w:pPr>
        <w:pStyle w:val="l-L2"/>
        <w:numPr>
          <w:ilvl w:val="0"/>
          <w:numId w:val="7"/>
        </w:numPr>
      </w:pPr>
      <w:r w:rsidRPr="008517A3">
        <w:t>Zhotovitel prohlašuje, že ke dni podpisu této smlouvy má uzavřenou pojistnou smlouvu, jejímž předmětem je pojištění odpovědnosti za škodu způsobenou zhotovitelem třetí osobě v</w:t>
      </w:r>
      <w:r w:rsidR="00C76848" w:rsidRPr="008517A3">
        <w:t> </w:t>
      </w:r>
      <w:r w:rsidRPr="008517A3">
        <w:t xml:space="preserve">souvislosti s výkonem jeho činnosti, ve výši nejméně </w:t>
      </w:r>
      <w:r w:rsidR="008517A3" w:rsidRPr="008517A3">
        <w:t xml:space="preserve">ceny díla v Kč (vč. DPH). </w:t>
      </w:r>
    </w:p>
    <w:p w14:paraId="4B611416" w14:textId="7B4EB117" w:rsidR="00E75F8D" w:rsidRDefault="009C0CA5" w:rsidP="00A30016">
      <w:pPr>
        <w:pStyle w:val="l-L2"/>
        <w:numPr>
          <w:ilvl w:val="0"/>
          <w:numId w:val="7"/>
        </w:numPr>
      </w:pPr>
      <w:r w:rsidRPr="00F16EEB">
        <w:t>Zhotovitel se zavazuje, že po celou dobu trvání této smlouvy bude pojištěn ve smyslu tohoto ustanovení a že nedojde ke snížení pojistné částky pod částku uvedenou v předchozí větě.</w:t>
      </w:r>
    </w:p>
    <w:p w14:paraId="3CB25218" w14:textId="77777777" w:rsidR="00C76848" w:rsidRPr="00F16EEB" w:rsidRDefault="00C76848" w:rsidP="00C76848">
      <w:pPr>
        <w:pStyle w:val="l-L2"/>
      </w:pPr>
    </w:p>
    <w:p w14:paraId="34ECE874" w14:textId="03E37062" w:rsidR="00B83F26" w:rsidRPr="00D53952" w:rsidRDefault="00B83F26" w:rsidP="00C76848">
      <w:pPr>
        <w:pStyle w:val="l-L1"/>
      </w:pPr>
      <w:r w:rsidRPr="00D53952">
        <w:t xml:space="preserve">Cena předmětu </w:t>
      </w:r>
      <w:r w:rsidR="0085556B" w:rsidRPr="00D53952">
        <w:t>díla</w:t>
      </w:r>
    </w:p>
    <w:p w14:paraId="7FFA9D30" w14:textId="1D256D59" w:rsidR="007C5C7F" w:rsidRPr="004158D5" w:rsidRDefault="007C5C7F" w:rsidP="004158D5">
      <w:pPr>
        <w:ind w:left="426"/>
        <w:rPr>
          <w:rFonts w:cs="Arial"/>
          <w:bCs/>
          <w:i/>
          <w:szCs w:val="22"/>
        </w:rPr>
      </w:pPr>
      <w:r w:rsidRPr="004158D5">
        <w:rPr>
          <w:rFonts w:cs="Arial"/>
          <w:bCs/>
          <w:i/>
          <w:szCs w:val="22"/>
          <w:highlight w:val="yellow"/>
        </w:rPr>
        <w:t>Varianta</w:t>
      </w:r>
      <w:r w:rsidR="004158D5" w:rsidRPr="004158D5">
        <w:rPr>
          <w:rFonts w:cs="Arial"/>
          <w:bCs/>
          <w:i/>
          <w:szCs w:val="22"/>
          <w:highlight w:val="yellow"/>
        </w:rPr>
        <w:t> 1</w:t>
      </w:r>
      <w:r w:rsidR="004158D5" w:rsidRPr="00861FD9">
        <w:rPr>
          <w:rFonts w:cs="Arial"/>
          <w:b/>
          <w:i/>
          <w:szCs w:val="22"/>
          <w:highlight w:val="yellow"/>
        </w:rPr>
        <w:t>(plátce DPH</w:t>
      </w:r>
      <w:r w:rsidR="004158D5" w:rsidRPr="004158D5">
        <w:rPr>
          <w:rFonts w:cs="Arial"/>
          <w:bCs/>
          <w:i/>
          <w:szCs w:val="22"/>
          <w:highlight w:val="yellow"/>
        </w:rPr>
        <w:t>)</w:t>
      </w:r>
    </w:p>
    <w:p w14:paraId="3FF8B533" w14:textId="3FC5483B" w:rsidR="007C5C7F" w:rsidRPr="004158D5" w:rsidRDefault="00254993" w:rsidP="00A30016">
      <w:pPr>
        <w:pStyle w:val="l-L2"/>
        <w:numPr>
          <w:ilvl w:val="0"/>
          <w:numId w:val="6"/>
        </w:numPr>
        <w:rPr>
          <w:i/>
          <w:iCs/>
          <w:highlight w:val="yellow"/>
        </w:rPr>
      </w:pPr>
      <w:r w:rsidRPr="004158D5">
        <w:rPr>
          <w:i/>
          <w:iCs/>
          <w:highlight w:val="yellow"/>
        </w:rPr>
        <w:t>Objednatel se zavazuje zaplatit zhotoviteli za</w:t>
      </w:r>
      <w:r w:rsidR="002F28FF" w:rsidRPr="004158D5">
        <w:rPr>
          <w:i/>
          <w:iCs/>
          <w:highlight w:val="yellow"/>
        </w:rPr>
        <w:t xml:space="preserve"> řádné</w:t>
      </w:r>
      <w:r w:rsidRPr="004158D5">
        <w:rPr>
          <w:i/>
          <w:iCs/>
          <w:highlight w:val="yellow"/>
        </w:rPr>
        <w:t xml:space="preserve"> provedení díla cenu ve </w:t>
      </w:r>
      <w:r w:rsidR="007C5C7F" w:rsidRPr="004158D5">
        <w:rPr>
          <w:i/>
          <w:iCs/>
          <w:highlight w:val="yellow"/>
        </w:rPr>
        <w:t>výši</w:t>
      </w:r>
      <w:r w:rsidR="00924023" w:rsidRPr="004158D5">
        <w:rPr>
          <w:i/>
          <w:iCs/>
          <w:highlight w:val="yellow"/>
        </w:rPr>
        <w:t xml:space="preserve"> </w:t>
      </w:r>
      <w:r w:rsidR="00761ABA" w:rsidRPr="004158D5">
        <w:rPr>
          <w:b/>
          <w:bCs/>
          <w:i/>
          <w:iCs/>
          <w:highlight w:val="yellow"/>
        </w:rPr>
        <w:t>[DOPLNIT]</w:t>
      </w:r>
      <w:r w:rsidR="00924023" w:rsidRPr="004158D5">
        <w:rPr>
          <w:i/>
          <w:iCs/>
          <w:highlight w:val="yellow"/>
        </w:rPr>
        <w:t> </w:t>
      </w:r>
      <w:r w:rsidR="007C5C7F" w:rsidRPr="004158D5">
        <w:rPr>
          <w:i/>
          <w:iCs/>
          <w:highlight w:val="yellow"/>
        </w:rPr>
        <w:t>Kč bez</w:t>
      </w:r>
      <w:r w:rsidR="002973F2" w:rsidRPr="004158D5">
        <w:rPr>
          <w:i/>
          <w:iCs/>
          <w:highlight w:val="yellow"/>
        </w:rPr>
        <w:t> </w:t>
      </w:r>
      <w:r w:rsidR="007C5C7F" w:rsidRPr="004158D5">
        <w:rPr>
          <w:i/>
          <w:iCs/>
          <w:highlight w:val="yellow"/>
        </w:rPr>
        <w:t>DP</w:t>
      </w:r>
      <w:r w:rsidR="00761ABA" w:rsidRPr="004158D5">
        <w:rPr>
          <w:i/>
          <w:iCs/>
          <w:highlight w:val="yellow"/>
        </w:rPr>
        <w:t>H</w:t>
      </w:r>
      <w:r w:rsidR="007C5C7F" w:rsidRPr="004158D5">
        <w:rPr>
          <w:i/>
          <w:iCs/>
          <w:highlight w:val="yellow"/>
        </w:rPr>
        <w:t xml:space="preserve"> (slovy:</w:t>
      </w:r>
      <w:r w:rsidR="008E5BF1" w:rsidRPr="004158D5">
        <w:rPr>
          <w:i/>
          <w:iCs/>
          <w:highlight w:val="yellow"/>
        </w:rPr>
        <w:t xml:space="preserve"> </w:t>
      </w:r>
      <w:r w:rsidR="008E5BF1" w:rsidRPr="004158D5">
        <w:rPr>
          <w:b/>
          <w:bCs/>
          <w:i/>
          <w:iCs/>
          <w:highlight w:val="yellow"/>
        </w:rPr>
        <w:t>[DOPLNIT]</w:t>
      </w:r>
      <w:r w:rsidR="008E5BF1" w:rsidRPr="004158D5">
        <w:rPr>
          <w:i/>
          <w:iCs/>
          <w:highlight w:val="yellow"/>
        </w:rPr>
        <w:t xml:space="preserve"> </w:t>
      </w:r>
      <w:r w:rsidR="005C23CD" w:rsidRPr="004158D5">
        <w:rPr>
          <w:i/>
          <w:iCs/>
          <w:highlight w:val="yellow"/>
        </w:rPr>
        <w:t>korun</w:t>
      </w:r>
      <w:r w:rsidR="00CE7F49" w:rsidRPr="004158D5">
        <w:rPr>
          <w:i/>
          <w:iCs/>
          <w:highlight w:val="yellow"/>
        </w:rPr>
        <w:t xml:space="preserve"> </w:t>
      </w:r>
      <w:r w:rsidR="005C23CD" w:rsidRPr="004158D5">
        <w:rPr>
          <w:i/>
          <w:iCs/>
          <w:highlight w:val="yellow"/>
        </w:rPr>
        <w:t>českých</w:t>
      </w:r>
      <w:r w:rsidR="007C5C7F" w:rsidRPr="004158D5">
        <w:rPr>
          <w:i/>
          <w:iCs/>
          <w:highlight w:val="yellow"/>
        </w:rPr>
        <w:t>).</w:t>
      </w:r>
      <w:r w:rsidR="008E5BF1" w:rsidRPr="004158D5">
        <w:rPr>
          <w:i/>
          <w:iCs/>
          <w:highlight w:val="yellow"/>
        </w:rPr>
        <w:t xml:space="preserve"> </w:t>
      </w:r>
      <w:r w:rsidR="007C5C7F" w:rsidRPr="004158D5">
        <w:rPr>
          <w:i/>
          <w:iCs/>
          <w:highlight w:val="yellow"/>
        </w:rPr>
        <w:t xml:space="preserve">Výše </w:t>
      </w:r>
      <w:r w:rsidRPr="004158D5">
        <w:rPr>
          <w:i/>
          <w:iCs/>
          <w:highlight w:val="yellow"/>
        </w:rPr>
        <w:t>ceny</w:t>
      </w:r>
      <w:r w:rsidR="007C5C7F" w:rsidRPr="004158D5">
        <w:rPr>
          <w:i/>
          <w:iCs/>
          <w:highlight w:val="yellow"/>
        </w:rPr>
        <w:t xml:space="preserve"> byla stanovena dohodou smluvních stran na základě nabídky </w:t>
      </w:r>
      <w:r w:rsidR="002C491C" w:rsidRPr="004158D5">
        <w:rPr>
          <w:i/>
          <w:iCs/>
          <w:highlight w:val="yellow"/>
        </w:rPr>
        <w:t xml:space="preserve">zhotovitele </w:t>
      </w:r>
      <w:r w:rsidR="007C5C7F" w:rsidRPr="004158D5">
        <w:rPr>
          <w:i/>
          <w:iCs/>
          <w:highlight w:val="yellow"/>
        </w:rPr>
        <w:t>ze dne</w:t>
      </w:r>
      <w:r w:rsidR="008E5BF1" w:rsidRPr="004158D5">
        <w:rPr>
          <w:i/>
          <w:iCs/>
          <w:highlight w:val="yellow"/>
        </w:rPr>
        <w:t xml:space="preserve"> </w:t>
      </w:r>
      <w:r w:rsidR="008E5BF1" w:rsidRPr="004158D5">
        <w:rPr>
          <w:b/>
          <w:bCs/>
          <w:i/>
          <w:iCs/>
          <w:highlight w:val="yellow"/>
        </w:rPr>
        <w:t>[DOPLNIT]</w:t>
      </w:r>
      <w:r w:rsidR="00815F47" w:rsidRPr="004158D5">
        <w:rPr>
          <w:i/>
          <w:iCs/>
          <w:highlight w:val="yellow"/>
        </w:rPr>
        <w:t>.</w:t>
      </w:r>
      <w:r w:rsidR="007C5C7F" w:rsidRPr="004158D5">
        <w:rPr>
          <w:i/>
          <w:iCs/>
          <w:highlight w:val="yellow"/>
        </w:rPr>
        <w:t xml:space="preserve"> Tato </w:t>
      </w:r>
      <w:r w:rsidRPr="004158D5">
        <w:rPr>
          <w:i/>
          <w:iCs/>
          <w:highlight w:val="yellow"/>
        </w:rPr>
        <w:t>cena</w:t>
      </w:r>
      <w:r w:rsidR="007C5C7F" w:rsidRPr="004158D5">
        <w:rPr>
          <w:i/>
          <w:iCs/>
          <w:highlight w:val="yellow"/>
        </w:rPr>
        <w:t xml:space="preserve"> je</w:t>
      </w:r>
      <w:r w:rsidR="00A22E65" w:rsidRPr="004158D5">
        <w:rPr>
          <w:i/>
          <w:iCs/>
          <w:highlight w:val="yellow"/>
        </w:rPr>
        <w:t xml:space="preserve"> </w:t>
      </w:r>
      <w:r w:rsidR="00A22E65" w:rsidRPr="004158D5">
        <w:rPr>
          <w:i/>
          <w:iCs/>
          <w:highlight w:val="yellow"/>
        </w:rPr>
        <w:lastRenderedPageBreak/>
        <w:t>konečná</w:t>
      </w:r>
      <w:r w:rsidR="007C5C7F" w:rsidRPr="004158D5">
        <w:rPr>
          <w:i/>
          <w:iCs/>
          <w:highlight w:val="yellow"/>
        </w:rPr>
        <w:t xml:space="preserve">. </w:t>
      </w:r>
      <w:r w:rsidR="00063376" w:rsidRPr="004158D5">
        <w:rPr>
          <w:i/>
          <w:iCs/>
          <w:highlight w:val="yellow"/>
        </w:rPr>
        <w:t>V ceně jsou zahrnuty veškeré náklady poskytovatele související s</w:t>
      </w:r>
      <w:r w:rsidR="005F186C" w:rsidRPr="004158D5">
        <w:rPr>
          <w:i/>
          <w:iCs/>
          <w:highlight w:val="yellow"/>
        </w:rPr>
        <w:t> </w:t>
      </w:r>
      <w:r w:rsidR="00063376" w:rsidRPr="004158D5">
        <w:rPr>
          <w:i/>
          <w:iCs/>
          <w:highlight w:val="yellow"/>
        </w:rPr>
        <w:t>komplexním zajištěním celého předmětu smlouvy</w:t>
      </w:r>
      <w:r w:rsidR="002233D7" w:rsidRPr="004158D5">
        <w:rPr>
          <w:i/>
          <w:iCs/>
          <w:highlight w:val="yellow"/>
        </w:rPr>
        <w:t>.</w:t>
      </w:r>
      <w:r w:rsidR="005F186C" w:rsidRPr="004158D5">
        <w:rPr>
          <w:i/>
          <w:iCs/>
          <w:highlight w:val="yellow"/>
        </w:rPr>
        <w:t xml:space="preserve"> </w:t>
      </w:r>
      <w:r w:rsidR="005C23CD" w:rsidRPr="004158D5">
        <w:rPr>
          <w:i/>
          <w:iCs/>
          <w:highlight w:val="yellow"/>
        </w:rPr>
        <w:t>Zhotovitel je plátcem DPH, která bude účtována podle předpisů platných v době účtování.</w:t>
      </w:r>
      <w:r w:rsidR="005F186C" w:rsidRPr="004158D5">
        <w:rPr>
          <w:i/>
          <w:iCs/>
          <w:highlight w:val="yellow"/>
        </w:rPr>
        <w:t xml:space="preserve"> </w:t>
      </w:r>
      <w:r w:rsidR="007C5C7F" w:rsidRPr="004158D5">
        <w:rPr>
          <w:i/>
          <w:iCs/>
          <w:highlight w:val="yellow"/>
        </w:rPr>
        <w:t xml:space="preserve">Výši celkové ceny </w:t>
      </w:r>
      <w:r w:rsidRPr="004158D5">
        <w:rPr>
          <w:i/>
          <w:iCs/>
          <w:highlight w:val="yellow"/>
        </w:rPr>
        <w:t>díla</w:t>
      </w:r>
      <w:r w:rsidR="007C5C7F" w:rsidRPr="004158D5">
        <w:rPr>
          <w:i/>
          <w:iCs/>
          <w:highlight w:val="yellow"/>
        </w:rPr>
        <w:t xml:space="preserve"> je možné změnit, dojde-li ke změně sazby DPH.</w:t>
      </w:r>
      <w:r w:rsidR="007214D7" w:rsidRPr="004158D5">
        <w:rPr>
          <w:i/>
          <w:iCs/>
          <w:highlight w:val="yellow"/>
        </w:rPr>
        <w:t xml:space="preserve"> Celkovou cenu lze také změnit v souladu se ZZVZ a s ohledem na změnu termínu plnění.</w:t>
      </w:r>
    </w:p>
    <w:tbl>
      <w:tblPr>
        <w:tblW w:w="8992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2"/>
        <w:gridCol w:w="3870"/>
      </w:tblGrid>
      <w:tr w:rsidR="001068B7" w:rsidRPr="00D02ED1" w14:paraId="6FCB1760" w14:textId="77777777" w:rsidTr="001068B7">
        <w:trPr>
          <w:trHeight w:val="284"/>
        </w:trPr>
        <w:tc>
          <w:tcPr>
            <w:tcW w:w="51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77C595C" w14:textId="77777777" w:rsidR="001068B7" w:rsidRPr="00D02ED1" w:rsidRDefault="001068B7" w:rsidP="007440D5">
            <w:pPr>
              <w:spacing w:before="0" w:after="0"/>
              <w:rPr>
                <w:i/>
                <w:iCs/>
                <w:highlight w:val="yellow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87D08E4" w14:textId="77777777" w:rsidR="001068B7" w:rsidRPr="00D02ED1" w:rsidRDefault="001068B7" w:rsidP="007440D5">
            <w:pPr>
              <w:spacing w:before="0" w:after="0"/>
              <w:rPr>
                <w:i/>
                <w:iCs/>
                <w:highlight w:val="yellow"/>
              </w:rPr>
            </w:pPr>
            <w:r w:rsidRPr="00D02ED1">
              <w:rPr>
                <w:i/>
                <w:iCs/>
                <w:highlight w:val="yellow"/>
              </w:rPr>
              <w:t>Cena bez DPH (Kč)</w:t>
            </w:r>
          </w:p>
        </w:tc>
      </w:tr>
      <w:tr w:rsidR="001068B7" w:rsidRPr="00D02ED1" w14:paraId="692E5047" w14:textId="77777777" w:rsidTr="001068B7">
        <w:trPr>
          <w:trHeight w:val="284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CA427" w14:textId="77777777" w:rsidR="001068B7" w:rsidRPr="00D02ED1" w:rsidRDefault="001068B7" w:rsidP="007440D5">
            <w:pPr>
              <w:spacing w:before="0" w:after="0"/>
              <w:rPr>
                <w:i/>
                <w:iCs/>
                <w:highlight w:val="yellow"/>
              </w:rPr>
            </w:pPr>
            <w:r w:rsidRPr="00D02ED1">
              <w:rPr>
                <w:b/>
                <w:bCs/>
                <w:i/>
                <w:iCs/>
                <w:highlight w:val="yellow"/>
              </w:rPr>
              <w:t>[DOPLNIT]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43C2" w14:textId="77777777" w:rsidR="001068B7" w:rsidRPr="00D02ED1" w:rsidRDefault="001068B7" w:rsidP="007440D5">
            <w:pPr>
              <w:spacing w:before="0" w:after="0"/>
              <w:rPr>
                <w:i/>
                <w:iCs/>
                <w:highlight w:val="yellow"/>
              </w:rPr>
            </w:pPr>
            <w:r w:rsidRPr="00D02ED1">
              <w:rPr>
                <w:b/>
                <w:bCs/>
                <w:i/>
                <w:iCs/>
                <w:highlight w:val="yellow"/>
              </w:rPr>
              <w:t>[DOPLNIT]</w:t>
            </w:r>
          </w:p>
        </w:tc>
      </w:tr>
      <w:tr w:rsidR="001068B7" w:rsidRPr="00D02ED1" w14:paraId="0B010744" w14:textId="77777777" w:rsidTr="001068B7">
        <w:trPr>
          <w:trHeight w:val="284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A95BA" w14:textId="77777777" w:rsidR="001068B7" w:rsidRPr="00D02ED1" w:rsidRDefault="001068B7" w:rsidP="007440D5">
            <w:pPr>
              <w:spacing w:before="0" w:after="0"/>
              <w:rPr>
                <w:i/>
                <w:iCs/>
                <w:highlight w:val="yellow"/>
              </w:rPr>
            </w:pPr>
            <w:r w:rsidRPr="00D02ED1">
              <w:rPr>
                <w:b/>
                <w:bCs/>
                <w:i/>
                <w:iCs/>
                <w:highlight w:val="yellow"/>
              </w:rPr>
              <w:t>[DOPLNIT]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EC38E" w14:textId="77777777" w:rsidR="001068B7" w:rsidRPr="00D02ED1" w:rsidRDefault="001068B7" w:rsidP="007440D5">
            <w:pPr>
              <w:spacing w:before="0" w:after="0"/>
              <w:rPr>
                <w:i/>
                <w:iCs/>
                <w:highlight w:val="yellow"/>
              </w:rPr>
            </w:pPr>
            <w:r w:rsidRPr="00D02ED1">
              <w:rPr>
                <w:b/>
                <w:bCs/>
                <w:i/>
                <w:iCs/>
                <w:highlight w:val="yellow"/>
              </w:rPr>
              <w:t>[DOPLNIT]</w:t>
            </w:r>
          </w:p>
        </w:tc>
      </w:tr>
      <w:tr w:rsidR="001068B7" w:rsidRPr="0004420A" w14:paraId="3A2445E1" w14:textId="77777777" w:rsidTr="001068B7">
        <w:trPr>
          <w:trHeight w:val="284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418065AA" w14:textId="77777777" w:rsidR="001068B7" w:rsidRPr="00D02ED1" w:rsidRDefault="001068B7" w:rsidP="007440D5">
            <w:pPr>
              <w:spacing w:before="0" w:after="0"/>
              <w:rPr>
                <w:i/>
                <w:iCs/>
                <w:highlight w:val="yellow"/>
              </w:rPr>
            </w:pPr>
            <w:r w:rsidRPr="00D02ED1">
              <w:rPr>
                <w:i/>
                <w:iCs/>
                <w:highlight w:val="yellow"/>
              </w:rPr>
              <w:t>Celkem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75C8F9CE" w14:textId="77777777" w:rsidR="001068B7" w:rsidRPr="00D02ED1" w:rsidRDefault="001068B7" w:rsidP="007440D5">
            <w:pPr>
              <w:spacing w:before="0" w:after="0"/>
              <w:rPr>
                <w:i/>
                <w:iCs/>
                <w:highlight w:val="yellow"/>
              </w:rPr>
            </w:pPr>
            <w:r w:rsidRPr="00D02ED1">
              <w:rPr>
                <w:b/>
                <w:bCs/>
                <w:i/>
                <w:iCs/>
                <w:highlight w:val="yellow"/>
              </w:rPr>
              <w:t>[DOPLNIT]</w:t>
            </w:r>
          </w:p>
        </w:tc>
      </w:tr>
    </w:tbl>
    <w:p w14:paraId="4E30650D" w14:textId="77777777" w:rsidR="001068B7" w:rsidRDefault="001068B7" w:rsidP="004158D5">
      <w:pPr>
        <w:ind w:left="426"/>
        <w:rPr>
          <w:rFonts w:cs="Arial"/>
          <w:bCs/>
          <w:i/>
          <w:iCs/>
          <w:szCs w:val="22"/>
        </w:rPr>
      </w:pPr>
    </w:p>
    <w:p w14:paraId="691C07DF" w14:textId="57F43209" w:rsidR="007C5C7F" w:rsidRPr="001068B7" w:rsidRDefault="007C5C7F" w:rsidP="004158D5">
      <w:pPr>
        <w:ind w:left="426"/>
        <w:rPr>
          <w:rFonts w:cs="Arial"/>
          <w:bCs/>
          <w:i/>
          <w:iCs/>
          <w:szCs w:val="22"/>
          <w:highlight w:val="yellow"/>
        </w:rPr>
      </w:pPr>
      <w:r w:rsidRPr="001068B7">
        <w:rPr>
          <w:rFonts w:cs="Arial"/>
          <w:bCs/>
          <w:i/>
          <w:iCs/>
          <w:szCs w:val="22"/>
          <w:highlight w:val="yellow"/>
        </w:rPr>
        <w:t>Varianta</w:t>
      </w:r>
      <w:r w:rsidR="004158D5" w:rsidRPr="001068B7">
        <w:rPr>
          <w:rFonts w:cs="Arial"/>
          <w:bCs/>
          <w:i/>
          <w:iCs/>
          <w:szCs w:val="22"/>
          <w:highlight w:val="yellow"/>
        </w:rPr>
        <w:t> 2 (</w:t>
      </w:r>
      <w:r w:rsidR="004158D5" w:rsidRPr="00861FD9">
        <w:rPr>
          <w:rFonts w:cs="Arial"/>
          <w:b/>
          <w:i/>
          <w:iCs/>
          <w:szCs w:val="22"/>
          <w:highlight w:val="yellow"/>
        </w:rPr>
        <w:t>neplátce DPH</w:t>
      </w:r>
      <w:r w:rsidR="004158D5" w:rsidRPr="001068B7">
        <w:rPr>
          <w:rFonts w:cs="Arial"/>
          <w:bCs/>
          <w:i/>
          <w:iCs/>
          <w:szCs w:val="22"/>
          <w:highlight w:val="yellow"/>
        </w:rPr>
        <w:t>)</w:t>
      </w:r>
    </w:p>
    <w:p w14:paraId="4FE3AEF2" w14:textId="17B6297C" w:rsidR="005C23CD" w:rsidRPr="001068B7" w:rsidRDefault="00254993" w:rsidP="00A30016">
      <w:pPr>
        <w:pStyle w:val="l-L2"/>
        <w:numPr>
          <w:ilvl w:val="0"/>
          <w:numId w:val="16"/>
        </w:numPr>
        <w:rPr>
          <w:i/>
          <w:iCs/>
          <w:highlight w:val="yellow"/>
        </w:rPr>
      </w:pPr>
      <w:r w:rsidRPr="001068B7">
        <w:rPr>
          <w:i/>
          <w:iCs/>
          <w:highlight w:val="yellow"/>
        </w:rPr>
        <w:t xml:space="preserve">Objednatel se zavazuje zaplatit zhotoviteli za </w:t>
      </w:r>
      <w:r w:rsidR="006C3E38" w:rsidRPr="001068B7">
        <w:rPr>
          <w:i/>
          <w:iCs/>
          <w:highlight w:val="yellow"/>
        </w:rPr>
        <w:t xml:space="preserve">řádné </w:t>
      </w:r>
      <w:r w:rsidRPr="001068B7">
        <w:rPr>
          <w:i/>
          <w:iCs/>
          <w:highlight w:val="yellow"/>
        </w:rPr>
        <w:t>provedení díla cenu ve výš</w:t>
      </w:r>
      <w:r w:rsidR="00CE7F49" w:rsidRPr="001068B7">
        <w:rPr>
          <w:i/>
          <w:iCs/>
          <w:highlight w:val="yellow"/>
        </w:rPr>
        <w:t>i</w:t>
      </w:r>
      <w:r w:rsidR="005C23CD" w:rsidRPr="001068B7">
        <w:rPr>
          <w:i/>
          <w:iCs/>
          <w:highlight w:val="yellow"/>
        </w:rPr>
        <w:t xml:space="preserve"> </w:t>
      </w:r>
      <w:r w:rsidR="00761ABA" w:rsidRPr="001068B7">
        <w:rPr>
          <w:b/>
          <w:bCs/>
          <w:i/>
          <w:iCs/>
          <w:highlight w:val="yellow"/>
        </w:rPr>
        <w:t>[DOPLNIT]</w:t>
      </w:r>
      <w:r w:rsidR="007D18B4" w:rsidRPr="001068B7">
        <w:rPr>
          <w:i/>
          <w:iCs/>
          <w:highlight w:val="yellow"/>
        </w:rPr>
        <w:t> </w:t>
      </w:r>
      <w:r w:rsidRPr="001068B7">
        <w:rPr>
          <w:i/>
          <w:iCs/>
          <w:highlight w:val="yellow"/>
        </w:rPr>
        <w:t xml:space="preserve">Kč </w:t>
      </w:r>
      <w:r w:rsidR="000B3EB9" w:rsidRPr="001068B7">
        <w:rPr>
          <w:i/>
          <w:iCs/>
          <w:highlight w:val="yellow"/>
        </w:rPr>
        <w:t>včetně</w:t>
      </w:r>
      <w:r w:rsidRPr="001068B7">
        <w:rPr>
          <w:i/>
          <w:iCs/>
          <w:highlight w:val="yellow"/>
        </w:rPr>
        <w:t xml:space="preserve"> DPH </w:t>
      </w:r>
      <w:r w:rsidR="007C5C7F" w:rsidRPr="001068B7">
        <w:rPr>
          <w:i/>
          <w:iCs/>
          <w:highlight w:val="yellow"/>
        </w:rPr>
        <w:t>(slovy:</w:t>
      </w:r>
      <w:r w:rsidR="00AF083C" w:rsidRPr="001068B7">
        <w:rPr>
          <w:i/>
          <w:iCs/>
          <w:highlight w:val="yellow"/>
        </w:rPr>
        <w:t xml:space="preserve"> </w:t>
      </w:r>
      <w:r w:rsidR="00AF083C" w:rsidRPr="001068B7">
        <w:rPr>
          <w:b/>
          <w:bCs/>
          <w:i/>
          <w:iCs/>
          <w:highlight w:val="yellow"/>
        </w:rPr>
        <w:t>[DOPLNIT]</w:t>
      </w:r>
      <w:r w:rsidR="007D18B4" w:rsidRPr="001068B7">
        <w:rPr>
          <w:i/>
          <w:iCs/>
          <w:highlight w:val="yellow"/>
        </w:rPr>
        <w:t xml:space="preserve"> </w:t>
      </w:r>
      <w:r w:rsidR="005C23CD" w:rsidRPr="001068B7">
        <w:rPr>
          <w:i/>
          <w:iCs/>
          <w:highlight w:val="yellow"/>
        </w:rPr>
        <w:t>korun českých</w:t>
      </w:r>
      <w:r w:rsidR="007C5C7F" w:rsidRPr="001068B7">
        <w:rPr>
          <w:i/>
          <w:iCs/>
          <w:highlight w:val="yellow"/>
        </w:rPr>
        <w:t xml:space="preserve">.). Výše </w:t>
      </w:r>
      <w:r w:rsidRPr="001068B7">
        <w:rPr>
          <w:i/>
          <w:iCs/>
          <w:highlight w:val="yellow"/>
        </w:rPr>
        <w:t xml:space="preserve">ceny díla </w:t>
      </w:r>
      <w:r w:rsidR="007C5C7F" w:rsidRPr="001068B7">
        <w:rPr>
          <w:i/>
          <w:iCs/>
          <w:highlight w:val="yellow"/>
        </w:rPr>
        <w:t xml:space="preserve">byla stanovena dohodou smluvních stran na základě nabídky </w:t>
      </w:r>
      <w:r w:rsidR="002C491C" w:rsidRPr="001068B7">
        <w:rPr>
          <w:i/>
          <w:iCs/>
          <w:highlight w:val="yellow"/>
        </w:rPr>
        <w:t xml:space="preserve">zhotovitele </w:t>
      </w:r>
      <w:r w:rsidR="007C5C7F" w:rsidRPr="001068B7">
        <w:rPr>
          <w:i/>
          <w:iCs/>
          <w:highlight w:val="yellow"/>
        </w:rPr>
        <w:t xml:space="preserve">ze dne </w:t>
      </w:r>
      <w:r w:rsidR="00DF4A58" w:rsidRPr="001068B7">
        <w:rPr>
          <w:b/>
          <w:bCs/>
          <w:i/>
          <w:iCs/>
          <w:highlight w:val="yellow"/>
        </w:rPr>
        <w:t>[DOPLNIT]</w:t>
      </w:r>
      <w:r w:rsidR="00EC535B" w:rsidRPr="001068B7">
        <w:rPr>
          <w:i/>
          <w:iCs/>
          <w:highlight w:val="yellow"/>
        </w:rPr>
        <w:t xml:space="preserve">. </w:t>
      </w:r>
      <w:r w:rsidR="007C5C7F" w:rsidRPr="001068B7">
        <w:rPr>
          <w:i/>
          <w:iCs/>
          <w:highlight w:val="yellow"/>
        </w:rPr>
        <w:t xml:space="preserve">Tato </w:t>
      </w:r>
      <w:r w:rsidRPr="001068B7">
        <w:rPr>
          <w:i/>
          <w:iCs/>
          <w:highlight w:val="yellow"/>
        </w:rPr>
        <w:t xml:space="preserve">cena </w:t>
      </w:r>
      <w:r w:rsidR="007C5C7F" w:rsidRPr="001068B7">
        <w:rPr>
          <w:i/>
          <w:iCs/>
          <w:highlight w:val="yellow"/>
        </w:rPr>
        <w:t>je</w:t>
      </w:r>
      <w:r w:rsidR="00A22E65" w:rsidRPr="001068B7">
        <w:rPr>
          <w:i/>
          <w:iCs/>
          <w:highlight w:val="yellow"/>
        </w:rPr>
        <w:t xml:space="preserve"> konečná</w:t>
      </w:r>
      <w:r w:rsidR="007C5C7F" w:rsidRPr="001068B7">
        <w:rPr>
          <w:i/>
          <w:iCs/>
          <w:highlight w:val="yellow"/>
        </w:rPr>
        <w:t xml:space="preserve">. </w:t>
      </w:r>
      <w:r w:rsidR="00063376" w:rsidRPr="001068B7">
        <w:rPr>
          <w:i/>
          <w:iCs/>
          <w:highlight w:val="yellow"/>
        </w:rPr>
        <w:t>V ceně jsou zahrnuty veškeré náklady poskytovatele související s</w:t>
      </w:r>
      <w:r w:rsidR="0096742C" w:rsidRPr="001068B7">
        <w:rPr>
          <w:i/>
          <w:iCs/>
          <w:highlight w:val="yellow"/>
        </w:rPr>
        <w:t> </w:t>
      </w:r>
      <w:r w:rsidR="00063376" w:rsidRPr="001068B7">
        <w:rPr>
          <w:i/>
          <w:iCs/>
          <w:highlight w:val="yellow"/>
        </w:rPr>
        <w:t>komplexním zajištěním celého předmětu smlouvy</w:t>
      </w:r>
      <w:r w:rsidR="0003533D" w:rsidRPr="001068B7">
        <w:rPr>
          <w:i/>
          <w:iCs/>
          <w:highlight w:val="yellow"/>
        </w:rPr>
        <w:t>.</w:t>
      </w:r>
      <w:r w:rsidR="007214D7" w:rsidRPr="001068B7">
        <w:rPr>
          <w:i/>
          <w:iCs/>
          <w:highlight w:val="yellow"/>
        </w:rPr>
        <w:t xml:space="preserve"> Celkovou cenu lze také změnit v souladu se ZZVZ a s ohledem na změnu termínu plnění.</w:t>
      </w:r>
    </w:p>
    <w:tbl>
      <w:tblPr>
        <w:tblW w:w="8992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2175"/>
        <w:gridCol w:w="1573"/>
        <w:gridCol w:w="2126"/>
      </w:tblGrid>
      <w:tr w:rsidR="004158D5" w:rsidRPr="001068B7" w14:paraId="6B4E32B7" w14:textId="77777777" w:rsidTr="007440D5">
        <w:trPr>
          <w:trHeight w:val="284"/>
        </w:trPr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B325907" w14:textId="77777777" w:rsidR="004158D5" w:rsidRPr="001068B7" w:rsidRDefault="004158D5" w:rsidP="007440D5">
            <w:pPr>
              <w:spacing w:before="0" w:after="0"/>
              <w:rPr>
                <w:i/>
                <w:iCs/>
                <w:highlight w:val="yellow"/>
              </w:rPr>
            </w:pPr>
            <w:bookmarkStart w:id="3" w:name="_Hlk182380004"/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58E4EB6" w14:textId="77777777" w:rsidR="004158D5" w:rsidRPr="001068B7" w:rsidRDefault="004158D5" w:rsidP="007440D5">
            <w:pPr>
              <w:spacing w:before="0" w:after="0"/>
              <w:rPr>
                <w:i/>
                <w:iCs/>
                <w:highlight w:val="yellow"/>
              </w:rPr>
            </w:pPr>
            <w:r w:rsidRPr="001068B7">
              <w:rPr>
                <w:i/>
                <w:iCs/>
                <w:highlight w:val="yellow"/>
              </w:rPr>
              <w:t>Cena bez DPH (Kč)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F6E8EFB" w14:textId="77777777" w:rsidR="004158D5" w:rsidRPr="001068B7" w:rsidRDefault="004158D5" w:rsidP="007440D5">
            <w:pPr>
              <w:spacing w:before="0" w:after="0"/>
              <w:rPr>
                <w:i/>
                <w:iCs/>
                <w:highlight w:val="yellow"/>
              </w:rPr>
            </w:pPr>
            <w:r w:rsidRPr="001068B7">
              <w:rPr>
                <w:i/>
                <w:iCs/>
                <w:highlight w:val="yellow"/>
              </w:rPr>
              <w:t>DPH (Kč)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5F701E7B" w14:textId="77777777" w:rsidR="004158D5" w:rsidRPr="001068B7" w:rsidRDefault="004158D5" w:rsidP="007440D5">
            <w:pPr>
              <w:spacing w:before="0" w:after="0"/>
              <w:rPr>
                <w:i/>
                <w:iCs/>
                <w:highlight w:val="yellow"/>
              </w:rPr>
            </w:pPr>
            <w:r w:rsidRPr="001068B7">
              <w:rPr>
                <w:i/>
                <w:iCs/>
                <w:highlight w:val="yellow"/>
              </w:rPr>
              <w:t>Cena vč. DPH (Kč)</w:t>
            </w:r>
          </w:p>
        </w:tc>
      </w:tr>
      <w:tr w:rsidR="004158D5" w:rsidRPr="001068B7" w14:paraId="20F2B23A" w14:textId="77777777" w:rsidTr="007440D5">
        <w:trPr>
          <w:trHeight w:val="284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C951C" w14:textId="77777777" w:rsidR="004158D5" w:rsidRPr="001068B7" w:rsidRDefault="004158D5" w:rsidP="007440D5">
            <w:pPr>
              <w:spacing w:before="0" w:after="0"/>
              <w:rPr>
                <w:i/>
                <w:iCs/>
                <w:highlight w:val="yellow"/>
              </w:rPr>
            </w:pPr>
            <w:r w:rsidRPr="001068B7">
              <w:rPr>
                <w:b/>
                <w:bCs/>
                <w:i/>
                <w:iCs/>
                <w:highlight w:val="yellow"/>
              </w:rPr>
              <w:t>[DOPLNIT]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2C1D" w14:textId="77777777" w:rsidR="004158D5" w:rsidRPr="001068B7" w:rsidRDefault="004158D5" w:rsidP="007440D5">
            <w:pPr>
              <w:spacing w:before="0" w:after="0"/>
              <w:rPr>
                <w:i/>
                <w:iCs/>
                <w:highlight w:val="yellow"/>
              </w:rPr>
            </w:pPr>
            <w:r w:rsidRPr="001068B7">
              <w:rPr>
                <w:b/>
                <w:bCs/>
                <w:i/>
                <w:iCs/>
                <w:highlight w:val="yellow"/>
              </w:rPr>
              <w:t>[DOPLNIT]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1F50" w14:textId="77777777" w:rsidR="004158D5" w:rsidRPr="001068B7" w:rsidRDefault="004158D5" w:rsidP="007440D5">
            <w:pPr>
              <w:spacing w:before="0" w:after="0"/>
              <w:rPr>
                <w:i/>
                <w:iCs/>
                <w:highlight w:val="yellow"/>
              </w:rPr>
            </w:pPr>
            <w:r w:rsidRPr="001068B7">
              <w:rPr>
                <w:b/>
                <w:bCs/>
                <w:i/>
                <w:iCs/>
                <w:highlight w:val="yellow"/>
              </w:rPr>
              <w:t>[DOPLNIT]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C248B" w14:textId="77777777" w:rsidR="004158D5" w:rsidRPr="001068B7" w:rsidRDefault="004158D5" w:rsidP="007440D5">
            <w:pPr>
              <w:spacing w:before="0" w:after="0"/>
              <w:rPr>
                <w:i/>
                <w:iCs/>
                <w:highlight w:val="yellow"/>
              </w:rPr>
            </w:pPr>
            <w:r w:rsidRPr="001068B7">
              <w:rPr>
                <w:b/>
                <w:bCs/>
                <w:i/>
                <w:iCs/>
                <w:highlight w:val="yellow"/>
              </w:rPr>
              <w:t>[DOPLNIT]</w:t>
            </w:r>
          </w:p>
        </w:tc>
      </w:tr>
      <w:tr w:rsidR="004158D5" w:rsidRPr="001068B7" w14:paraId="4365B59C" w14:textId="77777777" w:rsidTr="007440D5">
        <w:trPr>
          <w:trHeight w:val="284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C2AB9" w14:textId="77777777" w:rsidR="004158D5" w:rsidRPr="001068B7" w:rsidRDefault="004158D5" w:rsidP="007440D5">
            <w:pPr>
              <w:spacing w:before="0" w:after="0"/>
              <w:rPr>
                <w:i/>
                <w:iCs/>
                <w:highlight w:val="yellow"/>
              </w:rPr>
            </w:pPr>
            <w:r w:rsidRPr="001068B7">
              <w:rPr>
                <w:b/>
                <w:bCs/>
                <w:i/>
                <w:iCs/>
                <w:highlight w:val="yellow"/>
              </w:rPr>
              <w:t>[DOPLNIT]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FB1E7" w14:textId="77777777" w:rsidR="004158D5" w:rsidRPr="001068B7" w:rsidRDefault="004158D5" w:rsidP="007440D5">
            <w:pPr>
              <w:spacing w:before="0" w:after="0"/>
              <w:rPr>
                <w:i/>
                <w:iCs/>
                <w:highlight w:val="yellow"/>
              </w:rPr>
            </w:pPr>
            <w:r w:rsidRPr="001068B7">
              <w:rPr>
                <w:b/>
                <w:bCs/>
                <w:i/>
                <w:iCs/>
                <w:highlight w:val="yellow"/>
              </w:rPr>
              <w:t>[DOPLNIT]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8DBB0" w14:textId="77777777" w:rsidR="004158D5" w:rsidRPr="001068B7" w:rsidRDefault="004158D5" w:rsidP="007440D5">
            <w:pPr>
              <w:spacing w:before="0" w:after="0"/>
              <w:rPr>
                <w:i/>
                <w:iCs/>
                <w:highlight w:val="yellow"/>
              </w:rPr>
            </w:pPr>
            <w:r w:rsidRPr="001068B7">
              <w:rPr>
                <w:b/>
                <w:bCs/>
                <w:i/>
                <w:iCs/>
                <w:highlight w:val="yellow"/>
              </w:rPr>
              <w:t>[DOPLNIT]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60B0A7" w14:textId="77777777" w:rsidR="004158D5" w:rsidRPr="001068B7" w:rsidRDefault="004158D5" w:rsidP="007440D5">
            <w:pPr>
              <w:spacing w:before="0" w:after="0"/>
              <w:rPr>
                <w:i/>
                <w:iCs/>
                <w:highlight w:val="yellow"/>
              </w:rPr>
            </w:pPr>
            <w:r w:rsidRPr="001068B7">
              <w:rPr>
                <w:b/>
                <w:bCs/>
                <w:i/>
                <w:iCs/>
                <w:highlight w:val="yellow"/>
              </w:rPr>
              <w:t>[DOPLNIT]</w:t>
            </w:r>
          </w:p>
        </w:tc>
      </w:tr>
      <w:tr w:rsidR="004158D5" w:rsidRPr="001068B7" w14:paraId="3AB1A1F2" w14:textId="77777777" w:rsidTr="007440D5">
        <w:trPr>
          <w:trHeight w:val="284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2FF4EB54" w14:textId="77777777" w:rsidR="004158D5" w:rsidRPr="001068B7" w:rsidRDefault="004158D5" w:rsidP="007440D5">
            <w:pPr>
              <w:spacing w:before="0" w:after="0"/>
              <w:rPr>
                <w:i/>
                <w:iCs/>
                <w:highlight w:val="yellow"/>
              </w:rPr>
            </w:pPr>
            <w:r w:rsidRPr="001068B7">
              <w:rPr>
                <w:i/>
                <w:iCs/>
                <w:highlight w:val="yellow"/>
              </w:rPr>
              <w:t>Celkem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61F4BE32" w14:textId="77777777" w:rsidR="004158D5" w:rsidRPr="001068B7" w:rsidRDefault="004158D5" w:rsidP="007440D5">
            <w:pPr>
              <w:spacing w:before="0" w:after="0"/>
              <w:rPr>
                <w:i/>
                <w:iCs/>
                <w:highlight w:val="yellow"/>
              </w:rPr>
            </w:pPr>
            <w:r w:rsidRPr="001068B7">
              <w:rPr>
                <w:b/>
                <w:bCs/>
                <w:i/>
                <w:iCs/>
                <w:highlight w:val="yellow"/>
              </w:rPr>
              <w:t>[DOPLNIT]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531655A" w14:textId="77777777" w:rsidR="004158D5" w:rsidRPr="001068B7" w:rsidRDefault="004158D5" w:rsidP="007440D5">
            <w:pPr>
              <w:spacing w:before="0" w:after="0"/>
              <w:rPr>
                <w:i/>
                <w:iCs/>
                <w:highlight w:val="yellow"/>
              </w:rPr>
            </w:pPr>
            <w:r w:rsidRPr="001068B7">
              <w:rPr>
                <w:b/>
                <w:bCs/>
                <w:i/>
                <w:iCs/>
                <w:highlight w:val="yellow"/>
              </w:rPr>
              <w:t>[DOPLNIT]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14:paraId="5309D15C" w14:textId="77777777" w:rsidR="004158D5" w:rsidRPr="001068B7" w:rsidRDefault="004158D5" w:rsidP="007440D5">
            <w:pPr>
              <w:spacing w:before="0" w:after="0"/>
              <w:rPr>
                <w:i/>
                <w:iCs/>
                <w:highlight w:val="yellow"/>
              </w:rPr>
            </w:pPr>
            <w:r w:rsidRPr="001068B7">
              <w:rPr>
                <w:b/>
                <w:bCs/>
                <w:i/>
                <w:iCs/>
                <w:highlight w:val="yellow"/>
              </w:rPr>
              <w:t>[DOPLNIT]</w:t>
            </w:r>
          </w:p>
        </w:tc>
      </w:tr>
    </w:tbl>
    <w:p w14:paraId="1494888C" w14:textId="77777777" w:rsidR="00755332" w:rsidRPr="001068B7" w:rsidRDefault="00755332" w:rsidP="00755332">
      <w:pPr>
        <w:pStyle w:val="Default"/>
        <w:ind w:left="357"/>
        <w:rPr>
          <w:i/>
          <w:iCs/>
          <w:sz w:val="22"/>
          <w:szCs w:val="22"/>
        </w:rPr>
      </w:pPr>
      <w:bookmarkStart w:id="4" w:name="_Hlk36122845"/>
      <w:bookmarkStart w:id="5" w:name="_Hlk36122353"/>
      <w:bookmarkEnd w:id="3"/>
      <w:r w:rsidRPr="009F127A">
        <w:rPr>
          <w:i/>
          <w:iCs/>
          <w:sz w:val="22"/>
          <w:szCs w:val="22"/>
        </w:rPr>
        <w:t>(Cena bude uváděna na haléře, tj. na 2 desetinná místa)</w:t>
      </w:r>
      <w:bookmarkEnd w:id="4"/>
      <w:bookmarkEnd w:id="5"/>
    </w:p>
    <w:p w14:paraId="2E3897DA" w14:textId="707310BD" w:rsidR="003C6AA3" w:rsidRDefault="00701D8A" w:rsidP="00A30016">
      <w:pPr>
        <w:pStyle w:val="l-L2"/>
        <w:numPr>
          <w:ilvl w:val="0"/>
          <w:numId w:val="16"/>
        </w:numPr>
      </w:pPr>
      <w:r w:rsidRPr="00D91927">
        <w:t xml:space="preserve">Obě smluvní strany se dohodly, že cena za </w:t>
      </w:r>
      <w:r w:rsidR="006C3E38">
        <w:t>dílo</w:t>
      </w:r>
      <w:r w:rsidRPr="00D91927">
        <w:t xml:space="preserve"> bude zhotoviteli uhrazena formou faktury.</w:t>
      </w:r>
    </w:p>
    <w:p w14:paraId="59828E67" w14:textId="77777777" w:rsidR="006C3E38" w:rsidRPr="009966C5" w:rsidRDefault="006C3E38" w:rsidP="00A30016">
      <w:pPr>
        <w:pStyle w:val="l-L2"/>
        <w:numPr>
          <w:ilvl w:val="0"/>
          <w:numId w:val="16"/>
        </w:numPr>
      </w:pPr>
      <w:r w:rsidRPr="009966C5">
        <w:t>Platby peněžitých částek se provádí bankovním převodem na účet druhé smluvní strany uvedený ve faktuře. Peněžitá částka se považuje za zaplacenou okamžikem jejího odepsání z účtu odesílatele ve prospěch účtu příjemce.</w:t>
      </w:r>
    </w:p>
    <w:p w14:paraId="4DFC8B8F" w14:textId="491B7B17" w:rsidR="003C6AA3" w:rsidRDefault="00701D8A" w:rsidP="00A30016">
      <w:pPr>
        <w:pStyle w:val="l-L2"/>
        <w:numPr>
          <w:ilvl w:val="0"/>
          <w:numId w:val="16"/>
        </w:numPr>
      </w:pPr>
      <w:r w:rsidRPr="00D91927">
        <w:t xml:space="preserve">Faktura bude vystavena po vydání kolaudačního </w:t>
      </w:r>
      <w:r w:rsidR="00963788">
        <w:t>rozhodnutí</w:t>
      </w:r>
      <w:r w:rsidR="00963788" w:rsidRPr="00D91927">
        <w:t xml:space="preserve"> </w:t>
      </w:r>
      <w:r w:rsidRPr="00D91927">
        <w:t>a po odstranění všech vad a</w:t>
      </w:r>
      <w:r w:rsidR="005A1F51">
        <w:t> </w:t>
      </w:r>
      <w:r w:rsidRPr="00D91927">
        <w:t>nedodělků zjištěných při předání a převzetí stavby, popřípadě při její kolaudaci.</w:t>
      </w:r>
    </w:p>
    <w:p w14:paraId="0815A596" w14:textId="4752DCEB" w:rsidR="003C6AA3" w:rsidRDefault="00BD65E8" w:rsidP="00A30016">
      <w:pPr>
        <w:pStyle w:val="l-L2"/>
        <w:numPr>
          <w:ilvl w:val="0"/>
          <w:numId w:val="16"/>
        </w:numPr>
      </w:pPr>
      <w:r w:rsidRPr="003C6AA3">
        <w:t xml:space="preserve">Objednatel neposkytuje zálohy a zhotoviteli nepřísluší během vyhotovování </w:t>
      </w:r>
      <w:r w:rsidR="00D178FE">
        <w:t>díla</w:t>
      </w:r>
      <w:r w:rsidR="00D178FE" w:rsidRPr="003C6AA3">
        <w:t xml:space="preserve"> </w:t>
      </w:r>
      <w:r w:rsidRPr="003C6AA3">
        <w:t>přiměřená část ceny s přihlédnutím k vynaloženým nákladům.</w:t>
      </w:r>
    </w:p>
    <w:p w14:paraId="4E9D2AA3" w14:textId="1552EB22" w:rsidR="003C6AA3" w:rsidRDefault="00850C3C" w:rsidP="00A30016">
      <w:pPr>
        <w:pStyle w:val="l-L2"/>
        <w:numPr>
          <w:ilvl w:val="0"/>
          <w:numId w:val="16"/>
        </w:numPr>
      </w:pPr>
      <w:r w:rsidRPr="00F8630F">
        <w:rPr>
          <w:rFonts w:cs="Arial"/>
        </w:rPr>
        <w:t>Daňový doklad (faktura) v elektronické formě bude obsahovat náležitosti daňového dokladu požadované zákonem č.</w:t>
      </w:r>
      <w:r>
        <w:rPr>
          <w:rFonts w:cs="Arial"/>
        </w:rPr>
        <w:t> </w:t>
      </w:r>
      <w:r w:rsidRPr="00F8630F">
        <w:rPr>
          <w:rFonts w:cs="Arial"/>
        </w:rPr>
        <w:t>235/2004 Sb., o</w:t>
      </w:r>
      <w:r>
        <w:rPr>
          <w:rFonts w:cs="Arial"/>
        </w:rPr>
        <w:t> </w:t>
      </w:r>
      <w:r w:rsidRPr="00F8630F">
        <w:rPr>
          <w:rFonts w:cs="Arial"/>
        </w:rPr>
        <w:t>dani z přidané hodnoty, ve znění pozdějších předpisů, avšak výslovně vždy musí obsahovat následující údaje: označení smluvních stran a jejich adresy, IČO, DIČ (je-li přiděleno), údaj o</w:t>
      </w:r>
      <w:r>
        <w:rPr>
          <w:rFonts w:cs="Arial"/>
        </w:rPr>
        <w:t> </w:t>
      </w:r>
      <w:r w:rsidRPr="00F8630F">
        <w:rPr>
          <w:rFonts w:cs="Arial"/>
        </w:rPr>
        <w:t>tom, že vystavovatel faktury je zapsán v obchodním rejstříku včetně spisové značky, označení této smlouvy, označení poskytnutého plnění, číslo faktury, den vystavení a lhůtu splatnosti faktury, označení peněžního ústavu a</w:t>
      </w:r>
      <w:r w:rsidR="0096742C">
        <w:rPr>
          <w:rFonts w:cs="Arial"/>
        </w:rPr>
        <w:t> </w:t>
      </w:r>
      <w:r w:rsidRPr="00F8630F">
        <w:rPr>
          <w:rFonts w:cs="Arial"/>
        </w:rPr>
        <w:t>číslo účtu, na který se má platit</w:t>
      </w:r>
      <w:r w:rsidR="00AE3DAF">
        <w:rPr>
          <w:rFonts w:cs="Arial"/>
        </w:rPr>
        <w:t xml:space="preserve"> a</w:t>
      </w:r>
      <w:r w:rsidRPr="00F8630F">
        <w:rPr>
          <w:rFonts w:cs="Arial"/>
        </w:rPr>
        <w:t xml:space="preserve"> fakturovanou částku</w:t>
      </w:r>
      <w:r w:rsidR="00AE3DAF">
        <w:rPr>
          <w:rFonts w:cs="Arial"/>
        </w:rPr>
        <w:t>.</w:t>
      </w:r>
    </w:p>
    <w:p w14:paraId="439E2661" w14:textId="13A83A7C" w:rsidR="003C6AA3" w:rsidRDefault="008C2C8C" w:rsidP="00A30016">
      <w:pPr>
        <w:pStyle w:val="l-L2"/>
        <w:numPr>
          <w:ilvl w:val="0"/>
          <w:numId w:val="16"/>
        </w:numPr>
      </w:pPr>
      <w:r w:rsidRPr="008C2C8C">
        <w:t>Splatnost faktury je 30</w:t>
      </w:r>
      <w:r w:rsidR="002973F2">
        <w:t> </w:t>
      </w:r>
      <w:r w:rsidRPr="008C2C8C">
        <w:t>dnů ode dne jejího obdržení. Faktura musí obsahovat náležitosti stanovené v</w:t>
      </w:r>
      <w:r w:rsidR="006C3E38">
        <w:t> </w:t>
      </w:r>
      <w:proofErr w:type="spellStart"/>
      <w:r w:rsidR="006C3E38">
        <w:t>ust</w:t>
      </w:r>
      <w:proofErr w:type="spellEnd"/>
      <w:r w:rsidR="006C3E38">
        <w:t>.</w:t>
      </w:r>
      <w:r w:rsidR="002973F2">
        <w:t> </w:t>
      </w:r>
      <w:r w:rsidRPr="008C2C8C">
        <w:t>§</w:t>
      </w:r>
      <w:r w:rsidR="002973F2">
        <w:t> </w:t>
      </w:r>
      <w:r w:rsidRPr="008C2C8C">
        <w:t>435 občanského zákoníku a jako daňový doklad i náležitosti stanovené v</w:t>
      </w:r>
      <w:r w:rsidR="002973F2">
        <w:t> </w:t>
      </w:r>
      <w:proofErr w:type="spellStart"/>
      <w:r w:rsidR="006C3E38">
        <w:t>ust</w:t>
      </w:r>
      <w:proofErr w:type="spellEnd"/>
      <w:r w:rsidR="006C3E38">
        <w:t xml:space="preserve">. </w:t>
      </w:r>
      <w:r w:rsidRPr="008C2C8C">
        <w:t>§</w:t>
      </w:r>
      <w:r w:rsidR="002973F2">
        <w:t> </w:t>
      </w:r>
      <w:r w:rsidRPr="008C2C8C">
        <w:t>29 zákona č.</w:t>
      </w:r>
      <w:r w:rsidR="002973F2">
        <w:t> </w:t>
      </w:r>
      <w:r w:rsidRPr="008C2C8C">
        <w:t>235/2004 Sb., o dani z přidané hodnoty, ve znění pozdějších předpisů.</w:t>
      </w:r>
    </w:p>
    <w:p w14:paraId="416B7EB4" w14:textId="222A1617" w:rsidR="00FF0932" w:rsidRPr="00DA4B06" w:rsidRDefault="00FF0932" w:rsidP="00A30016">
      <w:pPr>
        <w:pStyle w:val="l-L2"/>
        <w:numPr>
          <w:ilvl w:val="0"/>
          <w:numId w:val="16"/>
        </w:numPr>
      </w:pPr>
      <w:r w:rsidRPr="00DA4B06">
        <w:t>Na faktuře pro objednatele bude zhotovitel uvádět:</w:t>
      </w:r>
    </w:p>
    <w:p w14:paraId="031E5C7A" w14:textId="77777777" w:rsidR="000A6E48" w:rsidRPr="00DA4B06" w:rsidRDefault="00FF0932" w:rsidP="003C6AA3">
      <w:pPr>
        <w:pStyle w:val="l-L2"/>
        <w:ind w:left="357"/>
      </w:pPr>
      <w:r w:rsidRPr="00DA4B06">
        <w:t>Odběratel: Státní pozemkový úřad, Praha 3, Husinecká 1024/</w:t>
      </w:r>
      <w:proofErr w:type="gramStart"/>
      <w:r w:rsidRPr="00DA4B06">
        <w:t>11a</w:t>
      </w:r>
      <w:proofErr w:type="gramEnd"/>
      <w:r w:rsidRPr="00DA4B06">
        <w:t>, PSČ 130 00, IČO 01312774.</w:t>
      </w:r>
    </w:p>
    <w:p w14:paraId="4058E53E" w14:textId="56495C46" w:rsidR="000A6E48" w:rsidRPr="00DA4B06" w:rsidRDefault="00FF0932" w:rsidP="5170DEB6">
      <w:pPr>
        <w:pStyle w:val="l-L2"/>
        <w:ind w:left="357"/>
      </w:pPr>
      <w:r>
        <w:lastRenderedPageBreak/>
        <w:t xml:space="preserve">Konečný příjemce: Státní pozemkový úřad/KPÚ </w:t>
      </w:r>
      <w:r w:rsidR="00EB5A0B" w:rsidRPr="00EB5A0B">
        <w:t>Karlovarský kraj, Pobočka Karlovy Vary, Závodu míru 725/16, 360 17 Karlovy Vary</w:t>
      </w:r>
      <w:r>
        <w:t>.</w:t>
      </w:r>
      <w:r w:rsidR="58558F23">
        <w:t xml:space="preserve"> </w:t>
      </w:r>
      <w:r w:rsidR="58558F23" w:rsidRPr="000A7219">
        <w:rPr>
          <w:rFonts w:eastAsia="Arial" w:cs="Arial"/>
          <w:szCs w:val="22"/>
        </w:rPr>
        <w:t>Elektronická faktura bude doručena do datové schránky objednatele</w:t>
      </w:r>
      <w:r w:rsidR="00AE3DAF" w:rsidRPr="000A7219">
        <w:rPr>
          <w:rFonts w:eastAsia="Arial" w:cs="Arial"/>
          <w:szCs w:val="22"/>
        </w:rPr>
        <w:t>,</w:t>
      </w:r>
      <w:r w:rsidR="58558F23" w:rsidRPr="000A7219">
        <w:rPr>
          <w:rFonts w:eastAsia="Arial" w:cs="Arial"/>
          <w:szCs w:val="22"/>
        </w:rPr>
        <w:t xml:space="preserve"> nebo na e-mailovou adresu:</w:t>
      </w:r>
      <w:r w:rsidR="004C38D1" w:rsidRPr="004C38D1">
        <w:rPr>
          <w:rFonts w:eastAsia="Arial" w:cs="Arial"/>
          <w:szCs w:val="22"/>
        </w:rPr>
        <w:t xml:space="preserve"> </w:t>
      </w:r>
      <w:hyperlink r:id="rId13" w:history="1">
        <w:r w:rsidR="58558F23" w:rsidRPr="000A7219">
          <w:rPr>
            <w:rStyle w:val="Hypertextovodkaz"/>
            <w:rFonts w:eastAsia="Arial" w:cs="Arial"/>
            <w:szCs w:val="22"/>
            <w:u w:val="none"/>
          </w:rPr>
          <w:t>epodatelna@spu.gov.cz</w:t>
        </w:r>
      </w:hyperlink>
      <w:r w:rsidR="58558F23" w:rsidRPr="000A7219">
        <w:rPr>
          <w:rFonts w:eastAsia="Arial" w:cs="Arial"/>
          <w:color w:val="D13438"/>
          <w:szCs w:val="22"/>
        </w:rPr>
        <w:t>.</w:t>
      </w:r>
    </w:p>
    <w:p w14:paraId="4387EA79" w14:textId="508B2E4B" w:rsidR="00B83F26" w:rsidRDefault="00B83F26" w:rsidP="00A30016">
      <w:pPr>
        <w:pStyle w:val="l-L2"/>
        <w:numPr>
          <w:ilvl w:val="0"/>
          <w:numId w:val="16"/>
        </w:numPr>
      </w:pPr>
      <w:r w:rsidRPr="00D91927">
        <w:t>Pokud faktura neobsahuje všechny zákonem a smlouvou stanovené náležitosti,</w:t>
      </w:r>
      <w:r w:rsidR="00B0493E" w:rsidRPr="00D91927">
        <w:t xml:space="preserve"> </w:t>
      </w:r>
      <w:r w:rsidRPr="00D91927">
        <w:t>je objednatel oprávněn ji do data splatnosti vrátit s tím, že zhotovitel je poté povinen vystavit novou fakturu s</w:t>
      </w:r>
      <w:r w:rsidR="009B7615" w:rsidRPr="00D91927">
        <w:t> </w:t>
      </w:r>
      <w:r w:rsidRPr="00D91927">
        <w:t>no</w:t>
      </w:r>
      <w:r w:rsidR="009B7615" w:rsidRPr="00D91927">
        <w:t xml:space="preserve">vou lhůtou doby </w:t>
      </w:r>
      <w:r w:rsidRPr="00D91927">
        <w:t>splatnosti. V takovém případě není objednatel v prodlení s úhradou.</w:t>
      </w:r>
    </w:p>
    <w:p w14:paraId="2912956E" w14:textId="77777777" w:rsidR="009F43E6" w:rsidRPr="009966C5" w:rsidRDefault="009F43E6" w:rsidP="00A30016">
      <w:pPr>
        <w:pStyle w:val="l-L2"/>
        <w:numPr>
          <w:ilvl w:val="0"/>
          <w:numId w:val="16"/>
        </w:numPr>
        <w:rPr>
          <w:bCs/>
        </w:rPr>
      </w:pPr>
      <w:r w:rsidRPr="009966C5">
        <w:rPr>
          <w:bCs/>
        </w:rPr>
        <w:t>Zhotovitel tímto bere na vědomí, že objednatel je organizační složkou státu a jeho stav účtu závisí na převodu finančních prostředků ze státního rozpočtu. Zhotovitel souhlasí s tím, že v</w:t>
      </w:r>
      <w:r>
        <w:rPr>
          <w:bCs/>
        </w:rPr>
        <w:t> </w:t>
      </w:r>
      <w:r w:rsidRPr="009966C5">
        <w:rPr>
          <w:bCs/>
        </w:rPr>
        <w:t>případě nedostatku finančních prostředků na účtu objednatele, dojde k zaplacení faktury po</w:t>
      </w:r>
      <w:r>
        <w:rPr>
          <w:bCs/>
        </w:rPr>
        <w:t> </w:t>
      </w:r>
      <w:r w:rsidRPr="009966C5">
        <w:rPr>
          <w:bCs/>
        </w:rPr>
        <w:t>obdržení potřebných finančních prostředků a že časová prodleva z těchto důvodů nebude započítána do doby splatnosti uvedené na faktuře a nelze z těchto důvodů vůči objednateli uplatňovat žádné sankce. Objednatel se zavazuje, že v případě, že tato skutečnost nastane, oznámí ji neprodleně, a to písemně zhotoviteli nejpozději do 5 pracovních dní před původním termínem splatnosti faktury.</w:t>
      </w:r>
    </w:p>
    <w:p w14:paraId="48FB6F88" w14:textId="77777777" w:rsidR="009F43E6" w:rsidRPr="009966C5" w:rsidRDefault="009F43E6" w:rsidP="00A30016">
      <w:pPr>
        <w:pStyle w:val="l-L2"/>
        <w:numPr>
          <w:ilvl w:val="0"/>
          <w:numId w:val="16"/>
        </w:numPr>
        <w:rPr>
          <w:bCs/>
        </w:rPr>
      </w:pPr>
      <w:r w:rsidRPr="009966C5">
        <w:rPr>
          <w:bCs/>
        </w:rPr>
        <w:t>Zhotovitel je podle ustanovení §</w:t>
      </w:r>
      <w:r>
        <w:rPr>
          <w:bCs/>
        </w:rPr>
        <w:t> </w:t>
      </w:r>
      <w:r w:rsidRPr="009966C5">
        <w:rPr>
          <w:bCs/>
        </w:rPr>
        <w:t>2 písm.</w:t>
      </w:r>
      <w:r>
        <w:rPr>
          <w:bCs/>
        </w:rPr>
        <w:t> </w:t>
      </w:r>
      <w:r w:rsidRPr="009966C5">
        <w:rPr>
          <w:bCs/>
        </w:rPr>
        <w:t>e) zákona č.</w:t>
      </w:r>
      <w:r>
        <w:rPr>
          <w:bCs/>
        </w:rPr>
        <w:t> </w:t>
      </w:r>
      <w:r w:rsidRPr="009966C5">
        <w:rPr>
          <w:bCs/>
        </w:rPr>
        <w:t>320/2001 Sb., o finanční kontrole ve</w:t>
      </w:r>
      <w:r>
        <w:rPr>
          <w:bCs/>
        </w:rPr>
        <w:t> </w:t>
      </w:r>
      <w:r w:rsidRPr="009966C5">
        <w:rPr>
          <w:bCs/>
        </w:rPr>
        <w:t>veřejné správě a o změně některých zákonů (zákon o finanční kontrole), ve znění pozdějších předpisů, osobou povinnou spolupůsobit při výkonu finanční kontroly prováděné v</w:t>
      </w:r>
      <w:r>
        <w:rPr>
          <w:bCs/>
        </w:rPr>
        <w:t> </w:t>
      </w:r>
      <w:r w:rsidRPr="009966C5">
        <w:rPr>
          <w:bCs/>
        </w:rPr>
        <w:t>souvislosti s úhradou služeb z veřejných výdajů.</w:t>
      </w:r>
    </w:p>
    <w:p w14:paraId="647519A2" w14:textId="77777777" w:rsidR="0089381F" w:rsidRPr="00D91927" w:rsidRDefault="0089381F" w:rsidP="0089381F">
      <w:pPr>
        <w:pStyle w:val="l-L2"/>
      </w:pPr>
    </w:p>
    <w:p w14:paraId="7BEDCDE7" w14:textId="7F7D51C2" w:rsidR="003620AC" w:rsidRPr="00D53952" w:rsidRDefault="003620AC" w:rsidP="001C168E">
      <w:pPr>
        <w:pStyle w:val="l-L1"/>
      </w:pPr>
      <w:r w:rsidRPr="00D53952">
        <w:t>Smluvní pokuty a sankce</w:t>
      </w:r>
    </w:p>
    <w:p w14:paraId="6D0106EF" w14:textId="006325A9" w:rsidR="003620AC" w:rsidRPr="001C168E" w:rsidRDefault="003620AC" w:rsidP="00A30016">
      <w:pPr>
        <w:pStyle w:val="l-L2"/>
        <w:numPr>
          <w:ilvl w:val="0"/>
          <w:numId w:val="5"/>
        </w:numPr>
      </w:pPr>
      <w:r w:rsidRPr="001C168E">
        <w:t>Pro případ nedodržení lhůty splatnosti vystavené faktury se smluvní strany dohodly na</w:t>
      </w:r>
      <w:r w:rsidR="002973F2">
        <w:t> </w:t>
      </w:r>
      <w:r w:rsidRPr="001C168E">
        <w:t>smluvní pokutě 0,</w:t>
      </w:r>
      <w:r w:rsidR="00B869E9">
        <w:t>0</w:t>
      </w:r>
      <w:r w:rsidRPr="001C168E">
        <w:t>15</w:t>
      </w:r>
      <w:r w:rsidR="00DB4A0A">
        <w:t> </w:t>
      </w:r>
      <w:r w:rsidRPr="001C168E">
        <w:t>% z dlužné částky, kterou zaplatí objednatel za každý den prodlení, ledaže objednatel není za prodlení odpovědný. Toto právo zhotoviteli nepřísluší, pokud řádně nesplnil zákonné a smluvní povinnosti.</w:t>
      </w:r>
    </w:p>
    <w:p w14:paraId="5B73EDF1" w14:textId="1CD27450" w:rsidR="003620AC" w:rsidRPr="001C168E" w:rsidRDefault="003620AC" w:rsidP="00A30016">
      <w:pPr>
        <w:pStyle w:val="l-L2"/>
        <w:numPr>
          <w:ilvl w:val="0"/>
          <w:numId w:val="5"/>
        </w:numPr>
      </w:pPr>
      <w:r w:rsidRPr="001C168E">
        <w:t>Při nedodržení povinností zhotovitele vyplývajících z ustanovení této smlouvy se sjednává smluvní pokuta ve výši</w:t>
      </w:r>
      <w:r w:rsidR="002E33CE">
        <w:t xml:space="preserve"> </w:t>
      </w:r>
      <w:r w:rsidR="00212BD1" w:rsidRPr="00A022B9">
        <w:t>5 000</w:t>
      </w:r>
      <w:r w:rsidR="009340AE" w:rsidRPr="00A022B9">
        <w:t> Kč</w:t>
      </w:r>
      <w:r w:rsidR="009340AE" w:rsidRPr="00A022B9">
        <w:rPr>
          <w:b/>
          <w:bCs/>
        </w:rPr>
        <w:t xml:space="preserve"> </w:t>
      </w:r>
      <w:r w:rsidRPr="001C168E">
        <w:t xml:space="preserve">za každý </w:t>
      </w:r>
      <w:r w:rsidRPr="001C168E">
        <w:rPr>
          <w:bCs/>
        </w:rPr>
        <w:t>jednotlivý případ porušení povinnosti zhotovitele</w:t>
      </w:r>
      <w:r w:rsidRPr="001C168E">
        <w:t>. Toto ustanovení o</w:t>
      </w:r>
      <w:r w:rsidR="0044232D">
        <w:t> </w:t>
      </w:r>
      <w:r w:rsidRPr="001C168E">
        <w:t xml:space="preserve">smluvní pokutě </w:t>
      </w:r>
      <w:proofErr w:type="gramStart"/>
      <w:r w:rsidRPr="001C168E">
        <w:t>neruší</w:t>
      </w:r>
      <w:proofErr w:type="gramEnd"/>
      <w:r w:rsidRPr="001C168E">
        <w:t xml:space="preserve"> právo objednatele na náhradu škody v plném rozsahu, které mu vznikne porušením povinností zhotovitele.</w:t>
      </w:r>
      <w:r w:rsidR="00FC7980" w:rsidRPr="001C168E">
        <w:t xml:space="preserve"> Povinnost uhradit smluvní pokutu může vzniknout i opakovaně, její celková výše není omezena.</w:t>
      </w:r>
    </w:p>
    <w:p w14:paraId="097C1EC8" w14:textId="7D097AEF" w:rsidR="003620AC" w:rsidRPr="001C168E" w:rsidRDefault="003620AC" w:rsidP="00A30016">
      <w:pPr>
        <w:pStyle w:val="l-L2"/>
        <w:numPr>
          <w:ilvl w:val="0"/>
          <w:numId w:val="5"/>
        </w:numPr>
      </w:pPr>
      <w:r w:rsidRPr="001C168E">
        <w:t xml:space="preserve">Smluvní pokuta je splatná do </w:t>
      </w:r>
      <w:r w:rsidR="00A12D5B" w:rsidRPr="001C168E">
        <w:t>1</w:t>
      </w:r>
      <w:r w:rsidR="00A12D5B">
        <w:t>5</w:t>
      </w:r>
      <w:r w:rsidR="00A12D5B" w:rsidRPr="001C168E">
        <w:t xml:space="preserve"> </w:t>
      </w:r>
      <w:r w:rsidRPr="001C168E">
        <w:t>dní poté, co bude písemná výzva jedné strany v tomto směru druhé straně doručena.</w:t>
      </w:r>
    </w:p>
    <w:p w14:paraId="79B5852B" w14:textId="1BFA017B" w:rsidR="003620AC" w:rsidRDefault="003620AC" w:rsidP="00A30016">
      <w:pPr>
        <w:pStyle w:val="l-L2"/>
        <w:numPr>
          <w:ilvl w:val="0"/>
          <w:numId w:val="5"/>
        </w:numPr>
      </w:pPr>
      <w:r w:rsidRPr="001C168E">
        <w:t xml:space="preserve">Žádná ze smluvních stran nemá povinnost nahradit škodu způsobenou porušením svých povinností vyplývajících z této </w:t>
      </w:r>
      <w:r w:rsidR="00726F14">
        <w:t>s</w:t>
      </w:r>
      <w:r w:rsidR="00726F14" w:rsidRPr="001C168E">
        <w:t xml:space="preserve">mlouvy </w:t>
      </w:r>
      <w:r w:rsidRPr="001C168E">
        <w:t xml:space="preserve">a není v prodlení, bránila-li jí v jejich splnění některá z překážek vylučujících povinnost k náhradě škody ve smyslu </w:t>
      </w:r>
      <w:proofErr w:type="spellStart"/>
      <w:r w:rsidR="00E12971">
        <w:t>ust</w:t>
      </w:r>
      <w:proofErr w:type="spellEnd"/>
      <w:r w:rsidR="00E12971">
        <w:t xml:space="preserve">. </w:t>
      </w:r>
      <w:r w:rsidRPr="001C168E">
        <w:t>§</w:t>
      </w:r>
      <w:r w:rsidR="002973F2">
        <w:t> </w:t>
      </w:r>
      <w:r w:rsidRPr="001C168E">
        <w:t>2913 odst.</w:t>
      </w:r>
      <w:r w:rsidR="002973F2">
        <w:t> </w:t>
      </w:r>
      <w:r w:rsidRPr="001C168E">
        <w:t>2 občanského zákoníku.</w:t>
      </w:r>
    </w:p>
    <w:p w14:paraId="1182F270" w14:textId="77777777" w:rsidR="00D12D68" w:rsidRDefault="00D12D68" w:rsidP="00D12D68">
      <w:pPr>
        <w:pStyle w:val="l-L2"/>
      </w:pPr>
    </w:p>
    <w:p w14:paraId="605A530E" w14:textId="56D71DC7" w:rsidR="003620AC" w:rsidRPr="00D53952" w:rsidRDefault="003620AC" w:rsidP="001C168E">
      <w:pPr>
        <w:pStyle w:val="l-L1"/>
        <w:rPr>
          <w:rFonts w:cs="Arial"/>
          <w:szCs w:val="22"/>
        </w:rPr>
      </w:pPr>
      <w:r w:rsidRPr="00D53952">
        <w:rPr>
          <w:rFonts w:cs="Arial"/>
          <w:szCs w:val="22"/>
        </w:rPr>
        <w:t>Odstoupení od smlouvy a ukončení smlouvy</w:t>
      </w:r>
    </w:p>
    <w:p w14:paraId="04312984" w14:textId="4232074B" w:rsidR="003620AC" w:rsidRPr="00D12D68" w:rsidRDefault="003620AC" w:rsidP="00A30016">
      <w:pPr>
        <w:pStyle w:val="l-L2"/>
        <w:numPr>
          <w:ilvl w:val="0"/>
          <w:numId w:val="4"/>
        </w:numPr>
      </w:pPr>
      <w:r w:rsidRPr="00D12D68">
        <w:t>Objednatel si vyhrazuje právo na odstoupení od smlouvy v případě, že zhotovitel bude v prodlení s plněním smlouvy z důvodů na straně zhotovitele déle než 1 měsíc, nebo bude plnění poskytovat nekvalitně v rozporu s platnými předpisy nebo touto smlouvou.</w:t>
      </w:r>
      <w:r w:rsidRPr="00701D8A">
        <w:t xml:space="preserve"> </w:t>
      </w:r>
      <w:r w:rsidRPr="00D12D68">
        <w:t>Objednatel však nejprve na tento rozpor zhotovitele písemně (elektronicky) upozorní a poskytne mu lhůtu ke zjednání nápravy; teprve jejím marným uplynutím pak je objednatel oprávněn od smlouvy odstoupit. V případě podstatného porušení smlouvy zhotovitelem je však objednatel oprávněn od smlouvy odstoupit okamžitě.</w:t>
      </w:r>
    </w:p>
    <w:p w14:paraId="6D124FDE" w14:textId="3D2BDA40" w:rsidR="003620AC" w:rsidRPr="00D12D68" w:rsidRDefault="003620AC" w:rsidP="00A30016">
      <w:pPr>
        <w:pStyle w:val="l-L2"/>
        <w:numPr>
          <w:ilvl w:val="0"/>
          <w:numId w:val="4"/>
        </w:numPr>
      </w:pPr>
      <w:r w:rsidRPr="00D12D68">
        <w:lastRenderedPageBreak/>
        <w:t xml:space="preserve">Objednatel je oprávněn od smlouvy odstoupit bez jakýchkoli sankcí, pokud nebude schválena částka ze státního rozpočtu následujícího roku, která je potřebná k úhradě za </w:t>
      </w:r>
      <w:r w:rsidR="00212DC4">
        <w:t>p</w:t>
      </w:r>
      <w:r w:rsidR="00212DC4" w:rsidRPr="00D12D68">
        <w:t xml:space="preserve">lnění </w:t>
      </w:r>
      <w:r w:rsidRPr="00D12D68">
        <w:t xml:space="preserve">poskytované podle této smlouvy v následujícím roce. </w:t>
      </w:r>
    </w:p>
    <w:p w14:paraId="728EEA36" w14:textId="57B69089" w:rsidR="003620AC" w:rsidRDefault="003620AC" w:rsidP="00A30016">
      <w:pPr>
        <w:pStyle w:val="l-L2"/>
        <w:numPr>
          <w:ilvl w:val="0"/>
          <w:numId w:val="4"/>
        </w:numPr>
      </w:pPr>
      <w:r w:rsidRPr="00D12D68">
        <w:t xml:space="preserve">Objednatel si vyhrazuje právo na odstoupení od smlouvy ve vztahu k plnění v případě, že objednatel </w:t>
      </w:r>
      <w:proofErr w:type="gramStart"/>
      <w:r w:rsidRPr="00D12D68">
        <w:t>obdrží</w:t>
      </w:r>
      <w:proofErr w:type="gramEnd"/>
      <w:r w:rsidRPr="00D12D68">
        <w:t xml:space="preserve"> ze státního rozpočtu snížené množství finančních prostředků oproti množství požadovanému v období před započetím poskytování plnění, a dále v případě, pokud nedojde k realizaci stavby do </w:t>
      </w:r>
      <w:r w:rsidR="00EB5A0B">
        <w:rPr>
          <w:b/>
          <w:bCs/>
        </w:rPr>
        <w:t>31.12.2035</w:t>
      </w:r>
      <w:r w:rsidRPr="00D12D68">
        <w:t>.</w:t>
      </w:r>
    </w:p>
    <w:p w14:paraId="7E15ABA8" w14:textId="77777777" w:rsidR="00212DC4" w:rsidRPr="009966C5" w:rsidRDefault="00212DC4" w:rsidP="00A30016">
      <w:pPr>
        <w:pStyle w:val="l-L2"/>
        <w:numPr>
          <w:ilvl w:val="0"/>
          <w:numId w:val="4"/>
        </w:numPr>
      </w:pPr>
      <w:r w:rsidRPr="009966C5"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577B44B2" w14:textId="77777777" w:rsidR="00212DC4" w:rsidRPr="009966C5" w:rsidRDefault="00212DC4" w:rsidP="00A30016">
      <w:pPr>
        <w:pStyle w:val="l-L2"/>
        <w:numPr>
          <w:ilvl w:val="0"/>
          <w:numId w:val="4"/>
        </w:numPr>
      </w:pPr>
      <w:r w:rsidRPr="009966C5">
        <w:t>Odstoupením od této smlouvy nejsou dotčena práva smluvních stran na úhradu splatné smluvní pokuty a případnou náhradu škody.</w:t>
      </w:r>
    </w:p>
    <w:p w14:paraId="6FBC0F7A" w14:textId="6D133E8A" w:rsidR="003620AC" w:rsidRPr="00D12D68" w:rsidRDefault="003620AC" w:rsidP="00A30016">
      <w:pPr>
        <w:pStyle w:val="l-L2"/>
        <w:numPr>
          <w:ilvl w:val="0"/>
          <w:numId w:val="4"/>
        </w:numPr>
      </w:pPr>
      <w:r w:rsidRPr="00D12D68">
        <w:t xml:space="preserve">Ve vztahu k plnění je objednatel oprávněn tuto smlouvu vypovědět písemnou výpovědí doručenou zhotoviteli. Výpovědní doba činí </w:t>
      </w:r>
      <w:r w:rsidR="00DC05CC" w:rsidRPr="00D12D68">
        <w:t>jeden</w:t>
      </w:r>
      <w:r w:rsidRPr="00D12D68">
        <w:t xml:space="preserve"> (</w:t>
      </w:r>
      <w:r w:rsidR="00DC05CC" w:rsidRPr="00D12D68">
        <w:t>1</w:t>
      </w:r>
      <w:r w:rsidRPr="00D12D68">
        <w:t>) měsíc a počne běžet prvního dne měsíce následujícího po měsíci, ve kterém byla výpověď doručena zhotoviteli.</w:t>
      </w:r>
    </w:p>
    <w:p w14:paraId="1CAAB0E3" w14:textId="77777777" w:rsidR="003620AC" w:rsidRPr="00D12D68" w:rsidRDefault="003620AC" w:rsidP="00A30016">
      <w:pPr>
        <w:pStyle w:val="l-L2"/>
        <w:numPr>
          <w:ilvl w:val="0"/>
          <w:numId w:val="4"/>
        </w:numPr>
      </w:pPr>
      <w:r w:rsidRPr="00D12D68">
        <w:t>Smlouva může být ukončena dohodou smluvních stran.</w:t>
      </w:r>
    </w:p>
    <w:p w14:paraId="5B50A7CA" w14:textId="77777777" w:rsidR="003620AC" w:rsidRDefault="003620AC" w:rsidP="00A30016">
      <w:pPr>
        <w:pStyle w:val="l-L2"/>
        <w:numPr>
          <w:ilvl w:val="0"/>
          <w:numId w:val="4"/>
        </w:numPr>
      </w:pPr>
      <w:r w:rsidRPr="00D12D68">
        <w:t>Ukončením smluvního závazkového vztahu zanikají i účinky plné moci, pokud byla objednatelem vydána.</w:t>
      </w:r>
    </w:p>
    <w:p w14:paraId="16941DD0" w14:textId="77777777" w:rsidR="00D12D68" w:rsidRPr="00D12D68" w:rsidRDefault="00D12D68" w:rsidP="00D12D68">
      <w:pPr>
        <w:pStyle w:val="l-L2"/>
      </w:pPr>
    </w:p>
    <w:p w14:paraId="42518E4D" w14:textId="57E0EB93" w:rsidR="00B83F26" w:rsidRPr="00BC3C0B" w:rsidRDefault="00BC3C0B" w:rsidP="00BC3C0B">
      <w:pPr>
        <w:pStyle w:val="l-L1"/>
      </w:pPr>
      <w:r w:rsidRPr="00BC3C0B">
        <w:t>O</w:t>
      </w:r>
      <w:r w:rsidR="00B83F26" w:rsidRPr="00BC3C0B">
        <w:t>statní ujednání</w:t>
      </w:r>
    </w:p>
    <w:p w14:paraId="4DCCE7E7" w14:textId="598C8F6D" w:rsidR="00B83F26" w:rsidRPr="00BC3C0B" w:rsidRDefault="00B83F26" w:rsidP="00A30016">
      <w:pPr>
        <w:pStyle w:val="l-L2"/>
        <w:numPr>
          <w:ilvl w:val="0"/>
          <w:numId w:val="3"/>
        </w:numPr>
      </w:pPr>
      <w:r w:rsidRPr="00BC3C0B">
        <w:t>Smluvní strany souhlasí, že jejich veškerá komunikace může být vedena prostřednictvím e</w:t>
      </w:r>
      <w:r w:rsidR="00BC3C0B">
        <w:noBreakHyphen/>
      </w:r>
      <w:r w:rsidRPr="00BC3C0B">
        <w:t>mailu s tím, že nesrozumitelnost či neúplnost zprávy musí adresát oznámit odesílateli bez</w:t>
      </w:r>
      <w:r w:rsidR="00481BEE">
        <w:t> </w:t>
      </w:r>
      <w:r w:rsidRPr="00BC3C0B">
        <w:t xml:space="preserve">zbytečného odkladu poté, co </w:t>
      </w:r>
      <w:r w:rsidR="000571AA" w:rsidRPr="00BC3C0B">
        <w:t>mu byl e-mail doručen</w:t>
      </w:r>
      <w:r w:rsidRPr="00BC3C0B">
        <w:t>. V případě, že se tak nestane, nemůže vůči odesílateli namítat, že nebyl seznámen se skutečným obsahem zprávy.</w:t>
      </w:r>
    </w:p>
    <w:p w14:paraId="16638108" w14:textId="7C5D92D2" w:rsidR="00740C5C" w:rsidRPr="00DD5B46" w:rsidRDefault="00E64472" w:rsidP="00A30016">
      <w:pPr>
        <w:pStyle w:val="l-L2"/>
        <w:numPr>
          <w:ilvl w:val="0"/>
          <w:numId w:val="3"/>
        </w:numPr>
        <w:rPr>
          <w:i/>
          <w:iCs/>
        </w:rPr>
      </w:pPr>
      <w:r w:rsidRPr="00DD5B46">
        <w:rPr>
          <w:i/>
          <w:iCs/>
        </w:rPr>
        <w:t>Smluvní strany jsou si plně vědomy zákonné povinnosti u</w:t>
      </w:r>
      <w:r w:rsidR="003C703B" w:rsidRPr="00DD5B46">
        <w:rPr>
          <w:i/>
          <w:iCs/>
        </w:rPr>
        <w:t>veřejnit dle zákona č.</w:t>
      </w:r>
      <w:r w:rsidR="00A2459C" w:rsidRPr="00DD5B46">
        <w:rPr>
          <w:i/>
          <w:iCs/>
        </w:rPr>
        <w:t> </w:t>
      </w:r>
      <w:r w:rsidR="003C703B" w:rsidRPr="00DD5B46">
        <w:rPr>
          <w:i/>
          <w:iCs/>
        </w:rPr>
        <w:t>340/2015 Sb., o zvláštních podmínkách účinnosti některých smluv, uveřejňování těchto smluv a o registru smluv (zákon o registru smluv)</w:t>
      </w:r>
      <w:r w:rsidRPr="00DD5B46">
        <w:rPr>
          <w:i/>
          <w:iCs/>
        </w:rPr>
        <w:t xml:space="preserve"> ve znění pozdějších předpisů (dále jen „zákon o registru smluv“), tuto smlouvu včetně všech případných dohod, kterými se tato smlouva doplňuje, mění, nahrazuje nebo </w:t>
      </w:r>
      <w:proofErr w:type="gramStart"/>
      <w:r w:rsidRPr="00DD5B46">
        <w:rPr>
          <w:i/>
          <w:iCs/>
        </w:rPr>
        <w:t>ruší</w:t>
      </w:r>
      <w:proofErr w:type="gramEnd"/>
      <w:r w:rsidRPr="00DD5B46">
        <w:rPr>
          <w:i/>
          <w:iCs/>
        </w:rPr>
        <w:t>, a to prostřednictvím registru smluv. Smluvní strany se dále dohodly, že tuto smlouvu zašle správci registru smluv k uveřejnění prostřednictvím registru smluv objednatel.</w:t>
      </w:r>
    </w:p>
    <w:p w14:paraId="73A56048" w14:textId="63EDEF6A" w:rsidR="00A87806" w:rsidRPr="00DD5B46" w:rsidRDefault="000571AA" w:rsidP="00A30016">
      <w:pPr>
        <w:pStyle w:val="l-L2"/>
        <w:numPr>
          <w:ilvl w:val="0"/>
          <w:numId w:val="3"/>
        </w:numPr>
      </w:pPr>
      <w:r w:rsidRPr="00BC3C0B">
        <w:t xml:space="preserve">Zhotovitel </w:t>
      </w:r>
      <w:r w:rsidRPr="00DD5B46">
        <w:t>dále výslovně prohlašuje a bere na vědomí, že tato smlouva nepředstavuje jeho obchodní tajemství ani neobsahuje jeho důvěrné informace</w:t>
      </w:r>
      <w:r w:rsidR="001C5582" w:rsidRPr="00DD5B46">
        <w:t xml:space="preserve"> </w:t>
      </w:r>
      <w:r w:rsidR="001C5582" w:rsidRPr="00DD5B46">
        <w:rPr>
          <w:i/>
          <w:iCs/>
        </w:rPr>
        <w:t>a souhlasí s tím, aby tato smlouva, včetně veškerých změn a dodatků, byla v plném rozsahu</w:t>
      </w:r>
      <w:r w:rsidRPr="00DD5B46">
        <w:rPr>
          <w:i/>
          <w:iCs/>
        </w:rPr>
        <w:t xml:space="preserve"> </w:t>
      </w:r>
      <w:r w:rsidR="001C5582" w:rsidRPr="00DD5B46">
        <w:rPr>
          <w:i/>
          <w:iCs/>
        </w:rPr>
        <w:t>uv</w:t>
      </w:r>
      <w:r w:rsidR="00E7616C" w:rsidRPr="00DD5B46">
        <w:rPr>
          <w:i/>
          <w:iCs/>
        </w:rPr>
        <w:t xml:space="preserve">eřejněna </w:t>
      </w:r>
      <w:r w:rsidRPr="00DD5B46">
        <w:rPr>
          <w:i/>
          <w:iCs/>
        </w:rPr>
        <w:t>v registru smluv.</w:t>
      </w:r>
    </w:p>
    <w:p w14:paraId="16BED5EE" w14:textId="0AFD09D9" w:rsidR="00824479" w:rsidRPr="00BC3C0B" w:rsidRDefault="00616346" w:rsidP="00A30016">
      <w:pPr>
        <w:pStyle w:val="l-L2"/>
        <w:numPr>
          <w:ilvl w:val="0"/>
          <w:numId w:val="3"/>
        </w:numPr>
      </w:pPr>
      <w:r w:rsidRPr="00DD5B46">
        <w:t xml:space="preserve">Zhotovitel podpisem této </w:t>
      </w:r>
      <w:r w:rsidR="00726F14" w:rsidRPr="00DD5B46">
        <w:t xml:space="preserve">smlouvy </w:t>
      </w:r>
      <w:r w:rsidRPr="00DD5B46">
        <w:t>bere na</w:t>
      </w:r>
      <w:r w:rsidRPr="00BC3C0B">
        <w:t xml:space="preserve"> vědomí, že realizace díla, lhůty pro zahájení a</w:t>
      </w:r>
      <w:r w:rsidR="00BC3C0B">
        <w:t> </w:t>
      </w:r>
      <w:r w:rsidRPr="00BC3C0B">
        <w:t>dokončení díla, jsou závislé na výši finančních prostředků přidělených objednateli ze</w:t>
      </w:r>
      <w:r w:rsidR="00A2459C">
        <w:t> </w:t>
      </w:r>
      <w:r w:rsidRPr="00BC3C0B">
        <w:t>státního rozpočtu na investice pro příslušný kalendářní rok; tímto však není dotčeno ustanovení §</w:t>
      </w:r>
      <w:r w:rsidR="006642C9">
        <w:t> </w:t>
      </w:r>
      <w:r w:rsidRPr="00BC3C0B">
        <w:t>222 odst.</w:t>
      </w:r>
      <w:r w:rsidR="00281042">
        <w:t> </w:t>
      </w:r>
      <w:r w:rsidRPr="00BC3C0B">
        <w:t>1 ZZVZ. Zhotovitel souhlasí s tím, že v případě nedostatku finančních prostředků na účtu objednatele, dojde k zaplacení faktury po obdržení potřebných finančních prostředků a že časová prodleva z těchto důvodů nebude započítána do doby splatnosti uvedené na faktuře a nelze z těchto důvodů vůči objednateli uplatňovat žádné sankce. Objednatel se zavazuje, že v případě, že tato skutečnost nastane, oznámí ji neprodleně, a</w:t>
      </w:r>
      <w:r w:rsidR="00A2459C">
        <w:t> </w:t>
      </w:r>
      <w:r w:rsidRPr="00BC3C0B">
        <w:t>to písemně, zhotoviteli nejpozději do 5 pracovních dní před původní lhůtou pro splatnost faktury, popř. do 3 pracovních dnů od okamžiku, kdy se objednatel dověděl o vzniku této skutečnosti, nastane-li ve lhůtě kratší než 5 pracovních dní před původní lhůtou splatnosti faktury.</w:t>
      </w:r>
    </w:p>
    <w:p w14:paraId="3EA66551" w14:textId="20B709B4" w:rsidR="00063376" w:rsidRPr="00BC3C0B" w:rsidRDefault="00063376" w:rsidP="00A30016">
      <w:pPr>
        <w:pStyle w:val="l-L2"/>
        <w:numPr>
          <w:ilvl w:val="0"/>
          <w:numId w:val="3"/>
        </w:numPr>
      </w:pPr>
      <w:r w:rsidRPr="00BC3C0B">
        <w:lastRenderedPageBreak/>
        <w:t>V průběhu zhotovování díla, není zhotovitel oprávněn poskytovat výsledky činnosti jiným osobám. Zhotovitel se zavazuje během plnění smlouvy (zhotovování předmětu díla apod.) i</w:t>
      </w:r>
      <w:r w:rsidR="00BC3C0B">
        <w:t> </w:t>
      </w:r>
      <w:r w:rsidRPr="00BC3C0B">
        <w:t>po ukončení smlouvy (i po jeho předání objednateli), zachovávat mlčenlivost o všech skutečnostech, o kterých se dozví od objednatele v souvislosti s plněním smlouvy (se</w:t>
      </w:r>
      <w:r w:rsidR="00A2459C">
        <w:t> </w:t>
      </w:r>
      <w:r w:rsidRPr="00BC3C0B">
        <w:t>zhotovením díla). Povinnost mlčenlivosti se vztahuje i zaměstnance zhotovitele a</w:t>
      </w:r>
      <w:r w:rsidR="00A2459C">
        <w:t> </w:t>
      </w:r>
      <w:r w:rsidRPr="00BC3C0B">
        <w:t>na</w:t>
      </w:r>
      <w:r w:rsidR="00A2459C">
        <w:t> </w:t>
      </w:r>
      <w:r w:rsidRPr="00BC3C0B">
        <w:t>všechny další osoby, které zhotovitel k plnění předmětu smlouvy zmocnil.</w:t>
      </w:r>
    </w:p>
    <w:p w14:paraId="3745F5DC" w14:textId="77777777" w:rsidR="00740C5C" w:rsidRPr="00BC3C0B" w:rsidRDefault="00740C5C" w:rsidP="00A30016">
      <w:pPr>
        <w:pStyle w:val="l-L2"/>
        <w:numPr>
          <w:ilvl w:val="0"/>
          <w:numId w:val="3"/>
        </w:numPr>
      </w:pPr>
      <w:r w:rsidRPr="00BC3C0B">
        <w:t>Stane-li se některé ustanovení této smlouvy neplatné či neúčinné, nedotýká se to ostatních ustanovení této smlouvy, která zůstávají platná a účinná. Smluvní strany se v 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497D72E5" w14:textId="127FA065" w:rsidR="000571AA" w:rsidRPr="00BC3C0B" w:rsidRDefault="000571AA" w:rsidP="00A30016">
      <w:pPr>
        <w:pStyle w:val="l-L2"/>
        <w:numPr>
          <w:ilvl w:val="0"/>
          <w:numId w:val="3"/>
        </w:numPr>
      </w:pPr>
      <w:r w:rsidRPr="00BC3C0B">
        <w:t>V případech, kdy zhotovitel v souvislosti s plněním smlouvy zpracovává osobní údaje, se tímto zavazuje, že k těmto osobním údajům bude přistupovat v souladu se zákonem č.</w:t>
      </w:r>
      <w:r w:rsidR="00A2459C">
        <w:t> </w:t>
      </w:r>
      <w:r w:rsidRPr="00BC3C0B">
        <w:t>110/2019 Sb.</w:t>
      </w:r>
      <w:r w:rsidR="00726F14">
        <w:t>,</w:t>
      </w:r>
      <w:r w:rsidRPr="00BC3C0B">
        <w:t xml:space="preserve"> o zpracování osobních údajů</w:t>
      </w:r>
      <w:r w:rsidR="00726F14">
        <w:t>, ve znění pozdějších předpisů,</w:t>
      </w:r>
      <w:r w:rsidRPr="00BC3C0B">
        <w:t xml:space="preserve"> a nařízením Evropského parlamentu a Rady EU</w:t>
      </w:r>
      <w:r w:rsidR="00A2459C">
        <w:t> </w:t>
      </w:r>
      <w:r w:rsidRPr="00BC3C0B">
        <w:t xml:space="preserve">2016/679 („GDPR“). </w:t>
      </w:r>
      <w:r w:rsidR="00726F14">
        <w:t>Objednatel</w:t>
      </w:r>
      <w:r w:rsidR="00726F14" w:rsidRPr="00BC3C0B">
        <w:t xml:space="preserve"> </w:t>
      </w:r>
      <w:r w:rsidRPr="00BC3C0B">
        <w:t>jako správce osobních údajů dle zákona č.</w:t>
      </w:r>
      <w:r w:rsidR="00A2459C">
        <w:t> </w:t>
      </w:r>
      <w:r w:rsidRPr="00BC3C0B">
        <w:t>110/2019 Sb. a</w:t>
      </w:r>
      <w:r w:rsidR="00A2459C">
        <w:t> </w:t>
      </w:r>
      <w:r w:rsidRPr="00BC3C0B">
        <w:t>GDPR, tímto</w:t>
      </w:r>
      <w:r w:rsidR="00A2459C">
        <w:t> </w:t>
      </w:r>
      <w:r w:rsidRPr="00BC3C0B">
        <w:t>informuje ve smlouvě uvedený subjekt, že údaje uvedené v</w:t>
      </w:r>
      <w:r w:rsidR="00A2459C">
        <w:t> </w:t>
      </w:r>
      <w:r w:rsidRPr="00BC3C0B">
        <w:t>této</w:t>
      </w:r>
      <w:r w:rsidR="00A2459C">
        <w:t> </w:t>
      </w:r>
      <w:r w:rsidRPr="00BC3C0B">
        <w:t>smlouvě zpracovává pro účely realizace, výkonu práv a povinností dle této smlouvy. Postupy a</w:t>
      </w:r>
      <w:r w:rsidR="00BC3C0B">
        <w:t> </w:t>
      </w:r>
      <w:r w:rsidRPr="00BC3C0B">
        <w:t xml:space="preserve">opatření se </w:t>
      </w:r>
      <w:r w:rsidR="006160AE">
        <w:t>Objednatel</w:t>
      </w:r>
      <w:r w:rsidR="006160AE" w:rsidRPr="00BC3C0B">
        <w:t xml:space="preserve"> </w:t>
      </w:r>
      <w:r w:rsidRPr="00BC3C0B">
        <w:t>zavazuje dodržovat po celou dobu trvání skartační lhůty ve smyslu §</w:t>
      </w:r>
      <w:r w:rsidR="00A2459C">
        <w:t> </w:t>
      </w:r>
      <w:r w:rsidRPr="00BC3C0B">
        <w:t>2 písm</w:t>
      </w:r>
      <w:r w:rsidR="00A2459C">
        <w:t>. </w:t>
      </w:r>
      <w:r w:rsidRPr="00BC3C0B">
        <w:t>s) zákona č.</w:t>
      </w:r>
      <w:r w:rsidR="00A2459C">
        <w:t> </w:t>
      </w:r>
      <w:r w:rsidRPr="00BC3C0B">
        <w:t>499/2004 Sb., o</w:t>
      </w:r>
      <w:r w:rsidR="00A2459C">
        <w:t> </w:t>
      </w:r>
      <w:r w:rsidRPr="00BC3C0B">
        <w:t>archivnictví a spisové službě a</w:t>
      </w:r>
      <w:r w:rsidR="004C38D1">
        <w:t> </w:t>
      </w:r>
      <w:r w:rsidRPr="00BC3C0B">
        <w:t>o</w:t>
      </w:r>
      <w:r w:rsidR="004C38D1">
        <w:t> </w:t>
      </w:r>
      <w:r w:rsidRPr="00BC3C0B">
        <w:t>změně některých zákonů, ve znění pozdějších předpisů.</w:t>
      </w:r>
    </w:p>
    <w:p w14:paraId="1089BC34" w14:textId="7E5EDF9B" w:rsidR="00063376" w:rsidRPr="00BC3C0B" w:rsidRDefault="00063376" w:rsidP="00A30016">
      <w:pPr>
        <w:pStyle w:val="l-L2"/>
        <w:numPr>
          <w:ilvl w:val="0"/>
          <w:numId w:val="3"/>
        </w:numPr>
      </w:pPr>
      <w:r w:rsidRPr="00BC3C0B"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 tomto bodě nedopustila.</w:t>
      </w:r>
    </w:p>
    <w:p w14:paraId="38B57A1C" w14:textId="77777777" w:rsidR="00824479" w:rsidRPr="00BC3C0B" w:rsidRDefault="003D0FED" w:rsidP="00A30016">
      <w:pPr>
        <w:pStyle w:val="l-L2"/>
        <w:numPr>
          <w:ilvl w:val="0"/>
          <w:numId w:val="3"/>
        </w:numPr>
      </w:pPr>
      <w:r w:rsidRPr="00BC3C0B">
        <w:t>Pokud v této smlouvě není stanoveno jinak, řídí se smluvní strany příslušnými ustanoveními občanského zákoníku.</w:t>
      </w:r>
    </w:p>
    <w:p w14:paraId="0F40D6C6" w14:textId="39940C1B" w:rsidR="006E2443" w:rsidRPr="00BC3C0B" w:rsidRDefault="006E2443" w:rsidP="00A30016">
      <w:pPr>
        <w:pStyle w:val="l-L2"/>
        <w:numPr>
          <w:ilvl w:val="0"/>
          <w:numId w:val="3"/>
        </w:numPr>
      </w:pPr>
      <w:r w:rsidRPr="00BC3C0B">
        <w:t>O jakékoliv změně rozsahu činností zhotovitele musí být mezi objednatelem a zhotovitelem uzavřena samostatná písemná smlouva (dodatek k této smlouvě) s dohodnutím ceny a vlivu na lhůtu doby plnění dle této smlouvy. Zadání dodatečné práce musí být řešeno v souladu se</w:t>
      </w:r>
      <w:r w:rsidR="001B4E11">
        <w:t> </w:t>
      </w:r>
      <w:r w:rsidRPr="00BC3C0B">
        <w:t>ZZVZ.</w:t>
      </w:r>
    </w:p>
    <w:p w14:paraId="64504CD9" w14:textId="111D624F" w:rsidR="0076345A" w:rsidRPr="00F268F2" w:rsidRDefault="0076345A" w:rsidP="00A30016">
      <w:pPr>
        <w:pStyle w:val="l-L2"/>
        <w:numPr>
          <w:ilvl w:val="0"/>
          <w:numId w:val="3"/>
        </w:numPr>
      </w:pPr>
      <w:r w:rsidRPr="00BC3C0B">
        <w:t xml:space="preserve">Smlouva nabývá platnosti dnem podpisu </w:t>
      </w:r>
      <w:r w:rsidRPr="00F268F2">
        <w:t>smluvních stran</w:t>
      </w:r>
      <w:r w:rsidR="00035616" w:rsidRPr="00F268F2">
        <w:t xml:space="preserve"> </w:t>
      </w:r>
      <w:r w:rsidR="00035616" w:rsidRPr="00F268F2">
        <w:rPr>
          <w:i/>
          <w:iCs/>
        </w:rPr>
        <w:t>a účinnosti dnem jejího uveřejnění v</w:t>
      </w:r>
      <w:r w:rsidRPr="00F268F2">
        <w:rPr>
          <w:i/>
          <w:iCs/>
        </w:rPr>
        <w:t xml:space="preserve"> registru smluv dle </w:t>
      </w:r>
      <w:proofErr w:type="spellStart"/>
      <w:r w:rsidRPr="00F268F2">
        <w:rPr>
          <w:i/>
          <w:iCs/>
        </w:rPr>
        <w:t>ust</w:t>
      </w:r>
      <w:proofErr w:type="spellEnd"/>
      <w:r w:rsidRPr="00F268F2">
        <w:rPr>
          <w:i/>
          <w:iCs/>
        </w:rPr>
        <w:t>. §</w:t>
      </w:r>
      <w:r w:rsidR="00281042" w:rsidRPr="00F268F2">
        <w:rPr>
          <w:i/>
          <w:iCs/>
        </w:rPr>
        <w:t> </w:t>
      </w:r>
      <w:r w:rsidRPr="00F268F2">
        <w:rPr>
          <w:i/>
          <w:iCs/>
        </w:rPr>
        <w:t>6 odst.</w:t>
      </w:r>
      <w:r w:rsidR="00281042" w:rsidRPr="00F268F2">
        <w:rPr>
          <w:i/>
          <w:iCs/>
        </w:rPr>
        <w:t> </w:t>
      </w:r>
      <w:r w:rsidRPr="00F268F2">
        <w:rPr>
          <w:i/>
          <w:iCs/>
        </w:rPr>
        <w:t>1 zákona o registru smluv</w:t>
      </w:r>
      <w:r w:rsidRPr="00F268F2">
        <w:t>.</w:t>
      </w:r>
    </w:p>
    <w:p w14:paraId="0EA3CAA4" w14:textId="77777777" w:rsidR="0076345A" w:rsidRPr="00BC3C0B" w:rsidRDefault="0076345A" w:rsidP="00A30016">
      <w:pPr>
        <w:pStyle w:val="l-L2"/>
        <w:numPr>
          <w:ilvl w:val="0"/>
          <w:numId w:val="3"/>
        </w:numPr>
      </w:pPr>
      <w:r w:rsidRPr="00F268F2">
        <w:t>Stane-li se některé ustanovení této smlouvy neplatné či neúčinné,</w:t>
      </w:r>
      <w:r w:rsidRPr="00BC3C0B">
        <w:t xml:space="preserve"> nedotýká se to ostatních ustanovení této smlouvy, která zůstávají platná a účinná. Smluvní strany se v 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419BCB66" w14:textId="344ABE47" w:rsidR="005E00D0" w:rsidRPr="00BC3C0B" w:rsidRDefault="005E00D0" w:rsidP="00A30016">
      <w:pPr>
        <w:pStyle w:val="l-L2"/>
        <w:numPr>
          <w:ilvl w:val="0"/>
          <w:numId w:val="3"/>
        </w:numPr>
      </w:pPr>
      <w:r w:rsidRPr="00BC3C0B">
        <w:t>Veškerá práva a povinnosti vyplývající z této smlouvy přecházejí, pokud to povaha těchto</w:t>
      </w:r>
      <w:r w:rsidR="00944F4F">
        <w:t> </w:t>
      </w:r>
      <w:r w:rsidRPr="00BC3C0B">
        <w:t>práv a povinností nevylučuje, na právní nástupce smluvních stan.</w:t>
      </w:r>
    </w:p>
    <w:p w14:paraId="2A8EC1C8" w14:textId="77777777" w:rsidR="002540F0" w:rsidRPr="00BC3C0B" w:rsidRDefault="002540F0" w:rsidP="00A30016">
      <w:pPr>
        <w:pStyle w:val="l-L2"/>
        <w:numPr>
          <w:ilvl w:val="0"/>
          <w:numId w:val="3"/>
        </w:numPr>
      </w:pPr>
      <w:r w:rsidRPr="00BC3C0B">
        <w:t>Ukončením účinnosti této smlouvy nejsou dotčena ustanovení smlouvy týkající se převodu vlastnického práva, nároků z odpovědnosti za vady a ze záruky za jakost, nároků z odpovědnosti za škodu a nároků ze smluvních pokut, ustanovení o povinnosti mlčenlivosti, ani další ustanovení a nároky, z jejichž povahy vyplývá, že mají trvat i po zániku této smlouvy.</w:t>
      </w:r>
    </w:p>
    <w:p w14:paraId="781D2280" w14:textId="6AF714C8" w:rsidR="0076345A" w:rsidRDefault="007C577B" w:rsidP="00A30016">
      <w:pPr>
        <w:pStyle w:val="l-L2"/>
        <w:numPr>
          <w:ilvl w:val="0"/>
          <w:numId w:val="3"/>
        </w:numPr>
      </w:pPr>
      <w:r w:rsidRPr="007C577B">
        <w:lastRenderedPageBreak/>
        <w:t>Smluvní strany prohlašují, že smlouva byla sjednána na základě jejich pravé a svobodné vůle, že si její obsah přečetly a bezvýhradně s ním souhlasí, což stvrzují svými podpisy.</w:t>
      </w:r>
    </w:p>
    <w:p w14:paraId="2D52E8DF" w14:textId="77777777" w:rsidR="007C577B" w:rsidRDefault="007C577B" w:rsidP="007C577B">
      <w:pPr>
        <w:pStyle w:val="l-L2"/>
      </w:pPr>
    </w:p>
    <w:p w14:paraId="4A17A44D" w14:textId="004BE07B" w:rsidR="00654BF5" w:rsidRPr="00654BF5" w:rsidRDefault="009133E2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 w:rsidR="00654BF5" w:rsidRPr="00654BF5">
        <w:rPr>
          <w:rFonts w:cs="Arial"/>
          <w:szCs w:val="24"/>
        </w:rPr>
        <w:t>V.............................. dne.....................</w:t>
      </w:r>
      <w:r w:rsidR="00654BF5" w:rsidRPr="00654BF5">
        <w:rPr>
          <w:rFonts w:cs="Arial"/>
          <w:szCs w:val="24"/>
        </w:rPr>
        <w:tab/>
        <w:t>V.............................. dne.....................</w:t>
      </w:r>
    </w:p>
    <w:p w14:paraId="0807000F" w14:textId="77777777" w:rsidR="00654BF5" w:rsidRPr="00654BF5" w:rsidRDefault="00654BF5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</w:p>
    <w:p w14:paraId="0F99EA03" w14:textId="77777777" w:rsidR="00654BF5" w:rsidRPr="00654BF5" w:rsidRDefault="00654BF5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  <w:r w:rsidRPr="00654BF5">
        <w:rPr>
          <w:rFonts w:cs="Arial"/>
          <w:szCs w:val="24"/>
        </w:rPr>
        <w:tab/>
        <w:t>...................................................</w:t>
      </w:r>
      <w:r w:rsidRPr="00654BF5">
        <w:rPr>
          <w:rFonts w:cs="Arial"/>
          <w:szCs w:val="24"/>
        </w:rPr>
        <w:tab/>
        <w:t>...................................................</w:t>
      </w:r>
    </w:p>
    <w:p w14:paraId="1EB32F29" w14:textId="77777777" w:rsidR="00654BF5" w:rsidRPr="00654BF5" w:rsidRDefault="00654BF5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  <w:r w:rsidRPr="00654BF5">
        <w:rPr>
          <w:rFonts w:cs="Arial"/>
          <w:szCs w:val="24"/>
        </w:rPr>
        <w:tab/>
        <w:t>Objednatel</w:t>
      </w:r>
      <w:r w:rsidRPr="00654BF5">
        <w:rPr>
          <w:rFonts w:cs="Arial"/>
          <w:szCs w:val="24"/>
        </w:rPr>
        <w:tab/>
        <w:t>Zhotovitel</w:t>
      </w:r>
    </w:p>
    <w:p w14:paraId="5B2508F7" w14:textId="77777777" w:rsidR="00654BF5" w:rsidRPr="00654BF5" w:rsidRDefault="00654BF5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  <w:r w:rsidRPr="00654BF5">
        <w:rPr>
          <w:rFonts w:cs="Arial"/>
          <w:b/>
          <w:bCs/>
          <w:szCs w:val="24"/>
        </w:rPr>
        <w:tab/>
      </w:r>
      <w:r w:rsidRPr="00654BF5">
        <w:rPr>
          <w:rFonts w:cs="Arial"/>
          <w:szCs w:val="24"/>
        </w:rPr>
        <w:t>(elektronicky podepsáno)</w:t>
      </w:r>
    </w:p>
    <w:p w14:paraId="41887EAF" w14:textId="77777777" w:rsidR="00EB5A0B" w:rsidRPr="00654BF5" w:rsidDel="00EB5A0B" w:rsidRDefault="00654BF5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b/>
          <w:bCs/>
          <w:szCs w:val="24"/>
          <w:highlight w:val="yellow"/>
        </w:rPr>
      </w:pPr>
      <w:r w:rsidRPr="00654BF5">
        <w:rPr>
          <w:rFonts w:cs="Arial"/>
          <w:b/>
          <w:bCs/>
          <w:szCs w:val="24"/>
        </w:rPr>
        <w:tab/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16"/>
      </w:tblGrid>
      <w:tr w:rsidR="00EB5A0B" w:rsidRPr="00EB5A0B" w14:paraId="1D0463CC" w14:textId="77777777" w:rsidTr="00EB5A0B">
        <w:trPr>
          <w:trHeight w:val="407"/>
        </w:trPr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2C70DCC9" w14:textId="77777777" w:rsidR="00EB5A0B" w:rsidRPr="00EB5A0B" w:rsidRDefault="00EB5A0B" w:rsidP="00EB5A0B">
            <w:pPr>
              <w:tabs>
                <w:tab w:val="left" w:pos="142"/>
                <w:tab w:val="left" w:pos="4678"/>
              </w:tabs>
              <w:spacing w:line="280" w:lineRule="exact"/>
              <w:jc w:val="both"/>
              <w:rPr>
                <w:rFonts w:cs="Arial"/>
                <w:szCs w:val="24"/>
              </w:rPr>
            </w:pPr>
            <w:r w:rsidRPr="00EB5A0B">
              <w:rPr>
                <w:rFonts w:cs="Arial"/>
                <w:szCs w:val="24"/>
              </w:rPr>
              <w:t xml:space="preserve">Šárka Václavíková </w:t>
            </w:r>
          </w:p>
          <w:p w14:paraId="3569202E" w14:textId="6C51CBC4" w:rsidR="00EB5A0B" w:rsidRPr="00EB5A0B" w:rsidRDefault="00EB5A0B" w:rsidP="00EB5A0B">
            <w:pPr>
              <w:tabs>
                <w:tab w:val="left" w:pos="142"/>
                <w:tab w:val="left" w:pos="4678"/>
              </w:tabs>
              <w:spacing w:line="280" w:lineRule="exact"/>
              <w:jc w:val="both"/>
              <w:rPr>
                <w:rFonts w:cs="Arial"/>
                <w:b/>
                <w:bCs/>
                <w:szCs w:val="24"/>
                <w:highlight w:val="yellow"/>
              </w:rPr>
            </w:pPr>
            <w:r w:rsidRPr="00EB5A0B">
              <w:rPr>
                <w:rFonts w:cs="Arial"/>
                <w:szCs w:val="24"/>
              </w:rPr>
              <w:t xml:space="preserve">Ředitelka Krajského pozemkového úřadu </w:t>
            </w:r>
            <w:r>
              <w:rPr>
                <w:rFonts w:cs="Arial"/>
                <w:szCs w:val="24"/>
              </w:rPr>
              <w:t>pro Karlovarský kraj</w:t>
            </w:r>
            <w:r w:rsidRPr="00EB5A0B">
              <w:rPr>
                <w:rFonts w:cs="Arial"/>
                <w:b/>
                <w:bCs/>
                <w:szCs w:val="24"/>
              </w:rPr>
              <w:t xml:space="preserve"> </w:t>
            </w:r>
          </w:p>
        </w:tc>
      </w:tr>
    </w:tbl>
    <w:p w14:paraId="76E7FD52" w14:textId="77777777" w:rsidR="00F95F07" w:rsidRDefault="00F95F07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b/>
          <w:bCs/>
          <w:szCs w:val="24"/>
        </w:rPr>
      </w:pPr>
    </w:p>
    <w:p w14:paraId="36D5DA1A" w14:textId="68B1C288" w:rsidR="00654BF5" w:rsidRPr="00654BF5" w:rsidRDefault="00F95F07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  <w:r w:rsidRPr="00F95F07">
        <w:rPr>
          <w:rFonts w:cs="Arial"/>
          <w:b/>
          <w:bCs/>
          <w:i/>
          <w:iCs/>
          <w:szCs w:val="24"/>
        </w:rPr>
        <w:t>Příloha č. 1 – Plná moc</w:t>
      </w:r>
      <w:r w:rsidR="00654BF5" w:rsidRPr="00654BF5">
        <w:rPr>
          <w:rFonts w:cs="Arial"/>
          <w:b/>
          <w:bCs/>
          <w:szCs w:val="24"/>
        </w:rPr>
        <w:tab/>
      </w:r>
    </w:p>
    <w:p w14:paraId="054DD68E" w14:textId="77777777" w:rsidR="003B7D9D" w:rsidRPr="00D53952" w:rsidRDefault="003B7D9D" w:rsidP="005077E5">
      <w:pPr>
        <w:pStyle w:val="Zkladntext"/>
        <w:tabs>
          <w:tab w:val="left" w:pos="426"/>
        </w:tabs>
        <w:spacing w:line="276" w:lineRule="auto"/>
        <w:rPr>
          <w:rFonts w:cs="Arial"/>
          <w:b w:val="0"/>
          <w:sz w:val="22"/>
          <w:szCs w:val="22"/>
        </w:rPr>
      </w:pPr>
    </w:p>
    <w:p w14:paraId="2C7C3737" w14:textId="29B86F86" w:rsidR="003B7D9D" w:rsidRPr="00A30016" w:rsidRDefault="003B7D9D" w:rsidP="00A30016">
      <w:pPr>
        <w:pStyle w:val="Zkladntext"/>
        <w:tabs>
          <w:tab w:val="left" w:pos="426"/>
        </w:tabs>
        <w:spacing w:line="276" w:lineRule="auto"/>
        <w:jc w:val="both"/>
        <w:rPr>
          <w:szCs w:val="24"/>
        </w:rPr>
      </w:pPr>
    </w:p>
    <w:sectPr w:rsidR="003B7D9D" w:rsidRPr="00A30016" w:rsidSect="0089153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1134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D4C5E" w14:textId="77777777" w:rsidR="00D86CBA" w:rsidRDefault="00D86CBA" w:rsidP="00B83F26">
      <w:r>
        <w:separator/>
      </w:r>
    </w:p>
  </w:endnote>
  <w:endnote w:type="continuationSeparator" w:id="0">
    <w:p w14:paraId="66E86C4C" w14:textId="77777777" w:rsidR="00D86CBA" w:rsidRDefault="00D86CBA" w:rsidP="00B83F26">
      <w:r>
        <w:continuationSeparator/>
      </w:r>
    </w:p>
  </w:endnote>
  <w:endnote w:type="continuationNotice" w:id="1">
    <w:p w14:paraId="0840B3C4" w14:textId="77777777" w:rsidR="00D86CBA" w:rsidRDefault="00D86CB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0759" w14:textId="77777777" w:rsidR="00012340" w:rsidRDefault="00E07AA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1234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6A5DB78" w14:textId="77777777" w:rsidR="00012340" w:rsidRDefault="000123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34ADB" w14:textId="155A10B3" w:rsidR="00012340" w:rsidRPr="00B94C77" w:rsidRDefault="00B94C77" w:rsidP="00DB5561">
    <w:pPr>
      <w:jc w:val="center"/>
    </w:pPr>
    <w:r w:rsidRPr="00B94C77">
      <w:fldChar w:fldCharType="begin"/>
    </w:r>
    <w:r w:rsidRPr="00B94C77">
      <w:instrText xml:space="preserve"> PAGE   \* MERGEFORMAT </w:instrText>
    </w:r>
    <w:r w:rsidRPr="00B94C77">
      <w:fldChar w:fldCharType="separate"/>
    </w:r>
    <w:r w:rsidRPr="00B94C77">
      <w:rPr>
        <w:noProof/>
      </w:rPr>
      <w:t>2</w:t>
    </w:r>
    <w:r w:rsidRPr="00B94C77">
      <w:fldChar w:fldCharType="end"/>
    </w:r>
    <w:r w:rsidRPr="00B94C77">
      <w:t>/</w:t>
    </w:r>
    <w:r w:rsidR="009165B2">
      <w:fldChar w:fldCharType="begin"/>
    </w:r>
    <w:r w:rsidR="009165B2">
      <w:instrText>NUMPAGES   \* MERGEFORMAT</w:instrText>
    </w:r>
    <w:r w:rsidR="009165B2">
      <w:fldChar w:fldCharType="separate"/>
    </w:r>
    <w:r w:rsidRPr="00B94C77">
      <w:rPr>
        <w:noProof/>
      </w:rPr>
      <w:t>9</w:t>
    </w:r>
    <w:r w:rsidR="009165B2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6A758" w14:textId="302013B5" w:rsidR="63FBCC68" w:rsidRPr="00215458" w:rsidRDefault="00215458" w:rsidP="00215458">
    <w:pPr>
      <w:jc w:val="center"/>
      <w:rPr>
        <w:rFonts w:cs="Arial"/>
        <w:szCs w:val="22"/>
      </w:rPr>
    </w:pPr>
    <w:r w:rsidRPr="00215458">
      <w:rPr>
        <w:rFonts w:cs="Arial"/>
        <w:szCs w:val="22"/>
      </w:rPr>
      <w:fldChar w:fldCharType="begin"/>
    </w:r>
    <w:r w:rsidRPr="00215458">
      <w:rPr>
        <w:rFonts w:cs="Arial"/>
        <w:szCs w:val="22"/>
      </w:rPr>
      <w:instrText xml:space="preserve"> PAGE   \* MERGEFORMAT </w:instrText>
    </w:r>
    <w:r w:rsidRPr="00215458">
      <w:rPr>
        <w:rFonts w:cs="Arial"/>
        <w:szCs w:val="22"/>
      </w:rPr>
      <w:fldChar w:fldCharType="separate"/>
    </w:r>
    <w:r w:rsidRPr="00215458">
      <w:rPr>
        <w:rFonts w:cs="Arial"/>
        <w:noProof/>
        <w:szCs w:val="22"/>
      </w:rPr>
      <w:t>9</w:t>
    </w:r>
    <w:r w:rsidRPr="00215458">
      <w:rPr>
        <w:rFonts w:cs="Arial"/>
        <w:szCs w:val="22"/>
      </w:rPr>
      <w:fldChar w:fldCharType="end"/>
    </w:r>
    <w:r w:rsidRPr="00215458">
      <w:rPr>
        <w:rFonts w:cs="Arial"/>
        <w:szCs w:val="22"/>
      </w:rPr>
      <w:t>/</w:t>
    </w:r>
    <w:r w:rsidRPr="00215458">
      <w:rPr>
        <w:rFonts w:cs="Arial"/>
        <w:szCs w:val="22"/>
      </w:rPr>
      <w:fldChar w:fldCharType="begin"/>
    </w:r>
    <w:r w:rsidRPr="00215458">
      <w:rPr>
        <w:rFonts w:cs="Arial"/>
        <w:szCs w:val="22"/>
      </w:rPr>
      <w:instrText xml:space="preserve"> NUMPAGES   \* MERGEFORMAT </w:instrText>
    </w:r>
    <w:r w:rsidRPr="00215458">
      <w:rPr>
        <w:rFonts w:cs="Arial"/>
        <w:szCs w:val="22"/>
      </w:rPr>
      <w:fldChar w:fldCharType="separate"/>
    </w:r>
    <w:r w:rsidRPr="00215458">
      <w:rPr>
        <w:rFonts w:cs="Arial"/>
        <w:noProof/>
        <w:szCs w:val="22"/>
      </w:rPr>
      <w:t>9</w:t>
    </w:r>
    <w:r w:rsidRPr="00215458">
      <w:rPr>
        <w:rFonts w:cs="Arial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BF5F6" w14:textId="77777777" w:rsidR="00D86CBA" w:rsidRDefault="00D86CBA" w:rsidP="00B83F26">
      <w:r>
        <w:separator/>
      </w:r>
    </w:p>
  </w:footnote>
  <w:footnote w:type="continuationSeparator" w:id="0">
    <w:p w14:paraId="55B4F857" w14:textId="77777777" w:rsidR="00D86CBA" w:rsidRDefault="00D86CBA" w:rsidP="00B83F26">
      <w:r>
        <w:continuationSeparator/>
      </w:r>
    </w:p>
  </w:footnote>
  <w:footnote w:type="continuationNotice" w:id="1">
    <w:p w14:paraId="3B969CDE" w14:textId="77777777" w:rsidR="00D86CBA" w:rsidRDefault="00D86CB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E001C" w14:textId="77777777" w:rsidR="00B835B3" w:rsidRDefault="00B835B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0B16" w14:textId="77777777" w:rsidR="00D01128" w:rsidRPr="00D01128" w:rsidRDefault="00D01128" w:rsidP="00D01128">
    <w:r w:rsidRPr="00D01128">
      <w:t>Příloha č. 4b – Výzvy k podání nabídky na veřejnou zakázku malého rozsahu</w:t>
    </w:r>
  </w:p>
  <w:p w14:paraId="4BE65E1E" w14:textId="024292EC" w:rsidR="00B94C77" w:rsidRDefault="00B94C77" w:rsidP="00DB5561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1316A" w14:textId="6D26D2AA" w:rsidR="000C4B33" w:rsidRPr="00D53952" w:rsidRDefault="00450827" w:rsidP="00215458">
    <w:pPr>
      <w:pStyle w:val="Zhlav"/>
      <w:jc w:val="right"/>
      <w:rPr>
        <w:rFonts w:cs="Arial"/>
        <w:szCs w:val="22"/>
      </w:rPr>
    </w:pPr>
    <w:r w:rsidRPr="00D53952">
      <w:rPr>
        <w:rFonts w:cs="Arial"/>
        <w:szCs w:val="22"/>
      </w:rPr>
      <w:t>Č</w:t>
    </w:r>
    <w:r w:rsidR="000C4B33" w:rsidRPr="00D53952">
      <w:rPr>
        <w:rFonts w:cs="Arial"/>
        <w:szCs w:val="22"/>
      </w:rPr>
      <w:t>.j. objednatele:</w:t>
    </w:r>
  </w:p>
  <w:p w14:paraId="0FE1921E" w14:textId="5C153EBB" w:rsidR="00012340" w:rsidRDefault="63FBCC68" w:rsidP="00215458">
    <w:pPr>
      <w:pStyle w:val="Zhlav"/>
      <w:jc w:val="right"/>
      <w:rPr>
        <w:rFonts w:cs="Arial"/>
        <w:szCs w:val="22"/>
      </w:rPr>
    </w:pPr>
    <w:r w:rsidRPr="63FBCC68">
      <w:rPr>
        <w:rFonts w:cs="Arial"/>
        <w:szCs w:val="22"/>
      </w:rPr>
      <w:t>Č.j. zhotovitele: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28E8"/>
    <w:multiLevelType w:val="multilevel"/>
    <w:tmpl w:val="2CE49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4E00AB6"/>
    <w:multiLevelType w:val="multilevel"/>
    <w:tmpl w:val="2392DA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B4E438D"/>
    <w:multiLevelType w:val="multilevel"/>
    <w:tmpl w:val="0868B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4A45480"/>
    <w:multiLevelType w:val="multilevel"/>
    <w:tmpl w:val="D2C8F3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76D2E99"/>
    <w:multiLevelType w:val="multilevel"/>
    <w:tmpl w:val="EBA01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BB8749E"/>
    <w:multiLevelType w:val="multilevel"/>
    <w:tmpl w:val="D9621A54"/>
    <w:lvl w:ilvl="0">
      <w:start w:val="1"/>
      <w:numFmt w:val="upperRoman"/>
      <w:pStyle w:val="l-L1"/>
      <w:suff w:val="space"/>
      <w:lvlText w:val="Čl. %1."/>
      <w:lvlJc w:val="center"/>
      <w:pPr>
        <w:ind w:left="0" w:firstLine="288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isLgl/>
      <w:lvlText w:val="%2.%3."/>
      <w:lvlJc w:val="left"/>
      <w:pPr>
        <w:ind w:left="714" w:hanging="14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36E363C"/>
    <w:multiLevelType w:val="multilevel"/>
    <w:tmpl w:val="3F18D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440492B"/>
    <w:multiLevelType w:val="hybridMultilevel"/>
    <w:tmpl w:val="504CD5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B420A27"/>
    <w:multiLevelType w:val="multilevel"/>
    <w:tmpl w:val="37BA3A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44018F2"/>
    <w:multiLevelType w:val="multilevel"/>
    <w:tmpl w:val="4B822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B053A0F"/>
    <w:multiLevelType w:val="multilevel"/>
    <w:tmpl w:val="C1E04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BB27A21"/>
    <w:multiLevelType w:val="multilevel"/>
    <w:tmpl w:val="402C2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1A95C17"/>
    <w:multiLevelType w:val="multilevel"/>
    <w:tmpl w:val="13F03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53E134B"/>
    <w:multiLevelType w:val="multilevel"/>
    <w:tmpl w:val="585C41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5435208"/>
    <w:multiLevelType w:val="multilevel"/>
    <w:tmpl w:val="7416F6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271205720">
    <w:abstractNumId w:val="8"/>
  </w:num>
  <w:num w:numId="2" w16cid:durableId="2113667903">
    <w:abstractNumId w:val="5"/>
  </w:num>
  <w:num w:numId="3" w16cid:durableId="1277979245">
    <w:abstractNumId w:val="14"/>
  </w:num>
  <w:num w:numId="4" w16cid:durableId="123817459">
    <w:abstractNumId w:val="12"/>
  </w:num>
  <w:num w:numId="5" w16cid:durableId="780799941">
    <w:abstractNumId w:val="9"/>
  </w:num>
  <w:num w:numId="6" w16cid:durableId="1102452607">
    <w:abstractNumId w:val="10"/>
  </w:num>
  <w:num w:numId="7" w16cid:durableId="112525574">
    <w:abstractNumId w:val="11"/>
  </w:num>
  <w:num w:numId="8" w16cid:durableId="1776250309">
    <w:abstractNumId w:val="4"/>
  </w:num>
  <w:num w:numId="9" w16cid:durableId="855074957">
    <w:abstractNumId w:val="15"/>
  </w:num>
  <w:num w:numId="10" w16cid:durableId="901986671">
    <w:abstractNumId w:val="13"/>
  </w:num>
  <w:num w:numId="11" w16cid:durableId="184222226">
    <w:abstractNumId w:val="0"/>
  </w:num>
  <w:num w:numId="12" w16cid:durableId="993606692">
    <w:abstractNumId w:val="2"/>
  </w:num>
  <w:num w:numId="13" w16cid:durableId="79715456">
    <w:abstractNumId w:val="3"/>
  </w:num>
  <w:num w:numId="14" w16cid:durableId="589237625">
    <w:abstractNumId w:val="1"/>
  </w:num>
  <w:num w:numId="15" w16cid:durableId="1151023518">
    <w:abstractNumId w:val="7"/>
  </w:num>
  <w:num w:numId="16" w16cid:durableId="1808477219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26"/>
    <w:rsid w:val="00000AC5"/>
    <w:rsid w:val="00005156"/>
    <w:rsid w:val="00006455"/>
    <w:rsid w:val="00006EE5"/>
    <w:rsid w:val="000121DF"/>
    <w:rsid w:val="00012340"/>
    <w:rsid w:val="00015DD0"/>
    <w:rsid w:val="00024245"/>
    <w:rsid w:val="00027193"/>
    <w:rsid w:val="00030451"/>
    <w:rsid w:val="00030C3D"/>
    <w:rsid w:val="0003533D"/>
    <w:rsid w:val="00035616"/>
    <w:rsid w:val="00044529"/>
    <w:rsid w:val="00044B1C"/>
    <w:rsid w:val="0004607F"/>
    <w:rsid w:val="000571AA"/>
    <w:rsid w:val="0005767D"/>
    <w:rsid w:val="00057F3C"/>
    <w:rsid w:val="00060167"/>
    <w:rsid w:val="00061009"/>
    <w:rsid w:val="000618A9"/>
    <w:rsid w:val="00061AA5"/>
    <w:rsid w:val="00063376"/>
    <w:rsid w:val="00067924"/>
    <w:rsid w:val="000722A3"/>
    <w:rsid w:val="0007468D"/>
    <w:rsid w:val="00087A0A"/>
    <w:rsid w:val="00090512"/>
    <w:rsid w:val="00093C5B"/>
    <w:rsid w:val="00096AA3"/>
    <w:rsid w:val="000A6E48"/>
    <w:rsid w:val="000A7219"/>
    <w:rsid w:val="000B0A9A"/>
    <w:rsid w:val="000B10BB"/>
    <w:rsid w:val="000B3316"/>
    <w:rsid w:val="000B3EB9"/>
    <w:rsid w:val="000B47D7"/>
    <w:rsid w:val="000B78CD"/>
    <w:rsid w:val="000C0BDA"/>
    <w:rsid w:val="000C4B33"/>
    <w:rsid w:val="000C746F"/>
    <w:rsid w:val="000D1818"/>
    <w:rsid w:val="000E6467"/>
    <w:rsid w:val="000F1247"/>
    <w:rsid w:val="00104E9E"/>
    <w:rsid w:val="001068B7"/>
    <w:rsid w:val="00112268"/>
    <w:rsid w:val="00126A2D"/>
    <w:rsid w:val="0012753E"/>
    <w:rsid w:val="001348A2"/>
    <w:rsid w:val="001634AE"/>
    <w:rsid w:val="00165F4C"/>
    <w:rsid w:val="00167323"/>
    <w:rsid w:val="00167C3A"/>
    <w:rsid w:val="001715DA"/>
    <w:rsid w:val="00173730"/>
    <w:rsid w:val="00180850"/>
    <w:rsid w:val="00181A77"/>
    <w:rsid w:val="001829B6"/>
    <w:rsid w:val="00185DB2"/>
    <w:rsid w:val="00186DAA"/>
    <w:rsid w:val="00192480"/>
    <w:rsid w:val="00193E18"/>
    <w:rsid w:val="001971F1"/>
    <w:rsid w:val="001A4873"/>
    <w:rsid w:val="001A5183"/>
    <w:rsid w:val="001B4E11"/>
    <w:rsid w:val="001C0AA4"/>
    <w:rsid w:val="001C168E"/>
    <w:rsid w:val="001C2336"/>
    <w:rsid w:val="001C5582"/>
    <w:rsid w:val="001D363B"/>
    <w:rsid w:val="001D6745"/>
    <w:rsid w:val="001E4DC2"/>
    <w:rsid w:val="001E6314"/>
    <w:rsid w:val="001F221A"/>
    <w:rsid w:val="001F43CE"/>
    <w:rsid w:val="001F54ED"/>
    <w:rsid w:val="001F6EA0"/>
    <w:rsid w:val="002030E8"/>
    <w:rsid w:val="002045CC"/>
    <w:rsid w:val="00206E65"/>
    <w:rsid w:val="002112DC"/>
    <w:rsid w:val="00212BD1"/>
    <w:rsid w:val="00212DC4"/>
    <w:rsid w:val="00213D92"/>
    <w:rsid w:val="00214078"/>
    <w:rsid w:val="00215458"/>
    <w:rsid w:val="00216227"/>
    <w:rsid w:val="0021725F"/>
    <w:rsid w:val="002213F5"/>
    <w:rsid w:val="002233D7"/>
    <w:rsid w:val="00223F47"/>
    <w:rsid w:val="00224FAD"/>
    <w:rsid w:val="00234282"/>
    <w:rsid w:val="002402C2"/>
    <w:rsid w:val="0024062A"/>
    <w:rsid w:val="00245A3C"/>
    <w:rsid w:val="00246039"/>
    <w:rsid w:val="00252B50"/>
    <w:rsid w:val="002540F0"/>
    <w:rsid w:val="00254993"/>
    <w:rsid w:val="00264E49"/>
    <w:rsid w:val="00265FAA"/>
    <w:rsid w:val="00270033"/>
    <w:rsid w:val="00281042"/>
    <w:rsid w:val="002876AC"/>
    <w:rsid w:val="00294A9D"/>
    <w:rsid w:val="00296DB2"/>
    <w:rsid w:val="002973F2"/>
    <w:rsid w:val="002A2CF6"/>
    <w:rsid w:val="002A41D1"/>
    <w:rsid w:val="002A67F4"/>
    <w:rsid w:val="002B171C"/>
    <w:rsid w:val="002B1C6A"/>
    <w:rsid w:val="002B264E"/>
    <w:rsid w:val="002B7370"/>
    <w:rsid w:val="002C491C"/>
    <w:rsid w:val="002C59E8"/>
    <w:rsid w:val="002C74AD"/>
    <w:rsid w:val="002D14DC"/>
    <w:rsid w:val="002D36A8"/>
    <w:rsid w:val="002E0BCE"/>
    <w:rsid w:val="002E2A05"/>
    <w:rsid w:val="002E33CE"/>
    <w:rsid w:val="002F28FF"/>
    <w:rsid w:val="00304813"/>
    <w:rsid w:val="00305045"/>
    <w:rsid w:val="00306498"/>
    <w:rsid w:val="0031011B"/>
    <w:rsid w:val="0031120A"/>
    <w:rsid w:val="00311308"/>
    <w:rsid w:val="00324741"/>
    <w:rsid w:val="0032529C"/>
    <w:rsid w:val="00325902"/>
    <w:rsid w:val="00331E57"/>
    <w:rsid w:val="0033747A"/>
    <w:rsid w:val="00341911"/>
    <w:rsid w:val="00341FEF"/>
    <w:rsid w:val="00342E3D"/>
    <w:rsid w:val="003511BE"/>
    <w:rsid w:val="0035249E"/>
    <w:rsid w:val="00354996"/>
    <w:rsid w:val="00355450"/>
    <w:rsid w:val="003556C9"/>
    <w:rsid w:val="003565FA"/>
    <w:rsid w:val="00357E86"/>
    <w:rsid w:val="003611E2"/>
    <w:rsid w:val="003620AC"/>
    <w:rsid w:val="00363183"/>
    <w:rsid w:val="00381B1B"/>
    <w:rsid w:val="00395879"/>
    <w:rsid w:val="00397219"/>
    <w:rsid w:val="003A4E29"/>
    <w:rsid w:val="003A6937"/>
    <w:rsid w:val="003B5990"/>
    <w:rsid w:val="003B7D9D"/>
    <w:rsid w:val="003C1770"/>
    <w:rsid w:val="003C6AA3"/>
    <w:rsid w:val="003C703B"/>
    <w:rsid w:val="003D0CAE"/>
    <w:rsid w:val="003D0FED"/>
    <w:rsid w:val="003D4A42"/>
    <w:rsid w:val="003D68E8"/>
    <w:rsid w:val="003E0412"/>
    <w:rsid w:val="003E3A10"/>
    <w:rsid w:val="003E6132"/>
    <w:rsid w:val="003E6377"/>
    <w:rsid w:val="003E757C"/>
    <w:rsid w:val="003E7864"/>
    <w:rsid w:val="003F00A5"/>
    <w:rsid w:val="00401DF6"/>
    <w:rsid w:val="0040723A"/>
    <w:rsid w:val="004158D5"/>
    <w:rsid w:val="00430EE4"/>
    <w:rsid w:val="0043137E"/>
    <w:rsid w:val="0044232D"/>
    <w:rsid w:val="004453EA"/>
    <w:rsid w:val="00445932"/>
    <w:rsid w:val="00446E40"/>
    <w:rsid w:val="00450827"/>
    <w:rsid w:val="00457F60"/>
    <w:rsid w:val="0046360C"/>
    <w:rsid w:val="00463AB0"/>
    <w:rsid w:val="004652FB"/>
    <w:rsid w:val="00481BEE"/>
    <w:rsid w:val="004853B1"/>
    <w:rsid w:val="004856EE"/>
    <w:rsid w:val="00487EF5"/>
    <w:rsid w:val="004907AC"/>
    <w:rsid w:val="00494719"/>
    <w:rsid w:val="004A410A"/>
    <w:rsid w:val="004A5779"/>
    <w:rsid w:val="004B49E7"/>
    <w:rsid w:val="004C0349"/>
    <w:rsid w:val="004C0885"/>
    <w:rsid w:val="004C38D1"/>
    <w:rsid w:val="004D6A6C"/>
    <w:rsid w:val="004D73F3"/>
    <w:rsid w:val="004E2267"/>
    <w:rsid w:val="004E62D6"/>
    <w:rsid w:val="005034DE"/>
    <w:rsid w:val="00505E0D"/>
    <w:rsid w:val="005077E5"/>
    <w:rsid w:val="00512091"/>
    <w:rsid w:val="00512127"/>
    <w:rsid w:val="005127B2"/>
    <w:rsid w:val="0051649A"/>
    <w:rsid w:val="00523990"/>
    <w:rsid w:val="0052573B"/>
    <w:rsid w:val="00530002"/>
    <w:rsid w:val="00531C6F"/>
    <w:rsid w:val="00542A63"/>
    <w:rsid w:val="00543AEB"/>
    <w:rsid w:val="005444EE"/>
    <w:rsid w:val="0054478C"/>
    <w:rsid w:val="00554450"/>
    <w:rsid w:val="005700BC"/>
    <w:rsid w:val="00571A48"/>
    <w:rsid w:val="00571FFD"/>
    <w:rsid w:val="00572C8B"/>
    <w:rsid w:val="00574F3E"/>
    <w:rsid w:val="00577773"/>
    <w:rsid w:val="00587429"/>
    <w:rsid w:val="00595FEA"/>
    <w:rsid w:val="005A06BB"/>
    <w:rsid w:val="005A1F51"/>
    <w:rsid w:val="005A4779"/>
    <w:rsid w:val="005C23CD"/>
    <w:rsid w:val="005C248F"/>
    <w:rsid w:val="005C3114"/>
    <w:rsid w:val="005D059C"/>
    <w:rsid w:val="005D328A"/>
    <w:rsid w:val="005D65DE"/>
    <w:rsid w:val="005E00D0"/>
    <w:rsid w:val="005E295E"/>
    <w:rsid w:val="005E3D3B"/>
    <w:rsid w:val="005E70D6"/>
    <w:rsid w:val="005F186C"/>
    <w:rsid w:val="005F687B"/>
    <w:rsid w:val="005F69E8"/>
    <w:rsid w:val="005F7D43"/>
    <w:rsid w:val="006003F5"/>
    <w:rsid w:val="00613E9A"/>
    <w:rsid w:val="006160AE"/>
    <w:rsid w:val="00616346"/>
    <w:rsid w:val="0061794B"/>
    <w:rsid w:val="00622A24"/>
    <w:rsid w:val="006464FF"/>
    <w:rsid w:val="00653A09"/>
    <w:rsid w:val="006543D6"/>
    <w:rsid w:val="00654BF5"/>
    <w:rsid w:val="006642C9"/>
    <w:rsid w:val="006662DA"/>
    <w:rsid w:val="00683F62"/>
    <w:rsid w:val="0069213B"/>
    <w:rsid w:val="0069264C"/>
    <w:rsid w:val="00693F06"/>
    <w:rsid w:val="00693F15"/>
    <w:rsid w:val="006A0635"/>
    <w:rsid w:val="006A4457"/>
    <w:rsid w:val="006A6AA5"/>
    <w:rsid w:val="006B6D36"/>
    <w:rsid w:val="006B71E8"/>
    <w:rsid w:val="006C0E04"/>
    <w:rsid w:val="006C1D2C"/>
    <w:rsid w:val="006C3E38"/>
    <w:rsid w:val="006C6261"/>
    <w:rsid w:val="006D03C3"/>
    <w:rsid w:val="006D1E9C"/>
    <w:rsid w:val="006D588D"/>
    <w:rsid w:val="006D5E86"/>
    <w:rsid w:val="006D74A8"/>
    <w:rsid w:val="006E2443"/>
    <w:rsid w:val="006E2846"/>
    <w:rsid w:val="006F7FB0"/>
    <w:rsid w:val="00701D8A"/>
    <w:rsid w:val="007076A8"/>
    <w:rsid w:val="00716FB1"/>
    <w:rsid w:val="0071726E"/>
    <w:rsid w:val="007214D7"/>
    <w:rsid w:val="00721C31"/>
    <w:rsid w:val="00722150"/>
    <w:rsid w:val="007261A8"/>
    <w:rsid w:val="00726F14"/>
    <w:rsid w:val="007327EC"/>
    <w:rsid w:val="00737936"/>
    <w:rsid w:val="00737F4A"/>
    <w:rsid w:val="00740C5C"/>
    <w:rsid w:val="007421FE"/>
    <w:rsid w:val="0075149E"/>
    <w:rsid w:val="00752BF7"/>
    <w:rsid w:val="00755332"/>
    <w:rsid w:val="00761350"/>
    <w:rsid w:val="00761ABA"/>
    <w:rsid w:val="0076345A"/>
    <w:rsid w:val="007637D0"/>
    <w:rsid w:val="00764B88"/>
    <w:rsid w:val="00766EA4"/>
    <w:rsid w:val="00782A85"/>
    <w:rsid w:val="00790362"/>
    <w:rsid w:val="007A3296"/>
    <w:rsid w:val="007A798D"/>
    <w:rsid w:val="007C02AC"/>
    <w:rsid w:val="007C3ECF"/>
    <w:rsid w:val="007C577B"/>
    <w:rsid w:val="007C5C7F"/>
    <w:rsid w:val="007C76EF"/>
    <w:rsid w:val="007D079C"/>
    <w:rsid w:val="007D089F"/>
    <w:rsid w:val="007D18B4"/>
    <w:rsid w:val="007D3F38"/>
    <w:rsid w:val="007D42BC"/>
    <w:rsid w:val="007E17D6"/>
    <w:rsid w:val="007E33A0"/>
    <w:rsid w:val="007F3F96"/>
    <w:rsid w:val="007F521D"/>
    <w:rsid w:val="00810A43"/>
    <w:rsid w:val="00814C88"/>
    <w:rsid w:val="00815E94"/>
    <w:rsid w:val="00815F47"/>
    <w:rsid w:val="00816B62"/>
    <w:rsid w:val="00824479"/>
    <w:rsid w:val="00826B9E"/>
    <w:rsid w:val="008362F5"/>
    <w:rsid w:val="0083782B"/>
    <w:rsid w:val="008442E9"/>
    <w:rsid w:val="00850C3C"/>
    <w:rsid w:val="008517A3"/>
    <w:rsid w:val="00851E49"/>
    <w:rsid w:val="00854DB6"/>
    <w:rsid w:val="0085556B"/>
    <w:rsid w:val="00861FD9"/>
    <w:rsid w:val="0086490C"/>
    <w:rsid w:val="00865021"/>
    <w:rsid w:val="00865AAA"/>
    <w:rsid w:val="0087716C"/>
    <w:rsid w:val="008779A3"/>
    <w:rsid w:val="00880B3D"/>
    <w:rsid w:val="00883471"/>
    <w:rsid w:val="00890983"/>
    <w:rsid w:val="00891531"/>
    <w:rsid w:val="0089381F"/>
    <w:rsid w:val="00893A83"/>
    <w:rsid w:val="00895C11"/>
    <w:rsid w:val="00896610"/>
    <w:rsid w:val="00897B5E"/>
    <w:rsid w:val="008A1D16"/>
    <w:rsid w:val="008A1DE1"/>
    <w:rsid w:val="008A6DC3"/>
    <w:rsid w:val="008B33FA"/>
    <w:rsid w:val="008C2C8C"/>
    <w:rsid w:val="008C6100"/>
    <w:rsid w:val="008C61B3"/>
    <w:rsid w:val="008C6924"/>
    <w:rsid w:val="008E13A4"/>
    <w:rsid w:val="008E5BF1"/>
    <w:rsid w:val="008E631E"/>
    <w:rsid w:val="008F3E92"/>
    <w:rsid w:val="008F52AA"/>
    <w:rsid w:val="008F7171"/>
    <w:rsid w:val="008F7F7F"/>
    <w:rsid w:val="0090074B"/>
    <w:rsid w:val="009027D0"/>
    <w:rsid w:val="00911160"/>
    <w:rsid w:val="00912B60"/>
    <w:rsid w:val="009133E2"/>
    <w:rsid w:val="009165B2"/>
    <w:rsid w:val="00924023"/>
    <w:rsid w:val="009243A0"/>
    <w:rsid w:val="00933766"/>
    <w:rsid w:val="009340AE"/>
    <w:rsid w:val="00935646"/>
    <w:rsid w:val="00937C1D"/>
    <w:rsid w:val="00941318"/>
    <w:rsid w:val="00941C88"/>
    <w:rsid w:val="0094234F"/>
    <w:rsid w:val="00944CFD"/>
    <w:rsid w:val="00944D3F"/>
    <w:rsid w:val="00944F4F"/>
    <w:rsid w:val="009470ED"/>
    <w:rsid w:val="00956054"/>
    <w:rsid w:val="0096175E"/>
    <w:rsid w:val="00963788"/>
    <w:rsid w:val="00963D6F"/>
    <w:rsid w:val="009671A1"/>
    <w:rsid w:val="0096742C"/>
    <w:rsid w:val="009736F8"/>
    <w:rsid w:val="0097470B"/>
    <w:rsid w:val="00977292"/>
    <w:rsid w:val="0098788E"/>
    <w:rsid w:val="00987BFF"/>
    <w:rsid w:val="00987DA1"/>
    <w:rsid w:val="00992D32"/>
    <w:rsid w:val="0099495F"/>
    <w:rsid w:val="00994F06"/>
    <w:rsid w:val="00995933"/>
    <w:rsid w:val="00997983"/>
    <w:rsid w:val="009A356B"/>
    <w:rsid w:val="009B0115"/>
    <w:rsid w:val="009B22A4"/>
    <w:rsid w:val="009B2915"/>
    <w:rsid w:val="009B3EC8"/>
    <w:rsid w:val="009B4D42"/>
    <w:rsid w:val="009B6FC5"/>
    <w:rsid w:val="009B7615"/>
    <w:rsid w:val="009C08A0"/>
    <w:rsid w:val="009C0CA5"/>
    <w:rsid w:val="009C0F24"/>
    <w:rsid w:val="009C3271"/>
    <w:rsid w:val="009C62BC"/>
    <w:rsid w:val="009C6441"/>
    <w:rsid w:val="009C6A12"/>
    <w:rsid w:val="009C6AEC"/>
    <w:rsid w:val="009D3BAE"/>
    <w:rsid w:val="009D5790"/>
    <w:rsid w:val="009D6966"/>
    <w:rsid w:val="009F127A"/>
    <w:rsid w:val="009F145A"/>
    <w:rsid w:val="009F43E6"/>
    <w:rsid w:val="00A00B86"/>
    <w:rsid w:val="00A022B9"/>
    <w:rsid w:val="00A11C49"/>
    <w:rsid w:val="00A12D5B"/>
    <w:rsid w:val="00A1694B"/>
    <w:rsid w:val="00A22E65"/>
    <w:rsid w:val="00A2459C"/>
    <w:rsid w:val="00A30016"/>
    <w:rsid w:val="00A35BCB"/>
    <w:rsid w:val="00A375D5"/>
    <w:rsid w:val="00A45D1B"/>
    <w:rsid w:val="00A61E0B"/>
    <w:rsid w:val="00A73191"/>
    <w:rsid w:val="00A800E5"/>
    <w:rsid w:val="00A86B4C"/>
    <w:rsid w:val="00A87806"/>
    <w:rsid w:val="00AA4882"/>
    <w:rsid w:val="00AB041C"/>
    <w:rsid w:val="00AB0C9F"/>
    <w:rsid w:val="00AB3F7B"/>
    <w:rsid w:val="00AB6118"/>
    <w:rsid w:val="00AC1165"/>
    <w:rsid w:val="00AC32B2"/>
    <w:rsid w:val="00AC3DCD"/>
    <w:rsid w:val="00AC4A03"/>
    <w:rsid w:val="00AC5801"/>
    <w:rsid w:val="00AC6FB4"/>
    <w:rsid w:val="00AD737D"/>
    <w:rsid w:val="00AE09C6"/>
    <w:rsid w:val="00AE3DAF"/>
    <w:rsid w:val="00AF083C"/>
    <w:rsid w:val="00AF303A"/>
    <w:rsid w:val="00AF495A"/>
    <w:rsid w:val="00AF589E"/>
    <w:rsid w:val="00B02408"/>
    <w:rsid w:val="00B0493E"/>
    <w:rsid w:val="00B1283A"/>
    <w:rsid w:val="00B21DCD"/>
    <w:rsid w:val="00B2498F"/>
    <w:rsid w:val="00B30F9A"/>
    <w:rsid w:val="00B4061D"/>
    <w:rsid w:val="00B4224F"/>
    <w:rsid w:val="00B520B5"/>
    <w:rsid w:val="00B53EA9"/>
    <w:rsid w:val="00B54C2E"/>
    <w:rsid w:val="00B61357"/>
    <w:rsid w:val="00B705C1"/>
    <w:rsid w:val="00B7378A"/>
    <w:rsid w:val="00B7615A"/>
    <w:rsid w:val="00B80447"/>
    <w:rsid w:val="00B810DE"/>
    <w:rsid w:val="00B835B3"/>
    <w:rsid w:val="00B83F26"/>
    <w:rsid w:val="00B8435E"/>
    <w:rsid w:val="00B84595"/>
    <w:rsid w:val="00B869E9"/>
    <w:rsid w:val="00B87480"/>
    <w:rsid w:val="00B94C77"/>
    <w:rsid w:val="00B95B30"/>
    <w:rsid w:val="00BA1729"/>
    <w:rsid w:val="00BA4EE1"/>
    <w:rsid w:val="00BB2BAE"/>
    <w:rsid w:val="00BB4EEA"/>
    <w:rsid w:val="00BB7695"/>
    <w:rsid w:val="00BC00B7"/>
    <w:rsid w:val="00BC38E3"/>
    <w:rsid w:val="00BC3C0B"/>
    <w:rsid w:val="00BC5BBE"/>
    <w:rsid w:val="00BC630B"/>
    <w:rsid w:val="00BD65E8"/>
    <w:rsid w:val="00BE0939"/>
    <w:rsid w:val="00BE1A2A"/>
    <w:rsid w:val="00BE6B7F"/>
    <w:rsid w:val="00BE6C6B"/>
    <w:rsid w:val="00C02F0B"/>
    <w:rsid w:val="00C03C2A"/>
    <w:rsid w:val="00C13DD4"/>
    <w:rsid w:val="00C16AF5"/>
    <w:rsid w:val="00C17C65"/>
    <w:rsid w:val="00C26ADD"/>
    <w:rsid w:val="00C276DF"/>
    <w:rsid w:val="00C44071"/>
    <w:rsid w:val="00C450CB"/>
    <w:rsid w:val="00C46F3B"/>
    <w:rsid w:val="00C47760"/>
    <w:rsid w:val="00C557D2"/>
    <w:rsid w:val="00C61953"/>
    <w:rsid w:val="00C6594E"/>
    <w:rsid w:val="00C709CD"/>
    <w:rsid w:val="00C73FEA"/>
    <w:rsid w:val="00C75068"/>
    <w:rsid w:val="00C76848"/>
    <w:rsid w:val="00C8621E"/>
    <w:rsid w:val="00C93BFE"/>
    <w:rsid w:val="00C95B0E"/>
    <w:rsid w:val="00CA4C8F"/>
    <w:rsid w:val="00CA7572"/>
    <w:rsid w:val="00CB3BB5"/>
    <w:rsid w:val="00CB4F7C"/>
    <w:rsid w:val="00CB72CB"/>
    <w:rsid w:val="00CC07D3"/>
    <w:rsid w:val="00CC3E8C"/>
    <w:rsid w:val="00CC45A0"/>
    <w:rsid w:val="00CD628A"/>
    <w:rsid w:val="00CD7362"/>
    <w:rsid w:val="00CE7F49"/>
    <w:rsid w:val="00CF0417"/>
    <w:rsid w:val="00CF116D"/>
    <w:rsid w:val="00CF205B"/>
    <w:rsid w:val="00CF38A5"/>
    <w:rsid w:val="00CF3DAE"/>
    <w:rsid w:val="00D01128"/>
    <w:rsid w:val="00D0196C"/>
    <w:rsid w:val="00D01ACB"/>
    <w:rsid w:val="00D02089"/>
    <w:rsid w:val="00D03DA7"/>
    <w:rsid w:val="00D063D9"/>
    <w:rsid w:val="00D12D68"/>
    <w:rsid w:val="00D1571A"/>
    <w:rsid w:val="00D178FE"/>
    <w:rsid w:val="00D2184E"/>
    <w:rsid w:val="00D274CE"/>
    <w:rsid w:val="00D32776"/>
    <w:rsid w:val="00D35873"/>
    <w:rsid w:val="00D46FFD"/>
    <w:rsid w:val="00D53952"/>
    <w:rsid w:val="00D5611A"/>
    <w:rsid w:val="00D56522"/>
    <w:rsid w:val="00D64398"/>
    <w:rsid w:val="00D70B2E"/>
    <w:rsid w:val="00D72AB6"/>
    <w:rsid w:val="00D75A2F"/>
    <w:rsid w:val="00D8691B"/>
    <w:rsid w:val="00D86B17"/>
    <w:rsid w:val="00D86CBA"/>
    <w:rsid w:val="00D87948"/>
    <w:rsid w:val="00D90CCC"/>
    <w:rsid w:val="00D91798"/>
    <w:rsid w:val="00D91927"/>
    <w:rsid w:val="00D93301"/>
    <w:rsid w:val="00DA4548"/>
    <w:rsid w:val="00DA4B06"/>
    <w:rsid w:val="00DB4A0A"/>
    <w:rsid w:val="00DB5561"/>
    <w:rsid w:val="00DC05CC"/>
    <w:rsid w:val="00DC2BAF"/>
    <w:rsid w:val="00DD34EC"/>
    <w:rsid w:val="00DD5B46"/>
    <w:rsid w:val="00DE26A1"/>
    <w:rsid w:val="00DE43B6"/>
    <w:rsid w:val="00DE5176"/>
    <w:rsid w:val="00DF4A58"/>
    <w:rsid w:val="00E06DC1"/>
    <w:rsid w:val="00E07AA6"/>
    <w:rsid w:val="00E11AED"/>
    <w:rsid w:val="00E12971"/>
    <w:rsid w:val="00E12999"/>
    <w:rsid w:val="00E13CB6"/>
    <w:rsid w:val="00E22802"/>
    <w:rsid w:val="00E24120"/>
    <w:rsid w:val="00E32D43"/>
    <w:rsid w:val="00E36A32"/>
    <w:rsid w:val="00E376F5"/>
    <w:rsid w:val="00E40B37"/>
    <w:rsid w:val="00E43B8E"/>
    <w:rsid w:val="00E53155"/>
    <w:rsid w:val="00E57653"/>
    <w:rsid w:val="00E6214B"/>
    <w:rsid w:val="00E64472"/>
    <w:rsid w:val="00E649F4"/>
    <w:rsid w:val="00E724F1"/>
    <w:rsid w:val="00E74E11"/>
    <w:rsid w:val="00E75F8D"/>
    <w:rsid w:val="00E7616C"/>
    <w:rsid w:val="00E867F2"/>
    <w:rsid w:val="00E9393A"/>
    <w:rsid w:val="00E969F7"/>
    <w:rsid w:val="00E977B5"/>
    <w:rsid w:val="00EA401B"/>
    <w:rsid w:val="00EA4E8B"/>
    <w:rsid w:val="00EB5A0B"/>
    <w:rsid w:val="00EB5E26"/>
    <w:rsid w:val="00EB64F1"/>
    <w:rsid w:val="00EC3260"/>
    <w:rsid w:val="00EC535B"/>
    <w:rsid w:val="00EE0DC4"/>
    <w:rsid w:val="00EE1539"/>
    <w:rsid w:val="00EF1A5F"/>
    <w:rsid w:val="00EF2A82"/>
    <w:rsid w:val="00EF315E"/>
    <w:rsid w:val="00EF3698"/>
    <w:rsid w:val="00EF7455"/>
    <w:rsid w:val="00EF7CB8"/>
    <w:rsid w:val="00F0000B"/>
    <w:rsid w:val="00F133C5"/>
    <w:rsid w:val="00F16EEB"/>
    <w:rsid w:val="00F21628"/>
    <w:rsid w:val="00F25344"/>
    <w:rsid w:val="00F268F2"/>
    <w:rsid w:val="00F31B94"/>
    <w:rsid w:val="00F31FC7"/>
    <w:rsid w:val="00F32916"/>
    <w:rsid w:val="00F33FE9"/>
    <w:rsid w:val="00F45CC4"/>
    <w:rsid w:val="00F60711"/>
    <w:rsid w:val="00F627CD"/>
    <w:rsid w:val="00F64E37"/>
    <w:rsid w:val="00F66E65"/>
    <w:rsid w:val="00F7191E"/>
    <w:rsid w:val="00F723B6"/>
    <w:rsid w:val="00F815D0"/>
    <w:rsid w:val="00F95F07"/>
    <w:rsid w:val="00F96649"/>
    <w:rsid w:val="00FB2FDB"/>
    <w:rsid w:val="00FB40B2"/>
    <w:rsid w:val="00FB4F60"/>
    <w:rsid w:val="00FB5305"/>
    <w:rsid w:val="00FC3888"/>
    <w:rsid w:val="00FC7980"/>
    <w:rsid w:val="00FD23A6"/>
    <w:rsid w:val="00FD4E9D"/>
    <w:rsid w:val="00FD564D"/>
    <w:rsid w:val="00FE31AB"/>
    <w:rsid w:val="00FE6640"/>
    <w:rsid w:val="00FF0932"/>
    <w:rsid w:val="00FF480F"/>
    <w:rsid w:val="00FF6396"/>
    <w:rsid w:val="09B503B2"/>
    <w:rsid w:val="0A61F8A8"/>
    <w:rsid w:val="0D761B7A"/>
    <w:rsid w:val="11D48CAD"/>
    <w:rsid w:val="12B0A9B2"/>
    <w:rsid w:val="144B249E"/>
    <w:rsid w:val="17A77F57"/>
    <w:rsid w:val="23A73521"/>
    <w:rsid w:val="293CBFF2"/>
    <w:rsid w:val="2D7FA580"/>
    <w:rsid w:val="2EDF0124"/>
    <w:rsid w:val="30932AE3"/>
    <w:rsid w:val="32396FAE"/>
    <w:rsid w:val="3A5C1897"/>
    <w:rsid w:val="4458B09C"/>
    <w:rsid w:val="5170DEB6"/>
    <w:rsid w:val="52AD0B67"/>
    <w:rsid w:val="5765A8C5"/>
    <w:rsid w:val="58558F23"/>
    <w:rsid w:val="5C76C268"/>
    <w:rsid w:val="5E55C967"/>
    <w:rsid w:val="5E57FD44"/>
    <w:rsid w:val="5F3E844C"/>
    <w:rsid w:val="63FBCC68"/>
    <w:rsid w:val="6465AF60"/>
    <w:rsid w:val="66E1B960"/>
    <w:rsid w:val="671550E3"/>
    <w:rsid w:val="6DEBA05F"/>
    <w:rsid w:val="6F0069D8"/>
    <w:rsid w:val="707102AD"/>
    <w:rsid w:val="7353FB3B"/>
    <w:rsid w:val="7A0AF36C"/>
    <w:rsid w:val="7B27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AAD9C"/>
  <w15:docId w15:val="{D30A3DB0-A232-401C-8A69-91FF2DBD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5561"/>
    <w:pPr>
      <w:spacing w:before="120" w:after="120" w:line="276" w:lineRule="auto"/>
      <w:contextualSpacing/>
    </w:pPr>
    <w:rPr>
      <w:rFonts w:ascii="Arial" w:eastAsia="Times New Roman" w:hAnsi="Arial"/>
      <w:sz w:val="22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13C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B83F26"/>
    <w:pPr>
      <w:keepNext/>
      <w:spacing w:line="360" w:lineRule="auto"/>
      <w:outlineLvl w:val="1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83F26"/>
    <w:rPr>
      <w:rFonts w:eastAsia="Times New Roman"/>
      <w:snapToGrid w:val="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B83F26"/>
    <w:pPr>
      <w:spacing w:line="360" w:lineRule="auto"/>
    </w:pPr>
    <w:rPr>
      <w:b/>
      <w:snapToGrid w:val="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B83F26"/>
    <w:rPr>
      <w:rFonts w:eastAsia="Times New Roman"/>
      <w:b/>
      <w:snapToGrid w:val="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B83F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3F26"/>
    <w:rPr>
      <w:rFonts w:eastAsia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B83F26"/>
  </w:style>
  <w:style w:type="paragraph" w:styleId="Zkladntext2">
    <w:name w:val="Body Text 2"/>
    <w:basedOn w:val="Normln"/>
    <w:link w:val="Zkladntext2Char"/>
    <w:semiHidden/>
    <w:rsid w:val="00B83F26"/>
    <w:rPr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B83F26"/>
    <w:rPr>
      <w:rFonts w:eastAsia="Times New Roman"/>
      <w:snapToGrid w:val="0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B83F26"/>
    <w:pPr>
      <w:jc w:val="both"/>
    </w:pPr>
    <w:rPr>
      <w:snapToGrid w:val="0"/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B83F26"/>
    <w:rPr>
      <w:rFonts w:eastAsia="Times New Roman"/>
      <w:snapToGrid w:val="0"/>
      <w:szCs w:val="20"/>
      <w:lang w:eastAsia="cs-CZ"/>
    </w:rPr>
  </w:style>
  <w:style w:type="paragraph" w:styleId="Nzev">
    <w:name w:val="Title"/>
    <w:basedOn w:val="Normln"/>
    <w:link w:val="NzevChar"/>
    <w:qFormat/>
    <w:rsid w:val="00AF589E"/>
    <w:pPr>
      <w:jc w:val="center"/>
      <w:outlineLvl w:val="0"/>
    </w:pPr>
    <w:rPr>
      <w:b/>
      <w:snapToGrid w:val="0"/>
      <w:sz w:val="24"/>
      <w:szCs w:val="28"/>
    </w:rPr>
  </w:style>
  <w:style w:type="character" w:customStyle="1" w:styleId="NzevChar">
    <w:name w:val="Název Char"/>
    <w:basedOn w:val="Standardnpsmoodstavce"/>
    <w:link w:val="Nzev"/>
    <w:rsid w:val="00AF589E"/>
    <w:rPr>
      <w:rFonts w:ascii="Arial" w:eastAsia="Times New Roman" w:hAnsi="Arial"/>
      <w:b/>
      <w:snapToGrid w:val="0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83F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3F26"/>
    <w:rPr>
      <w:rFonts w:eastAsia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00B86"/>
    <w:pPr>
      <w:ind w:left="720"/>
    </w:pPr>
  </w:style>
  <w:style w:type="table" w:styleId="Mkatabulky">
    <w:name w:val="Table Grid"/>
    <w:basedOn w:val="Normlntabulka"/>
    <w:uiPriority w:val="39"/>
    <w:rsid w:val="00CB4F7C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611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1E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l-L2">
    <w:name w:val="Čl - L2"/>
    <w:basedOn w:val="Normln"/>
    <w:link w:val="l-L2Char"/>
    <w:qFormat/>
    <w:rsid w:val="00DA4B06"/>
    <w:pPr>
      <w:jc w:val="both"/>
    </w:pPr>
    <w:rPr>
      <w:szCs w:val="24"/>
    </w:rPr>
  </w:style>
  <w:style w:type="character" w:customStyle="1" w:styleId="l-L2Char">
    <w:name w:val="Čl - L2 Char"/>
    <w:link w:val="l-L2"/>
    <w:rsid w:val="00DA4B06"/>
    <w:rPr>
      <w:rFonts w:ascii="Arial" w:eastAsia="Times New Roman" w:hAnsi="Arial"/>
      <w:sz w:val="22"/>
      <w:lang w:eastAsia="cs-CZ"/>
    </w:rPr>
  </w:style>
  <w:style w:type="paragraph" w:customStyle="1" w:styleId="l-L1">
    <w:name w:val="Čl. - L1"/>
    <w:basedOn w:val="Normln"/>
    <w:next w:val="Normln"/>
    <w:link w:val="l-L1Char"/>
    <w:qFormat/>
    <w:rsid w:val="009B0115"/>
    <w:pPr>
      <w:keepNext/>
      <w:numPr>
        <w:numId w:val="2"/>
      </w:numPr>
      <w:suppressAutoHyphens/>
      <w:ind w:firstLine="289"/>
      <w:jc w:val="center"/>
      <w:outlineLvl w:val="0"/>
    </w:pPr>
    <w:rPr>
      <w:b/>
      <w:szCs w:val="24"/>
      <w:u w:val="single"/>
      <w:lang w:eastAsia="en-US"/>
    </w:rPr>
  </w:style>
  <w:style w:type="paragraph" w:customStyle="1" w:styleId="TSlneksmlouvy">
    <w:name w:val="TS Článek smlouvy"/>
    <w:basedOn w:val="Normln"/>
    <w:next w:val="Normln"/>
    <w:link w:val="TSlneksmlouvyChar"/>
    <w:rsid w:val="00EF7CB8"/>
    <w:pPr>
      <w:keepNext/>
      <w:numPr>
        <w:numId w:val="1"/>
      </w:numPr>
      <w:suppressAutoHyphens/>
      <w:spacing w:before="480" w:after="240" w:line="280" w:lineRule="exact"/>
      <w:jc w:val="center"/>
      <w:outlineLvl w:val="0"/>
    </w:pPr>
    <w:rPr>
      <w:b/>
      <w:szCs w:val="24"/>
      <w:u w:val="single"/>
      <w:lang w:eastAsia="en-US"/>
    </w:rPr>
  </w:style>
  <w:style w:type="character" w:customStyle="1" w:styleId="TSlneksmlouvyChar">
    <w:name w:val="TS Článek smlouvy Char"/>
    <w:link w:val="TSlneksmlouvy"/>
    <w:rsid w:val="00EF7CB8"/>
    <w:rPr>
      <w:rFonts w:ascii="Arial" w:eastAsia="Times New Roman" w:hAnsi="Arial"/>
      <w:b/>
      <w:sz w:val="22"/>
      <w:u w:val="single"/>
    </w:rPr>
  </w:style>
  <w:style w:type="character" w:customStyle="1" w:styleId="l-L1Char">
    <w:name w:val="Čl. - L1 Char"/>
    <w:link w:val="l-L1"/>
    <w:rsid w:val="009B0115"/>
    <w:rPr>
      <w:rFonts w:ascii="Arial" w:eastAsia="Times New Roman" w:hAnsi="Arial"/>
      <w:b/>
      <w:sz w:val="22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9F14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F145A"/>
  </w:style>
  <w:style w:type="character" w:customStyle="1" w:styleId="TextkomenteChar">
    <w:name w:val="Text komentáře Char"/>
    <w:basedOn w:val="Standardnpsmoodstavce"/>
    <w:link w:val="Textkomente"/>
    <w:uiPriority w:val="99"/>
    <w:rsid w:val="009F145A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4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45A"/>
    <w:rPr>
      <w:rFonts w:eastAsia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0196C"/>
    <w:rPr>
      <w:rFonts w:eastAsia="Times New Roman"/>
      <w:sz w:val="20"/>
      <w:szCs w:val="20"/>
      <w:lang w:eastAsia="cs-CZ"/>
    </w:rPr>
  </w:style>
  <w:style w:type="paragraph" w:customStyle="1" w:styleId="TSTextlnkuslovan">
    <w:name w:val="TS Text článku číslovaný"/>
    <w:basedOn w:val="Normln"/>
    <w:link w:val="TSTextlnkuslovanChar"/>
    <w:rsid w:val="00024245"/>
    <w:pPr>
      <w:spacing w:line="280" w:lineRule="exact"/>
    </w:pPr>
    <w:rPr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024245"/>
    <w:rPr>
      <w:rFonts w:ascii="Arial" w:eastAsia="Times New Roman" w:hAnsi="Arial"/>
      <w:sz w:val="22"/>
      <w:lang w:val="x-none" w:eastAsia="x-none"/>
    </w:rPr>
  </w:style>
  <w:style w:type="paragraph" w:styleId="Bezmezer">
    <w:name w:val="No Spacing"/>
    <w:uiPriority w:val="1"/>
    <w:qFormat/>
    <w:rsid w:val="00FB40B2"/>
    <w:pPr>
      <w:widowControl w:val="0"/>
      <w:suppressAutoHyphens/>
    </w:pPr>
    <w:rPr>
      <w:rFonts w:eastAsia="Lucida Sans Unicode"/>
      <w:lang w:eastAsia="cs-CZ"/>
    </w:rPr>
  </w:style>
  <w:style w:type="character" w:styleId="Siln">
    <w:name w:val="Strong"/>
    <w:qFormat/>
    <w:rsid w:val="00752BF7"/>
    <w:rPr>
      <w:b/>
      <w:bCs/>
    </w:rPr>
  </w:style>
  <w:style w:type="paragraph" w:customStyle="1" w:styleId="Default">
    <w:name w:val="Default"/>
    <w:rsid w:val="0075533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ypertextovodkaz">
    <w:name w:val="Hyperlink"/>
    <w:basedOn w:val="Standardnpsmoodstavce"/>
    <w:uiPriority w:val="99"/>
    <w:unhideWhenUsed/>
    <w:rsid w:val="5170DEB6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13CB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table" w:styleId="Svtlmkatabulky">
    <w:name w:val="Grid Table Light"/>
    <w:basedOn w:val="Normlntabulka"/>
    <w:uiPriority w:val="40"/>
    <w:rsid w:val="00DC2BAF"/>
    <w:rPr>
      <w:rFonts w:asciiTheme="minorHAnsi" w:hAnsiTheme="minorHAnsi" w:cstheme="minorBidi"/>
      <w:kern w:val="2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lnweb">
    <w:name w:val="Normal (Web)"/>
    <w:basedOn w:val="Normln"/>
    <w:uiPriority w:val="99"/>
    <w:semiHidden/>
    <w:unhideWhenUsed/>
    <w:rsid w:val="00DC2BAF"/>
    <w:pPr>
      <w:spacing w:before="100" w:beforeAutospacing="1" w:after="100" w:afterAutospacing="1" w:line="240" w:lineRule="auto"/>
      <w:contextualSpacing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epodatelna@spu.gov.cz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HCUZCRXN6NH5-927520346-6081</_dlc_DocId>
    <_dlc_DocIdUrl xmlns="85f4b5cc-4033-44c7-b405-f5eed34c8154">
      <Url>https://spucr.sharepoint.com/sites/Portal/rd/_layouts/15/DocIdRedir.aspx?ID=HCUZCRXN6NH5-927520346-6081</Url>
      <Description>HCUZCRXN6NH5-927520346-6081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3FAF80-B971-4B1B-8FE8-160C1D094A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48CB31-4E88-49A6-BF28-D07DFAD55C65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  <ds:schemaRef ds:uri="ada3fa48-c231-4f9d-a491-19361e04fcb4"/>
  </ds:schemaRefs>
</ds:datastoreItem>
</file>

<file path=customXml/itemProps3.xml><?xml version="1.0" encoding="utf-8"?>
<ds:datastoreItem xmlns:ds="http://schemas.openxmlformats.org/officeDocument/2006/customXml" ds:itemID="{19D37817-0F55-4717-8504-E6D4D297664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860C370-98BB-492D-B256-EDADCE07500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C9F50FF-0273-4588-BFEB-D453325C8091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E14EE79C-19AA-4F46-B845-D087C54C5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10</Pages>
  <Words>3768</Words>
  <Characters>22238</Characters>
  <Application>Microsoft Office Word</Application>
  <DocSecurity>0</DocSecurity>
  <Lines>185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14 - Smlouva o dílo na provedení autorského dozoru projektanta (1. 10. 2019).docx</vt:lpstr>
    </vt:vector>
  </TitlesOfParts>
  <Company/>
  <LinksUpToDate>false</LinksUpToDate>
  <CharactersWithSpaces>25955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14 - Smlouva o dílo na provedení autorského dozoru projektanta (1. 10. 2019).docx</dc:title>
  <dc:subject/>
  <dc:creator>zhebelkova</dc:creator>
  <cp:keywords/>
  <cp:lastModifiedBy>Telepovská Zuzana Ing.</cp:lastModifiedBy>
  <cp:revision>95</cp:revision>
  <cp:lastPrinted>2022-06-15T12:51:00Z</cp:lastPrinted>
  <dcterms:created xsi:type="dcterms:W3CDTF">2025-02-03T12:37:00Z</dcterms:created>
  <dcterms:modified xsi:type="dcterms:W3CDTF">2025-09-17T06:41:00Z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e2ad18bc-ae6b-4a13-8c7a-c73fadd2e98e</vt:lpwstr>
  </property>
  <property fmtid="{D5CDD505-2E9C-101B-9397-08002B2CF9AE}" pid="4" name="RDStavProcesu">
    <vt:lpwstr/>
  </property>
  <property fmtid="{D5CDD505-2E9C-101B-9397-08002B2CF9AE}" pid="5" name="Order">
    <vt:r8>227900</vt:r8>
  </property>
  <property fmtid="{D5CDD505-2E9C-101B-9397-08002B2CF9AE}" pid="6" name="RDTypDokumentu">
    <vt:lpwstr/>
  </property>
  <property fmtid="{D5CDD505-2E9C-101B-9397-08002B2CF9AE}" pid="7" name="RDDotceneOsoby">
    <vt:lpwstr/>
  </property>
  <property fmtid="{D5CDD505-2E9C-101B-9397-08002B2CF9AE}" pid="8" name="xd_Signature">
    <vt:bool>false</vt:bool>
  </property>
  <property fmtid="{D5CDD505-2E9C-101B-9397-08002B2CF9AE}" pid="9" name="RDGarant">
    <vt:lpwstr/>
  </property>
  <property fmtid="{D5CDD505-2E9C-101B-9397-08002B2CF9AE}" pid="10" name="RDPreviousStatus">
    <vt:lpwstr/>
  </property>
  <property fmtid="{D5CDD505-2E9C-101B-9397-08002B2CF9AE}" pid="11" name="xd_ProgID">
    <vt:lpwstr/>
  </property>
  <property fmtid="{D5CDD505-2E9C-101B-9397-08002B2CF9AE}" pid="12" name="DocumentSetDescription">
    <vt:lpwstr/>
  </property>
  <property fmtid="{D5CDD505-2E9C-101B-9397-08002B2CF9AE}" pid="13" name="RDPripominkyKolo">
    <vt:lpwstr/>
  </property>
  <property fmtid="{D5CDD505-2E9C-101B-9397-08002B2CF9AE}" pid="14" name="RDKomentar">
    <vt:lpwstr/>
  </property>
  <property fmtid="{D5CDD505-2E9C-101B-9397-08002B2CF9AE}" pid="15" name="RDCisloJednaci">
    <vt:lpwstr/>
  </property>
  <property fmtid="{D5CDD505-2E9C-101B-9397-08002B2CF9AE}" pid="16" name="RDNahrazuje">
    <vt:lpwstr/>
  </property>
  <property fmtid="{D5CDD505-2E9C-101B-9397-08002B2CF9AE}" pid="17" name="RDCreatedFromID">
    <vt:lpwstr/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RDPoradoveCisloCalc">
    <vt:lpwstr/>
  </property>
  <property fmtid="{D5CDD505-2E9C-101B-9397-08002B2CF9AE}" pid="21" name="VestnikCisloInformace">
    <vt:lpwstr/>
  </property>
  <property fmtid="{D5CDD505-2E9C-101B-9397-08002B2CF9AE}" pid="22" name="runWF">
    <vt:lpwstr/>
  </property>
  <property fmtid="{D5CDD505-2E9C-101B-9397-08002B2CF9AE}" pid="23" name="RDPripominkujici">
    <vt:lpwstr/>
  </property>
  <property fmtid="{D5CDD505-2E9C-101B-9397-08002B2CF9AE}" pid="24" name="RDKlasifikaceCitlivosti">
    <vt:lpwstr/>
  </property>
  <property fmtid="{D5CDD505-2E9C-101B-9397-08002B2CF9AE}" pid="25" name="vLookupPripominky">
    <vt:lpwstr/>
  </property>
  <property fmtid="{D5CDD505-2E9C-101B-9397-08002B2CF9AE}" pid="26" name="RDZpusobVydani">
    <vt:lpwstr/>
  </property>
  <property fmtid="{D5CDD505-2E9C-101B-9397-08002B2CF9AE}" pid="27" name="VestnikUrl">
    <vt:lpwstr/>
  </property>
  <property fmtid="{D5CDD505-2E9C-101B-9397-08002B2CF9AE}" pid="28" name="RDCisloIdentifikacni">
    <vt:lpwstr/>
  </property>
  <property fmtid="{D5CDD505-2E9C-101B-9397-08002B2CF9AE}" pid="29" name="vLookupUkoly">
    <vt:lpwstr/>
  </property>
  <property fmtid="{D5CDD505-2E9C-101B-9397-08002B2CF9AE}" pid="30" name="RDSpoluAutori">
    <vt:lpwstr/>
  </property>
  <property fmtid="{D5CDD505-2E9C-101B-9397-08002B2CF9AE}" pid="31" name="RDSouvisi">
    <vt:lpwstr/>
  </property>
  <property fmtid="{D5CDD505-2E9C-101B-9397-08002B2CF9AE}" pid="32" name="RDOblast">
    <vt:lpwstr/>
  </property>
  <property fmtid="{D5CDD505-2E9C-101B-9397-08002B2CF9AE}" pid="33" name="_ExtendedDescription">
    <vt:lpwstr/>
  </property>
  <property fmtid="{D5CDD505-2E9C-101B-9397-08002B2CF9AE}" pid="34" name="NazevRD">
    <vt:lpwstr/>
  </property>
</Properties>
</file>