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6C9F28E0" w14:textId="77777777" w:rsidR="00306659" w:rsidRPr="00D514D1" w:rsidRDefault="00306659" w:rsidP="00306659">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Česká </w:t>
      </w:r>
      <w:proofErr w:type="gramStart"/>
      <w:r w:rsidRPr="00D514D1">
        <w:rPr>
          <w:rFonts w:cs="Arial"/>
          <w:b/>
          <w:szCs w:val="22"/>
        </w:rPr>
        <w:t>republika - Státní</w:t>
      </w:r>
      <w:proofErr w:type="gramEnd"/>
      <w:r w:rsidRPr="00D514D1">
        <w:rPr>
          <w:rFonts w:cs="Arial"/>
          <w:b/>
          <w:szCs w:val="22"/>
        </w:rPr>
        <w:t xml:space="preserve"> pozemkový úřad</w:t>
      </w:r>
    </w:p>
    <w:p w14:paraId="30F00306" w14:textId="77777777" w:rsidR="00306659" w:rsidRPr="00D514D1" w:rsidRDefault="00306659" w:rsidP="00306659">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Sídlo: </w:t>
      </w:r>
      <w:r w:rsidRPr="00D514D1">
        <w:rPr>
          <w:rFonts w:cs="Arial"/>
          <w:szCs w:val="22"/>
        </w:rPr>
        <w:t>Husinecká 1024/</w:t>
      </w:r>
      <w:proofErr w:type="gramStart"/>
      <w:r w:rsidRPr="00D514D1">
        <w:rPr>
          <w:rFonts w:cs="Arial"/>
          <w:szCs w:val="22"/>
        </w:rPr>
        <w:t>11a</w:t>
      </w:r>
      <w:proofErr w:type="gramEnd"/>
      <w:r w:rsidRPr="00D514D1">
        <w:rPr>
          <w:rFonts w:cs="Arial"/>
          <w:szCs w:val="22"/>
        </w:rPr>
        <w:t>, 130 00 Praha 3</w:t>
      </w:r>
    </w:p>
    <w:p w14:paraId="02B0DB85" w14:textId="77777777" w:rsidR="00306659" w:rsidRPr="00D514D1" w:rsidRDefault="00306659" w:rsidP="00306659">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Krajský pozemkový úřad pro Jihomoravský kraj, Pobočka Břeclav </w:t>
      </w:r>
    </w:p>
    <w:p w14:paraId="55E224BA" w14:textId="77777777" w:rsidR="00306659" w:rsidRPr="00D514D1" w:rsidRDefault="00306659" w:rsidP="00306659">
      <w:pPr>
        <w:overflowPunct w:val="0"/>
        <w:autoSpaceDE w:val="0"/>
        <w:autoSpaceDN w:val="0"/>
        <w:adjustRightInd w:val="0"/>
        <w:spacing w:before="0" w:after="0"/>
        <w:contextualSpacing w:val="0"/>
        <w:jc w:val="both"/>
        <w:textAlignment w:val="baseline"/>
        <w:rPr>
          <w:rFonts w:cs="Arial"/>
          <w:szCs w:val="22"/>
        </w:rPr>
      </w:pPr>
      <w:r w:rsidRPr="00D514D1">
        <w:rPr>
          <w:rFonts w:cs="Arial"/>
          <w:b/>
          <w:szCs w:val="22"/>
        </w:rPr>
        <w:t>Adresa: náměstí T. G. Masaryka 2957/</w:t>
      </w:r>
      <w:proofErr w:type="gramStart"/>
      <w:r w:rsidRPr="00D514D1">
        <w:rPr>
          <w:rFonts w:cs="Arial"/>
          <w:b/>
          <w:szCs w:val="22"/>
        </w:rPr>
        <w:t>9a</w:t>
      </w:r>
      <w:proofErr w:type="gramEnd"/>
      <w:r w:rsidRPr="00D514D1">
        <w:rPr>
          <w:rFonts w:cs="Arial"/>
          <w:b/>
          <w:szCs w:val="22"/>
        </w:rPr>
        <w:t>, 690 02 Břeclav</w:t>
      </w:r>
    </w:p>
    <w:p w14:paraId="5FA7E23D" w14:textId="77777777" w:rsidR="00306659" w:rsidRPr="00D514D1" w:rsidRDefault="00306659" w:rsidP="00306659">
      <w:pPr>
        <w:overflowPunct w:val="0"/>
        <w:autoSpaceDE w:val="0"/>
        <w:autoSpaceDN w:val="0"/>
        <w:adjustRightInd w:val="0"/>
        <w:spacing w:before="0" w:after="0"/>
        <w:contextualSpacing w:val="0"/>
        <w:jc w:val="both"/>
        <w:textAlignment w:val="baseline"/>
        <w:rPr>
          <w:rFonts w:cs="Arial"/>
          <w:szCs w:val="22"/>
        </w:rPr>
      </w:pPr>
      <w:r w:rsidRPr="00D514D1">
        <w:rPr>
          <w:rFonts w:cs="Arial"/>
          <w:b/>
          <w:szCs w:val="22"/>
        </w:rPr>
        <w:t xml:space="preserve">      </w:t>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p>
    <w:p w14:paraId="469F39DE" w14:textId="77777777" w:rsidR="00306659" w:rsidRPr="00D514D1" w:rsidRDefault="00306659" w:rsidP="00306659">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ve smluvních záležitostech oprávněn jednat: Ing. et Ing. Luďek Drápal, MBA</w:t>
      </w:r>
    </w:p>
    <w:p w14:paraId="657BCF37" w14:textId="77777777" w:rsidR="00306659" w:rsidRPr="00D514D1" w:rsidRDefault="00306659" w:rsidP="00306659">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vedoucí Pobočky Břeclav</w:t>
      </w:r>
    </w:p>
    <w:p w14:paraId="59C95B74" w14:textId="77777777" w:rsidR="00306659" w:rsidRPr="00D514D1" w:rsidRDefault="00306659" w:rsidP="00306659">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 </w:t>
      </w:r>
      <w:r w:rsidRPr="00D514D1">
        <w:rPr>
          <w:rFonts w:eastAsia="Lucida Sans Unicode" w:cs="Arial"/>
          <w:snapToGrid w:val="0"/>
          <w:szCs w:val="22"/>
        </w:rPr>
        <w:t>technických záležitostech oprávněn jednat:</w:t>
      </w:r>
      <w:r w:rsidRPr="00D514D1">
        <w:rPr>
          <w:rFonts w:eastAsia="Lucida Sans Unicode" w:cs="Arial"/>
          <w:snapToGrid w:val="0"/>
          <w:szCs w:val="22"/>
        </w:rPr>
        <w:tab/>
        <w:t>Ing. Mária Tisarová, Pobočka Břeclav</w:t>
      </w:r>
      <w:r w:rsidRPr="00D514D1">
        <w:rPr>
          <w:rFonts w:eastAsia="Lucida Sans Unicode" w:cs="Arial"/>
          <w:szCs w:val="22"/>
        </w:rPr>
        <w:tab/>
      </w:r>
      <w:r w:rsidRPr="00D514D1">
        <w:rPr>
          <w:rFonts w:eastAsia="Lucida Sans Unicode" w:cs="Arial"/>
          <w:szCs w:val="22"/>
        </w:rPr>
        <w:tab/>
      </w:r>
      <w:r w:rsidRPr="00D514D1">
        <w:rPr>
          <w:rFonts w:eastAsia="Lucida Sans Unicode" w:cs="Arial"/>
          <w:szCs w:val="22"/>
        </w:rPr>
        <w:tab/>
        <w:t xml:space="preserve">  </w:t>
      </w:r>
      <w:r w:rsidRPr="00D514D1">
        <w:rPr>
          <w:rFonts w:eastAsia="Lucida Sans Unicode" w:cs="Arial"/>
          <w:szCs w:val="22"/>
        </w:rPr>
        <w:tab/>
      </w:r>
    </w:p>
    <w:p w14:paraId="1CC64F41"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Tel.:</w:t>
      </w:r>
      <w:r w:rsidRPr="00D514D1">
        <w:rPr>
          <w:rFonts w:eastAsia="Lucida Sans Unicode" w:cs="Arial"/>
          <w:szCs w:val="22"/>
        </w:rPr>
        <w:tab/>
        <w:t>+420 727 956 365</w:t>
      </w:r>
      <w:r w:rsidRPr="00D514D1">
        <w:rPr>
          <w:rFonts w:eastAsia="Lucida Sans Unicode" w:cs="Arial"/>
          <w:szCs w:val="22"/>
        </w:rPr>
        <w:tab/>
      </w:r>
      <w:r w:rsidRPr="00D514D1">
        <w:rPr>
          <w:rFonts w:eastAsia="Lucida Sans Unicode" w:cs="Arial"/>
          <w:szCs w:val="22"/>
        </w:rPr>
        <w:tab/>
        <w:t xml:space="preserve"> </w:t>
      </w:r>
    </w:p>
    <w:p w14:paraId="7EDB297B"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E-mail:</w:t>
      </w:r>
      <w:r w:rsidRPr="00D514D1">
        <w:rPr>
          <w:rFonts w:eastAsia="Lucida Sans Unicode" w:cs="Arial"/>
          <w:szCs w:val="22"/>
        </w:rPr>
        <w:tab/>
        <w:t>breclav.pk@spucr.cz</w:t>
      </w:r>
    </w:p>
    <w:p w14:paraId="38D34EB7"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ID DS:</w:t>
      </w:r>
      <w:r w:rsidRPr="00D514D1">
        <w:rPr>
          <w:rFonts w:eastAsia="Lucida Sans Unicode" w:cs="Arial"/>
          <w:szCs w:val="22"/>
        </w:rPr>
        <w:tab/>
        <w:t>z49per3</w:t>
      </w:r>
    </w:p>
    <w:p w14:paraId="1D7FA636"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Bankovní spojení:</w:t>
      </w:r>
      <w:r w:rsidRPr="00D514D1">
        <w:rPr>
          <w:rFonts w:eastAsia="Lucida Sans Unicode" w:cs="Arial"/>
          <w:szCs w:val="22"/>
        </w:rPr>
        <w:tab/>
        <w:t xml:space="preserve">ČNB </w:t>
      </w:r>
      <w:r w:rsidRPr="00D514D1">
        <w:rPr>
          <w:rFonts w:eastAsia="Lucida Sans Unicode" w:cs="Arial"/>
          <w:szCs w:val="22"/>
        </w:rPr>
        <w:tab/>
      </w:r>
    </w:p>
    <w:p w14:paraId="45183664"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Číslo účtu:</w:t>
      </w:r>
      <w:r w:rsidRPr="00D514D1">
        <w:rPr>
          <w:rFonts w:eastAsia="Lucida Sans Unicode" w:cs="Arial"/>
          <w:bCs/>
          <w:szCs w:val="22"/>
        </w:rPr>
        <w:tab/>
        <w:t>3723001/0710</w:t>
      </w:r>
    </w:p>
    <w:p w14:paraId="4CEB6CD3"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IČ:</w:t>
      </w:r>
      <w:r w:rsidRPr="00D514D1">
        <w:rPr>
          <w:rFonts w:eastAsia="Lucida Sans Unicode" w:cs="Arial"/>
          <w:bCs/>
          <w:szCs w:val="22"/>
        </w:rPr>
        <w:tab/>
        <w:t xml:space="preserve">01312774                                                                 </w:t>
      </w:r>
    </w:p>
    <w:p w14:paraId="7EBAB3F7" w14:textId="77777777" w:rsidR="00306659" w:rsidRPr="00D514D1" w:rsidRDefault="00306659" w:rsidP="00306659">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DIČ:</w:t>
      </w:r>
      <w:r w:rsidRPr="00D514D1">
        <w:rPr>
          <w:rFonts w:eastAsia="Lucida Sans Unicode" w:cs="Arial"/>
          <w:bCs/>
          <w:szCs w:val="22"/>
        </w:rPr>
        <w:tab/>
        <w:t xml:space="preserve">není plátcem DPH </w:t>
      </w:r>
    </w:p>
    <w:p w14:paraId="5B96F859" w14:textId="77777777" w:rsidR="00306659" w:rsidRPr="005C59DC" w:rsidRDefault="00306659" w:rsidP="00306659">
      <w:pPr>
        <w:spacing w:after="0"/>
        <w:jc w:val="both"/>
        <w:rPr>
          <w:rFonts w:cs="Arial"/>
          <w:b/>
        </w:rPr>
      </w:pP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4EF9835E" w:rsidR="00E77563" w:rsidRDefault="00DF7F45" w:rsidP="00E77563">
      <w:pPr>
        <w:spacing w:line="288" w:lineRule="auto"/>
        <w:rPr>
          <w:rFonts w:cs="Arial"/>
          <w:b/>
        </w:rPr>
      </w:pPr>
      <w:r w:rsidRPr="005C59DC">
        <w:rPr>
          <w:rFonts w:cs="Arial"/>
          <w:b/>
        </w:rPr>
        <w:t>A</w:t>
      </w:r>
    </w:p>
    <w:p w14:paraId="20B92ED4" w14:textId="77777777" w:rsidR="00DF7F45" w:rsidRPr="005C59DC" w:rsidRDefault="00DF7F45" w:rsidP="00E77563">
      <w:pPr>
        <w:spacing w:line="288" w:lineRule="auto"/>
        <w:rPr>
          <w:rFonts w:cs="Arial"/>
          <w:b/>
        </w:rPr>
      </w:pPr>
    </w:p>
    <w:p w14:paraId="046A8871" w14:textId="0A990781" w:rsidR="005D7969" w:rsidRPr="005C59DC" w:rsidRDefault="00E77563" w:rsidP="00E77563">
      <w:pPr>
        <w:tabs>
          <w:tab w:val="left" w:pos="4253"/>
        </w:tabs>
        <w:spacing w:line="288" w:lineRule="auto"/>
        <w:jc w:val="both"/>
        <w:rPr>
          <w:rFonts w:cs="Arial"/>
          <w:b/>
        </w:rPr>
      </w:pPr>
      <w:r w:rsidRPr="005C59DC">
        <w:rPr>
          <w:rFonts w:cs="Arial"/>
          <w:b/>
        </w:rPr>
        <w:t>Zhotovitel:</w:t>
      </w:r>
      <w:r w:rsidR="005D7969">
        <w:rPr>
          <w:rFonts w:cs="Arial"/>
          <w:b/>
        </w:rPr>
        <w:t xml:space="preserve"> </w:t>
      </w:r>
    </w:p>
    <w:p w14:paraId="7C82EC50" w14:textId="3CF30DFC" w:rsidR="00E77563" w:rsidRPr="00DF5E99" w:rsidRDefault="00E77563" w:rsidP="00E77563">
      <w:pPr>
        <w:tabs>
          <w:tab w:val="left" w:pos="4253"/>
        </w:tabs>
        <w:spacing w:line="288" w:lineRule="auto"/>
        <w:jc w:val="both"/>
        <w:rPr>
          <w:rFonts w:cs="Arial"/>
          <w:bCs/>
        </w:rPr>
      </w:pPr>
      <w:r w:rsidRPr="00DF5E99">
        <w:rPr>
          <w:rFonts w:cs="Arial"/>
          <w:bCs/>
        </w:rPr>
        <w:t xml:space="preserve">Jméno: </w:t>
      </w:r>
      <w:r w:rsidR="00DF7F45">
        <w:rPr>
          <w:rFonts w:cs="Arial"/>
          <w:bCs/>
        </w:rPr>
        <w:tab/>
        <w:t xml:space="preserve">      </w:t>
      </w:r>
      <w:r w:rsidR="005D7969" w:rsidRPr="00DF5E99">
        <w:rPr>
          <w:rFonts w:cs="Arial"/>
          <w:bCs/>
          <w:snapToGrid w:val="0"/>
        </w:rPr>
        <w:t>Ing. Petr Janulík</w:t>
      </w:r>
    </w:p>
    <w:p w14:paraId="45B0C0C2" w14:textId="3F973F93" w:rsidR="00E77563" w:rsidRPr="00DF5E99" w:rsidRDefault="00E77563" w:rsidP="00E77563">
      <w:pPr>
        <w:tabs>
          <w:tab w:val="left" w:pos="4253"/>
        </w:tabs>
        <w:spacing w:line="288" w:lineRule="auto"/>
        <w:jc w:val="both"/>
        <w:rPr>
          <w:rFonts w:cs="Arial"/>
          <w:bCs/>
        </w:rPr>
      </w:pPr>
      <w:r w:rsidRPr="00DF5E99">
        <w:rPr>
          <w:rFonts w:cs="Arial"/>
          <w:bCs/>
        </w:rPr>
        <w:t>Sídlo:</w:t>
      </w:r>
      <w:r w:rsidRPr="00DF7F45">
        <w:rPr>
          <w:rFonts w:cs="Arial"/>
          <w:bCs/>
        </w:rPr>
        <w:t xml:space="preserve"> </w:t>
      </w:r>
      <w:r w:rsidR="00DF7F45">
        <w:rPr>
          <w:rFonts w:cs="Arial"/>
          <w:bCs/>
        </w:rPr>
        <w:t xml:space="preserve">                                                                 </w:t>
      </w:r>
      <w:proofErr w:type="spellStart"/>
      <w:r w:rsidR="00A97357">
        <w:rPr>
          <w:rFonts w:cs="Arial"/>
          <w:bCs/>
          <w:snapToGrid w:val="0"/>
        </w:rPr>
        <w:t>xxxxxxxxxxxxxxxxxxx</w:t>
      </w:r>
      <w:proofErr w:type="spellEnd"/>
      <w:r w:rsidR="0018753B" w:rsidRPr="00DF5E99">
        <w:rPr>
          <w:rFonts w:cs="Arial"/>
          <w:bCs/>
          <w:snapToGrid w:val="0"/>
        </w:rPr>
        <w:t xml:space="preserve"> Tvrdonice</w:t>
      </w:r>
    </w:p>
    <w:p w14:paraId="28DFAA85" w14:textId="041F445E" w:rsidR="00E77563" w:rsidRPr="00DF7F45" w:rsidRDefault="00E77563" w:rsidP="00E77563">
      <w:pPr>
        <w:tabs>
          <w:tab w:val="left" w:pos="4253"/>
        </w:tabs>
        <w:spacing w:after="0" w:line="288" w:lineRule="auto"/>
        <w:jc w:val="both"/>
        <w:rPr>
          <w:rFonts w:cs="Arial"/>
          <w:bCs/>
          <w:i/>
        </w:rPr>
      </w:pPr>
      <w:r w:rsidRPr="00DF7F45">
        <w:rPr>
          <w:rFonts w:cs="Arial"/>
          <w:bCs/>
        </w:rPr>
        <w:t xml:space="preserve">zastoupený: </w:t>
      </w:r>
      <w:r w:rsidR="0018753B" w:rsidRPr="00DF5E99">
        <w:rPr>
          <w:rFonts w:cs="Arial"/>
          <w:bCs/>
          <w:snapToGrid w:val="0"/>
        </w:rPr>
        <w:t>Ing. Petrem Janulíkem</w:t>
      </w:r>
    </w:p>
    <w:p w14:paraId="279D7434" w14:textId="43583157" w:rsidR="00E77563" w:rsidRPr="00DF7F45" w:rsidRDefault="00E77563" w:rsidP="00E77563">
      <w:pPr>
        <w:tabs>
          <w:tab w:val="left" w:pos="284"/>
          <w:tab w:val="left" w:pos="4678"/>
        </w:tabs>
        <w:spacing w:after="0" w:line="288" w:lineRule="auto"/>
        <w:jc w:val="both"/>
        <w:rPr>
          <w:rFonts w:cs="Arial"/>
          <w:bCs/>
        </w:rPr>
      </w:pPr>
      <w:r w:rsidRPr="00DF7F45">
        <w:rPr>
          <w:rFonts w:cs="Arial"/>
          <w:bCs/>
        </w:rPr>
        <w:tab/>
        <w:t>Tel.:</w:t>
      </w:r>
      <w:r w:rsidRPr="00DF7F45">
        <w:rPr>
          <w:rFonts w:cs="Arial"/>
          <w:bCs/>
        </w:rPr>
        <w:tab/>
      </w:r>
      <w:bookmarkStart w:id="0" w:name="_Hlk205901407"/>
      <w:proofErr w:type="spellStart"/>
      <w:r w:rsidR="00A97357">
        <w:rPr>
          <w:rFonts w:cs="Arial"/>
          <w:bCs/>
          <w:snapToGrid w:val="0"/>
        </w:rPr>
        <w:t>xxxxxxxxxxxxxxxx</w:t>
      </w:r>
      <w:bookmarkEnd w:id="0"/>
      <w:proofErr w:type="spellEnd"/>
    </w:p>
    <w:p w14:paraId="5E7FB818" w14:textId="7C020AF3" w:rsidR="00E77563" w:rsidRPr="00DF7F45" w:rsidRDefault="00E77563" w:rsidP="00E77563">
      <w:pPr>
        <w:tabs>
          <w:tab w:val="left" w:pos="284"/>
          <w:tab w:val="left" w:pos="4678"/>
        </w:tabs>
        <w:spacing w:after="0" w:line="288" w:lineRule="auto"/>
        <w:ind w:right="-110"/>
        <w:jc w:val="both"/>
        <w:rPr>
          <w:rFonts w:cs="Arial"/>
          <w:bCs/>
          <w:snapToGrid w:val="0"/>
        </w:rPr>
      </w:pPr>
      <w:r w:rsidRPr="00DF7F45">
        <w:rPr>
          <w:rFonts w:cs="Arial"/>
          <w:bCs/>
        </w:rPr>
        <w:tab/>
        <w:t>E-mail:</w:t>
      </w:r>
      <w:r w:rsidRPr="00DF7F45">
        <w:rPr>
          <w:rFonts w:cs="Arial"/>
          <w:bCs/>
        </w:rPr>
        <w:tab/>
      </w:r>
      <w:proofErr w:type="spellStart"/>
      <w:r w:rsidR="00A97357" w:rsidRPr="00A97357">
        <w:rPr>
          <w:rFonts w:cs="Arial"/>
          <w:bCs/>
          <w:snapToGrid w:val="0"/>
        </w:rPr>
        <w:t>xxxxxxxxxxxxxxxx</w:t>
      </w:r>
      <w:proofErr w:type="spellEnd"/>
    </w:p>
    <w:p w14:paraId="64C65C50" w14:textId="73079E9F" w:rsidR="00E77563" w:rsidRPr="00DF5E99" w:rsidRDefault="00E77563" w:rsidP="00E77563">
      <w:pPr>
        <w:tabs>
          <w:tab w:val="left" w:pos="284"/>
          <w:tab w:val="left" w:pos="4678"/>
        </w:tabs>
        <w:spacing w:after="0" w:line="288" w:lineRule="auto"/>
        <w:ind w:right="-110"/>
        <w:jc w:val="both"/>
        <w:rPr>
          <w:rFonts w:cs="Arial"/>
          <w:bCs/>
          <w:snapToGrid w:val="0"/>
        </w:rPr>
      </w:pPr>
      <w:r w:rsidRPr="00DF7F45">
        <w:rPr>
          <w:rFonts w:cs="Arial"/>
          <w:bCs/>
          <w:snapToGrid w:val="0"/>
        </w:rPr>
        <w:tab/>
        <w:t>ID DS:</w:t>
      </w:r>
      <w:r w:rsidRPr="00DF7F45">
        <w:rPr>
          <w:rFonts w:cs="Arial"/>
          <w:bCs/>
          <w:snapToGrid w:val="0"/>
        </w:rPr>
        <w:tab/>
      </w:r>
    </w:p>
    <w:p w14:paraId="28D062F9" w14:textId="552F6EFD" w:rsidR="00E77563" w:rsidRPr="00DF7F45" w:rsidRDefault="00ED7459" w:rsidP="00E77563">
      <w:pPr>
        <w:tabs>
          <w:tab w:val="left" w:pos="284"/>
          <w:tab w:val="left" w:pos="4678"/>
        </w:tabs>
        <w:spacing w:after="0" w:line="288" w:lineRule="auto"/>
        <w:ind w:right="-284"/>
        <w:rPr>
          <w:rFonts w:cs="Arial"/>
          <w:bCs/>
        </w:rPr>
      </w:pPr>
      <w:r w:rsidRPr="00DF7F45">
        <w:rPr>
          <w:rFonts w:cs="Arial"/>
          <w:bCs/>
        </w:rPr>
        <w:tab/>
      </w:r>
      <w:r w:rsidR="00E77563" w:rsidRPr="00DF7F45">
        <w:rPr>
          <w:rFonts w:cs="Arial"/>
          <w:bCs/>
        </w:rPr>
        <w:t>v technických záležitostech je oprávněn jednat:</w:t>
      </w:r>
      <w:r w:rsidR="00E77563" w:rsidRPr="00DF7F45">
        <w:rPr>
          <w:rFonts w:cs="Arial"/>
          <w:bCs/>
        </w:rPr>
        <w:tab/>
      </w:r>
      <w:proofErr w:type="spellStart"/>
      <w:r w:rsidR="00A97357" w:rsidRPr="00A97357">
        <w:rPr>
          <w:rFonts w:cs="Arial"/>
          <w:bCs/>
          <w:snapToGrid w:val="0"/>
        </w:rPr>
        <w:t>xxxxxxxxxxxxxxxx</w:t>
      </w:r>
      <w:proofErr w:type="spellEnd"/>
    </w:p>
    <w:p w14:paraId="527E18E5" w14:textId="56A0F92F" w:rsidR="00E77563" w:rsidRPr="00DF7F45" w:rsidRDefault="00E77563" w:rsidP="00E77563">
      <w:pPr>
        <w:tabs>
          <w:tab w:val="left" w:pos="284"/>
          <w:tab w:val="left" w:pos="4678"/>
        </w:tabs>
        <w:spacing w:after="0" w:line="288" w:lineRule="auto"/>
        <w:ind w:right="-284"/>
        <w:rPr>
          <w:rFonts w:cs="Arial"/>
          <w:bCs/>
        </w:rPr>
      </w:pPr>
      <w:r w:rsidRPr="00DF7F45">
        <w:rPr>
          <w:rFonts w:cs="Arial"/>
          <w:bCs/>
        </w:rPr>
        <w:tab/>
        <w:t>Bankovní spojení:</w:t>
      </w:r>
      <w:r w:rsidRPr="00DF7F45">
        <w:rPr>
          <w:rFonts w:cs="Arial"/>
          <w:bCs/>
        </w:rPr>
        <w:tab/>
      </w:r>
      <w:r w:rsidR="00ED7459" w:rsidRPr="00DF7F45">
        <w:rPr>
          <w:rFonts w:cs="Arial"/>
          <w:bCs/>
        </w:rPr>
        <w:t xml:space="preserve">    </w:t>
      </w:r>
      <w:proofErr w:type="spellStart"/>
      <w:r w:rsidR="00A97357" w:rsidRPr="00A97357">
        <w:rPr>
          <w:rFonts w:cs="Arial"/>
          <w:bCs/>
          <w:snapToGrid w:val="0"/>
        </w:rPr>
        <w:t>xxxxxxxxxxxxxxxx</w:t>
      </w:r>
      <w:proofErr w:type="spellEnd"/>
    </w:p>
    <w:p w14:paraId="7B06A532" w14:textId="77777777" w:rsidR="00A97357" w:rsidRDefault="00E77563" w:rsidP="00E77563">
      <w:pPr>
        <w:tabs>
          <w:tab w:val="left" w:pos="284"/>
          <w:tab w:val="left" w:pos="4678"/>
        </w:tabs>
        <w:spacing w:after="0" w:line="288" w:lineRule="auto"/>
        <w:jc w:val="both"/>
        <w:rPr>
          <w:rFonts w:cs="Arial"/>
          <w:bCs/>
          <w:snapToGrid w:val="0"/>
        </w:rPr>
      </w:pPr>
      <w:r w:rsidRPr="00DF7F45">
        <w:rPr>
          <w:rFonts w:cs="Arial"/>
          <w:bCs/>
        </w:rPr>
        <w:tab/>
        <w:t>Číslo účtu:</w:t>
      </w:r>
      <w:r w:rsidRPr="00DF7F45">
        <w:rPr>
          <w:rFonts w:cs="Arial"/>
          <w:bCs/>
        </w:rPr>
        <w:tab/>
      </w:r>
      <w:r w:rsidR="00ED7459" w:rsidRPr="00DF5E99">
        <w:rPr>
          <w:rFonts w:cs="Arial"/>
          <w:bCs/>
          <w:snapToGrid w:val="0"/>
        </w:rPr>
        <w:t xml:space="preserve">    </w:t>
      </w:r>
      <w:proofErr w:type="spellStart"/>
      <w:r w:rsidR="00A97357" w:rsidRPr="00A97357">
        <w:rPr>
          <w:rFonts w:cs="Arial"/>
          <w:bCs/>
          <w:snapToGrid w:val="0"/>
        </w:rPr>
        <w:t>xxxxxxxxxxxxxxxx</w:t>
      </w:r>
      <w:proofErr w:type="spellEnd"/>
    </w:p>
    <w:p w14:paraId="424564D1" w14:textId="5924FCE4" w:rsidR="00E77563" w:rsidRPr="00DF5E99" w:rsidRDefault="00E77563" w:rsidP="00E77563">
      <w:pPr>
        <w:tabs>
          <w:tab w:val="left" w:pos="284"/>
          <w:tab w:val="left" w:pos="4678"/>
        </w:tabs>
        <w:spacing w:after="0" w:line="288" w:lineRule="auto"/>
        <w:jc w:val="both"/>
        <w:rPr>
          <w:rFonts w:cs="Arial"/>
          <w:bCs/>
        </w:rPr>
      </w:pPr>
      <w:r w:rsidRPr="00DF7F45">
        <w:rPr>
          <w:rFonts w:cs="Arial"/>
          <w:bCs/>
        </w:rPr>
        <w:tab/>
        <w:t>IČO:</w:t>
      </w:r>
      <w:r w:rsidRPr="00DF7F45">
        <w:rPr>
          <w:rFonts w:cs="Arial"/>
          <w:bCs/>
        </w:rPr>
        <w:tab/>
      </w:r>
      <w:r w:rsidR="00ED7459" w:rsidRPr="00DF5E99">
        <w:rPr>
          <w:rFonts w:cs="Arial"/>
          <w:bCs/>
          <w:snapToGrid w:val="0"/>
        </w:rPr>
        <w:t xml:space="preserve">    61414786</w:t>
      </w:r>
    </w:p>
    <w:p w14:paraId="7B3982E9" w14:textId="31C509BC" w:rsidR="00E77563" w:rsidRPr="00DF7F45" w:rsidRDefault="00E77563" w:rsidP="00E77563">
      <w:pPr>
        <w:tabs>
          <w:tab w:val="left" w:pos="284"/>
          <w:tab w:val="left" w:pos="4678"/>
        </w:tabs>
        <w:spacing w:after="0" w:line="288" w:lineRule="auto"/>
        <w:jc w:val="both"/>
        <w:rPr>
          <w:rFonts w:cs="Arial"/>
          <w:bCs/>
        </w:rPr>
      </w:pPr>
      <w:r w:rsidRPr="00DF7F45">
        <w:rPr>
          <w:rFonts w:cs="Arial"/>
          <w:bCs/>
        </w:rPr>
        <w:tab/>
        <w:t>DIČ:</w:t>
      </w:r>
      <w:r w:rsidRPr="00DF7F45">
        <w:rPr>
          <w:rFonts w:cs="Arial"/>
          <w:bCs/>
        </w:rPr>
        <w:tab/>
      </w:r>
      <w:r w:rsidR="007223FB" w:rsidRPr="00DF7F45">
        <w:rPr>
          <w:rFonts w:cs="Arial"/>
          <w:bCs/>
        </w:rPr>
        <w:t xml:space="preserve">    </w:t>
      </w:r>
      <w:proofErr w:type="spellStart"/>
      <w:proofErr w:type="gramStart"/>
      <w:r w:rsidR="00355755" w:rsidRPr="00355755">
        <w:rPr>
          <w:rFonts w:cs="Arial"/>
          <w:bCs/>
          <w:snapToGrid w:val="0"/>
        </w:rPr>
        <w:t>xxxxxxxxxxxxxxxx</w:t>
      </w:r>
      <w:proofErr w:type="spellEnd"/>
      <w:r w:rsidR="007223FB" w:rsidRPr="00DF5E99">
        <w:rPr>
          <w:rFonts w:cs="Arial"/>
          <w:bCs/>
          <w:snapToGrid w:val="0"/>
        </w:rPr>
        <w:t xml:space="preserve"> </w:t>
      </w:r>
      <w:r w:rsidRPr="00DF5E99">
        <w:rPr>
          <w:rFonts w:cs="Arial"/>
          <w:bCs/>
          <w:snapToGrid w:val="0"/>
        </w:rPr>
        <w:t xml:space="preserve"> je</w:t>
      </w:r>
      <w:proofErr w:type="gramEnd"/>
      <w:r w:rsidRPr="00DF5E99">
        <w:rPr>
          <w:rFonts w:cs="Arial"/>
          <w:bCs/>
          <w:snapToGrid w:val="0"/>
        </w:rPr>
        <w:t xml:space="preserve"> plátcem DPH</w:t>
      </w:r>
    </w:p>
    <w:p w14:paraId="220EBF36" w14:textId="77777777" w:rsidR="002F6F50" w:rsidRDefault="002F6F50" w:rsidP="00E77563">
      <w:pPr>
        <w:spacing w:before="240" w:line="288" w:lineRule="auto"/>
        <w:jc w:val="both"/>
        <w:rPr>
          <w:rFonts w:cs="Arial"/>
        </w:rPr>
      </w:pP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276A977A"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49269B" w:rsidRPr="00DF5E99">
        <w:rPr>
          <w:rFonts w:cs="Arial"/>
          <w:b/>
          <w:bCs/>
          <w:szCs w:val="22"/>
        </w:rPr>
        <w:t xml:space="preserve">„Zpracování </w:t>
      </w:r>
      <w:proofErr w:type="gramStart"/>
      <w:r w:rsidR="0049269B" w:rsidRPr="00DF5E99">
        <w:rPr>
          <w:rFonts w:cs="Arial"/>
          <w:b/>
          <w:bCs/>
          <w:szCs w:val="22"/>
        </w:rPr>
        <w:t>PD  -</w:t>
      </w:r>
      <w:proofErr w:type="gramEnd"/>
      <w:r w:rsidR="0049269B" w:rsidRPr="00DF5E99">
        <w:rPr>
          <w:rFonts w:cs="Arial"/>
          <w:b/>
          <w:bCs/>
          <w:szCs w:val="22"/>
        </w:rPr>
        <w:t xml:space="preserve"> Objekt pro zajištění infrastruktury pro čistou mobilitu</w:t>
      </w:r>
      <w:r w:rsidR="008A52EE" w:rsidRPr="0049269B">
        <w:rPr>
          <w:rFonts w:cs="Arial"/>
          <w:b/>
          <w:bCs/>
          <w:spacing w:val="8"/>
          <w:szCs w:val="22"/>
        </w:rPr>
        <w:t>“</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w:t>
      </w:r>
      <w:r w:rsidR="0049269B">
        <w:rPr>
          <w:rFonts w:cs="Arial"/>
        </w:rPr>
        <w:t> </w:t>
      </w:r>
      <w:r w:rsidR="00FC3069" w:rsidRPr="00085415">
        <w:rPr>
          <w:rFonts w:cs="Arial"/>
        </w:rPr>
        <w:t>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0A6B7209" w14:textId="3F41DA05" w:rsidR="0049269B" w:rsidRPr="00DF5E99" w:rsidRDefault="000F5BF7" w:rsidP="00DF5E99">
      <w:pPr>
        <w:ind w:firstLine="357"/>
        <w:jc w:val="both"/>
        <w:rPr>
          <w:rFonts w:cs="Arial"/>
          <w:b/>
          <w:bCs/>
          <w:szCs w:val="22"/>
        </w:rPr>
      </w:pPr>
      <w:r w:rsidRPr="002F17C1">
        <w:t>Název stavby:</w:t>
      </w:r>
      <w:r w:rsidR="0049269B">
        <w:rPr>
          <w:rFonts w:cs="Arial"/>
          <w:szCs w:val="22"/>
        </w:rPr>
        <w:t xml:space="preserve"> </w:t>
      </w:r>
      <w:r w:rsidR="00FA0C69">
        <w:rPr>
          <w:rFonts w:cs="Arial"/>
          <w:szCs w:val="22"/>
        </w:rPr>
        <w:t xml:space="preserve">      </w:t>
      </w:r>
      <w:r w:rsidR="0049269B" w:rsidRPr="00DF5E99">
        <w:rPr>
          <w:rFonts w:cs="Arial"/>
          <w:b/>
          <w:bCs/>
          <w:szCs w:val="22"/>
        </w:rPr>
        <w:t>Objekt pro zajištění infrastruktury pro čistou mobilitu</w:t>
      </w:r>
    </w:p>
    <w:p w14:paraId="20E141FE" w14:textId="3F04EC1D" w:rsidR="00035F68" w:rsidRPr="002F17C1" w:rsidRDefault="008E133F" w:rsidP="002F17C1">
      <w:pPr>
        <w:pStyle w:val="l-L2"/>
        <w:tabs>
          <w:tab w:val="clear" w:pos="737"/>
        </w:tabs>
        <w:ind w:left="357" w:firstLine="0"/>
      </w:pPr>
      <w:r w:rsidRPr="002F17C1">
        <w:t>Místo stavby:</w:t>
      </w:r>
      <w:r w:rsidR="004F7DE8" w:rsidRPr="002F17C1">
        <w:tab/>
      </w:r>
      <w:r w:rsidR="0049269B">
        <w:rPr>
          <w:b/>
          <w:snapToGrid w:val="0"/>
        </w:rPr>
        <w:t>Břeclav</w:t>
      </w:r>
    </w:p>
    <w:p w14:paraId="78327BED" w14:textId="401BC9FB" w:rsidR="00146B35" w:rsidRDefault="00A1028F" w:rsidP="00DF5E99">
      <w:pPr>
        <w:autoSpaceDE w:val="0"/>
        <w:autoSpaceDN w:val="0"/>
        <w:adjustRightInd w:val="0"/>
        <w:spacing w:after="0" w:line="240" w:lineRule="auto"/>
        <w:ind w:left="426" w:hanging="426"/>
        <w:jc w:val="both"/>
        <w:rPr>
          <w:rFonts w:cs="Arial"/>
          <w:b/>
          <w:bCs/>
          <w:iCs/>
        </w:rPr>
      </w:pPr>
      <w:r>
        <w:t xml:space="preserve">      </w:t>
      </w:r>
      <w:r w:rsidR="00035F68" w:rsidRPr="002F17C1">
        <w:t>Popis stavby:</w:t>
      </w:r>
      <w:r w:rsidR="004F7DE8" w:rsidRPr="002F17C1">
        <w:tab/>
      </w:r>
      <w:r w:rsidR="00146B35" w:rsidRPr="00DF5E99">
        <w:rPr>
          <w:rFonts w:cs="Arial"/>
          <w:b/>
          <w:bCs/>
          <w:iCs/>
        </w:rPr>
        <w:t>realizace objektu dobíjecí stanice pro elektrovozidla</w:t>
      </w:r>
      <w:r w:rsidR="00E852DA">
        <w:rPr>
          <w:rFonts w:cs="Arial"/>
          <w:b/>
          <w:bCs/>
          <w:iCs/>
        </w:rPr>
        <w:t xml:space="preserve"> a elektrokola</w:t>
      </w:r>
      <w:r w:rsidR="00146B35" w:rsidRPr="00DF5E99">
        <w:rPr>
          <w:rFonts w:cs="Arial"/>
          <w:b/>
          <w:bCs/>
          <w:iCs/>
        </w:rPr>
        <w:t xml:space="preserve"> na</w:t>
      </w:r>
      <w:r w:rsidR="00E852DA">
        <w:rPr>
          <w:rFonts w:cs="Arial"/>
          <w:b/>
          <w:bCs/>
          <w:iCs/>
        </w:rPr>
        <w:t> </w:t>
      </w:r>
      <w:r w:rsidR="00146B35" w:rsidRPr="00DF5E99">
        <w:rPr>
          <w:rFonts w:cs="Arial"/>
          <w:b/>
          <w:bCs/>
          <w:iCs/>
        </w:rPr>
        <w:t>pobočce</w:t>
      </w:r>
      <w:r>
        <w:rPr>
          <w:rFonts w:cs="Arial"/>
          <w:b/>
          <w:bCs/>
          <w:iCs/>
        </w:rPr>
        <w:t xml:space="preserve"> </w:t>
      </w:r>
      <w:r w:rsidR="00146B35" w:rsidRPr="00DF5E99">
        <w:rPr>
          <w:rFonts w:cs="Arial"/>
          <w:b/>
          <w:bCs/>
          <w:iCs/>
        </w:rPr>
        <w:t xml:space="preserve">Břeclav, </w:t>
      </w:r>
      <w:r w:rsidRPr="00DF5E99">
        <w:rPr>
          <w:rFonts w:cs="Arial"/>
          <w:b/>
          <w:bCs/>
          <w:iCs/>
        </w:rPr>
        <w:t xml:space="preserve"> d</w:t>
      </w:r>
      <w:r w:rsidR="00146B35" w:rsidRPr="00DF5E99">
        <w:rPr>
          <w:rFonts w:cs="Arial"/>
          <w:b/>
          <w:bCs/>
          <w:iCs/>
        </w:rPr>
        <w:t>obíjecí stanice bude současně plnit funkci přístřešku na jízdní kola a nádoby na odpad</w:t>
      </w:r>
      <w:r w:rsidRPr="00DF5E99">
        <w:rPr>
          <w:rFonts w:cs="Arial"/>
          <w:b/>
          <w:bCs/>
          <w:iCs/>
        </w:rPr>
        <w:t>.</w:t>
      </w:r>
    </w:p>
    <w:p w14:paraId="487CC62D" w14:textId="77777777" w:rsidR="003C5BB0" w:rsidRDefault="000D195F" w:rsidP="00DF5E99">
      <w:pPr>
        <w:autoSpaceDE w:val="0"/>
        <w:autoSpaceDN w:val="0"/>
        <w:adjustRightInd w:val="0"/>
        <w:spacing w:after="0" w:line="240" w:lineRule="auto"/>
        <w:ind w:left="426" w:hanging="426"/>
        <w:jc w:val="both"/>
        <w:rPr>
          <w:rFonts w:cs="Arial"/>
          <w:b/>
          <w:bCs/>
          <w:iCs/>
        </w:rPr>
      </w:pPr>
      <w:r>
        <w:rPr>
          <w:rFonts w:cs="Arial"/>
          <w:b/>
          <w:bCs/>
          <w:iCs/>
        </w:rPr>
        <w:t xml:space="preserve">       </w:t>
      </w:r>
    </w:p>
    <w:p w14:paraId="1D153CFD" w14:textId="11FBF91A" w:rsidR="00645CD0" w:rsidRPr="00DF5E99" w:rsidRDefault="000F1DAE" w:rsidP="003C5BB0">
      <w:pPr>
        <w:autoSpaceDE w:val="0"/>
        <w:autoSpaceDN w:val="0"/>
        <w:adjustRightInd w:val="0"/>
        <w:spacing w:after="0" w:line="240" w:lineRule="auto"/>
        <w:ind w:left="426" w:hanging="69"/>
        <w:jc w:val="both"/>
        <w:rPr>
          <w:rFonts w:cs="Arial"/>
          <w:b/>
          <w:bCs/>
          <w:iCs/>
        </w:rPr>
      </w:pPr>
      <w:r>
        <w:rPr>
          <w:rFonts w:cs="Arial"/>
          <w:b/>
          <w:bCs/>
          <w:iCs/>
        </w:rPr>
        <w:t xml:space="preserve"> </w:t>
      </w:r>
      <w:r w:rsidR="000D195F">
        <w:rPr>
          <w:rFonts w:cs="Arial"/>
          <w:b/>
          <w:bCs/>
          <w:iCs/>
        </w:rPr>
        <w:t xml:space="preserve">Jedná se o </w:t>
      </w:r>
      <w:r w:rsidR="000D195F" w:rsidRPr="000D195F">
        <w:rPr>
          <w:rFonts w:cs="Arial"/>
          <w:b/>
          <w:bCs/>
          <w:iCs/>
        </w:rPr>
        <w:t>provedení aktualizace původní PD se zapracováním realizace dobíjecí stanice pro elektrovozidla</w:t>
      </w:r>
      <w:r w:rsidR="000D195F">
        <w:rPr>
          <w:rFonts w:cs="Arial"/>
          <w:b/>
          <w:bCs/>
          <w:iCs/>
        </w:rPr>
        <w:t xml:space="preserve"> a elektrokola</w:t>
      </w:r>
      <w:r w:rsidR="000D195F" w:rsidRPr="000D195F">
        <w:rPr>
          <w:rFonts w:cs="Arial"/>
          <w:b/>
          <w:bCs/>
          <w:iCs/>
        </w:rPr>
        <w:t>, snížení počtu míst pro parkování jízdních kol na 10 ks, aktualizaci projektové dokumentace na aktuální stavební zákon a další související předpisy. V případě, že stavba bude podléhat stavebnímu povolení (záměru) požadujeme i zabezpečení získání příslušných povolení, stavebního povolení (záměru).</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lastRenderedPageBreak/>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lastRenderedPageBreak/>
        <w:t>implementaci nového nebo značně zlepšeného produktu, služby nebo postupu souvisejícího s předmětem veřejné zakázky, bude-li to vzhledem ke smyslu zakázky možné.</w:t>
      </w:r>
    </w:p>
    <w:p w14:paraId="1BC038EA"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5675BAC9" w14:textId="6F72674E" w:rsidR="00C75656" w:rsidRPr="00DF5E99" w:rsidRDefault="008011A3" w:rsidP="00EA3139">
      <w:pPr>
        <w:pStyle w:val="l-L2"/>
        <w:numPr>
          <w:ilvl w:val="0"/>
          <w:numId w:val="34"/>
        </w:numPr>
        <w:ind w:left="357" w:hanging="357"/>
      </w:pPr>
      <w:bookmarkStart w:id="3" w:name="_Ref376374899"/>
      <w:bookmarkStart w:id="4" w:name="_Ref376425265"/>
      <w:r w:rsidRPr="00DF5E99">
        <w:t xml:space="preserve">Zhotovitel se zavazuje </w:t>
      </w:r>
      <w:r w:rsidR="00643105" w:rsidRPr="00DF5E99">
        <w:t xml:space="preserve">dokončit a předat </w:t>
      </w:r>
      <w:r w:rsidR="00A70646" w:rsidRPr="00DF5E99">
        <w:t>Dílo</w:t>
      </w:r>
      <w:r w:rsidR="001C329D">
        <w:t xml:space="preserve"> a v případě potřeby </w:t>
      </w:r>
      <w:proofErr w:type="gramStart"/>
      <w:r w:rsidR="00CA3859">
        <w:t xml:space="preserve">zabezpečit </w:t>
      </w:r>
      <w:r w:rsidR="00D8562D" w:rsidRPr="00DF5E99">
        <w:t xml:space="preserve"> vydání</w:t>
      </w:r>
      <w:proofErr w:type="gramEnd"/>
      <w:r w:rsidR="00D8562D" w:rsidRPr="00DF5E99">
        <w:t xml:space="preserve"> </w:t>
      </w:r>
      <w:r w:rsidR="00CA3859">
        <w:t xml:space="preserve">stavebního </w:t>
      </w:r>
      <w:r w:rsidR="00D8562D" w:rsidRPr="00DF5E99">
        <w:t xml:space="preserve">povolení stavebního úřadu na stavbu </w:t>
      </w:r>
      <w:r w:rsidRPr="00DF5E99">
        <w:t>v</w:t>
      </w:r>
      <w:r w:rsidR="00D8562D" w:rsidRPr="00DF5E99">
        <w:t> </w:t>
      </w:r>
      <w:r w:rsidRPr="00DF5E99">
        <w:t>následujících</w:t>
      </w:r>
      <w:r w:rsidR="00D55FB4" w:rsidRPr="00DF5E99">
        <w:t xml:space="preserve"> </w:t>
      </w:r>
      <w:r w:rsidR="00BE3311" w:rsidRPr="00DF5E99">
        <w:t>lhůtách</w:t>
      </w:r>
      <w:r w:rsidRPr="00DF5E99">
        <w:t>:</w:t>
      </w:r>
      <w:bookmarkEnd w:id="3"/>
      <w:bookmarkEnd w:id="4"/>
    </w:p>
    <w:p w14:paraId="0A4AEE08" w14:textId="1EF83CDD" w:rsidR="00C75656" w:rsidRPr="00DF5E99" w:rsidRDefault="00C75656" w:rsidP="00C75656">
      <w:pPr>
        <w:pStyle w:val="l-L2"/>
        <w:numPr>
          <w:ilvl w:val="0"/>
          <w:numId w:val="28"/>
        </w:numPr>
      </w:pPr>
      <w:r w:rsidRPr="00DF5E99">
        <w:t xml:space="preserve">projektová dokumentace </w:t>
      </w:r>
      <w:r w:rsidR="00B23E28" w:rsidRPr="00DF5E99">
        <w:rPr>
          <w:b/>
          <w:snapToGrid w:val="0"/>
        </w:rPr>
        <w:t>15.11.2025</w:t>
      </w:r>
    </w:p>
    <w:p w14:paraId="1F8F5624" w14:textId="2DC22186" w:rsidR="003D46F4" w:rsidRPr="00E67C21" w:rsidRDefault="004942FF" w:rsidP="00C75656">
      <w:pPr>
        <w:pStyle w:val="l-L2"/>
        <w:numPr>
          <w:ilvl w:val="0"/>
          <w:numId w:val="28"/>
        </w:numPr>
        <w:rPr>
          <w:bCs/>
        </w:rPr>
      </w:pPr>
      <w:r w:rsidRPr="00DF5E99">
        <w:t xml:space="preserve">vyjádření DOSS </w:t>
      </w:r>
      <w:r w:rsidR="001C329D" w:rsidRPr="00DF5E99">
        <w:t xml:space="preserve">, v případě potřeby </w:t>
      </w:r>
      <w:r w:rsidR="00C75656" w:rsidRPr="00DF5E99">
        <w:t xml:space="preserve">povolení stavebního úřadu (s doložením právní moci) </w:t>
      </w:r>
      <w:r w:rsidR="001C329D" w:rsidRPr="00DF5E99">
        <w:rPr>
          <w:b/>
          <w:snapToGrid w:val="0"/>
        </w:rPr>
        <w:t>do 1</w:t>
      </w:r>
      <w:r w:rsidR="003706CC">
        <w:rPr>
          <w:b/>
          <w:snapToGrid w:val="0"/>
        </w:rPr>
        <w:t>5</w:t>
      </w:r>
      <w:r w:rsidR="001C329D" w:rsidRPr="00DF5E99">
        <w:rPr>
          <w:b/>
          <w:snapToGrid w:val="0"/>
        </w:rPr>
        <w:t>.</w:t>
      </w:r>
      <w:r w:rsidR="003559B7">
        <w:rPr>
          <w:b/>
          <w:snapToGrid w:val="0"/>
        </w:rPr>
        <w:t>5</w:t>
      </w:r>
      <w:r w:rsidR="001C329D" w:rsidRPr="00DF5E99">
        <w:rPr>
          <w:b/>
          <w:snapToGrid w:val="0"/>
        </w:rPr>
        <w:t>.2026</w:t>
      </w:r>
      <w:r w:rsidR="00E67C21">
        <w:rPr>
          <w:b/>
          <w:snapToGrid w:val="0"/>
        </w:rPr>
        <w:t xml:space="preserve"> </w:t>
      </w:r>
      <w:r w:rsidR="00E67C21" w:rsidRPr="00E67C21">
        <w:rPr>
          <w:bCs/>
          <w:snapToGrid w:val="0"/>
        </w:rPr>
        <w:t>– dřívější plnění je možné</w:t>
      </w:r>
    </w:p>
    <w:p w14:paraId="0B1CCAE3" w14:textId="77777777" w:rsidR="00655700" w:rsidRPr="00E67C21" w:rsidRDefault="00655700" w:rsidP="00655700">
      <w:pPr>
        <w:pStyle w:val="l-L2"/>
        <w:tabs>
          <w:tab w:val="clear" w:pos="737"/>
        </w:tabs>
        <w:ind w:left="0" w:firstLine="0"/>
        <w:rPr>
          <w:bCs/>
          <w:i/>
          <w:iCs/>
        </w:rPr>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2F1285CC" w14:textId="53349218" w:rsidR="00B7786F" w:rsidRPr="008A0FC1" w:rsidRDefault="00B7786F" w:rsidP="00B7786F">
      <w:pPr>
        <w:pStyle w:val="l-L2"/>
        <w:numPr>
          <w:ilvl w:val="0"/>
          <w:numId w:val="9"/>
        </w:numPr>
        <w:ind w:left="357" w:hanging="357"/>
      </w:pPr>
      <w:r w:rsidRPr="00DF5E99">
        <w:t>Vyhotovení projektové dokumentace se skládá ze dvou etap:</w:t>
      </w:r>
    </w:p>
    <w:p w14:paraId="74A3A305" w14:textId="77777777" w:rsidR="00B7786F" w:rsidRPr="00DF5E99" w:rsidRDefault="00B7786F" w:rsidP="00B7786F">
      <w:pPr>
        <w:pStyle w:val="l-L2"/>
        <w:numPr>
          <w:ilvl w:val="3"/>
          <w:numId w:val="30"/>
        </w:numPr>
      </w:pPr>
      <w:r w:rsidRPr="00DF5E99">
        <w:t>vypracování projektové dokumentace,</w:t>
      </w:r>
    </w:p>
    <w:p w14:paraId="44B1F4B2" w14:textId="47EE7B93" w:rsidR="00B7786F" w:rsidRPr="00DF5E99" w:rsidRDefault="008A0FC1" w:rsidP="00B7786F">
      <w:pPr>
        <w:pStyle w:val="l-L2"/>
        <w:numPr>
          <w:ilvl w:val="3"/>
          <w:numId w:val="30"/>
        </w:numPr>
      </w:pPr>
      <w:r w:rsidRPr="00DF5E99">
        <w:t xml:space="preserve">vyjádření DOSS , v případě potřeby povolení stavebního úřadu </w:t>
      </w:r>
      <w:r w:rsidR="00B7786F" w:rsidRPr="00DF5E99">
        <w:t>.</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14348496" w14:textId="23078CDF" w:rsidR="00F55ADC" w:rsidRPr="00DF5E99" w:rsidRDefault="00F91183" w:rsidP="00F91183">
      <w:pPr>
        <w:pStyle w:val="l-L2"/>
        <w:tabs>
          <w:tab w:val="clear" w:pos="737"/>
        </w:tabs>
        <w:ind w:left="357" w:firstLine="0"/>
      </w:pPr>
      <w:r w:rsidRPr="00DF5E99">
        <w:t>V případě, že částí díla bude povolení stavebního úřadu na stavbu</w:t>
      </w:r>
      <w:r w:rsidRPr="00DF5E99" w:rsidDel="00B548B4">
        <w:t xml:space="preserve"> </w:t>
      </w:r>
      <w:r w:rsidRPr="00DF5E99">
        <w:t>(s doložením právní moci), bude jeho předání objednateli potvrzovat protokol o</w:t>
      </w:r>
      <w:r w:rsidR="007B410B" w:rsidRPr="00DF5E99">
        <w:t> </w:t>
      </w:r>
      <w:r w:rsidRPr="00DF5E99">
        <w:t>předání a převzetí podepsaný oběma smluvními stranami.</w:t>
      </w:r>
    </w:p>
    <w:p w14:paraId="77BE7F29" w14:textId="77777777" w:rsidR="00CA6120" w:rsidRPr="005F4B56"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6774439C"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C73BCC">
        <w:rPr>
          <w:b/>
        </w:rPr>
        <w:t>2.7.2025.</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7252B759"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C73BCC">
        <w:rPr>
          <w:b/>
        </w:rPr>
        <w:t>165 000</w:t>
      </w:r>
      <w:r w:rsidR="00216E2C" w:rsidRPr="00DB0432">
        <w:rPr>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DE5AF1" w:rsidRPr="00827650">
        <w:rPr>
          <w:rFonts w:cs="Arial"/>
        </w:rPr>
        <w:t>. DPH bude účtována v příslušné výši stanovené zákonem.</w:t>
      </w:r>
    </w:p>
    <w:p w14:paraId="7D9FFC7B" w14:textId="6A50BEF3" w:rsidR="009458B3" w:rsidRPr="00DF5E99" w:rsidRDefault="009458B3" w:rsidP="00655700">
      <w:pPr>
        <w:pStyle w:val="l-L2"/>
        <w:tabs>
          <w:tab w:val="clear" w:pos="737"/>
        </w:tabs>
        <w:ind w:left="357" w:firstLine="0"/>
        <w:rPr>
          <w:rFonts w:cs="Arial"/>
        </w:rPr>
      </w:pPr>
      <w:r w:rsidRPr="00DF5E99">
        <w:rPr>
          <w:rFonts w:cs="Arial"/>
        </w:rPr>
        <w:t>Z toho:</w:t>
      </w:r>
    </w:p>
    <w:p w14:paraId="5BF286A3" w14:textId="27FE816E" w:rsidR="00DC371F" w:rsidRPr="00DF5E99" w:rsidRDefault="00AE265B" w:rsidP="00DC371F">
      <w:pPr>
        <w:pStyle w:val="l-L2"/>
        <w:numPr>
          <w:ilvl w:val="0"/>
          <w:numId w:val="28"/>
        </w:numPr>
        <w:rPr>
          <w:rFonts w:cs="Arial"/>
        </w:rPr>
      </w:pPr>
      <w:r w:rsidRPr="00DF5E99">
        <w:rPr>
          <w:rFonts w:cs="Arial"/>
        </w:rPr>
        <w:t xml:space="preserve">Cena za zpracování projektové dokumentace činí </w:t>
      </w:r>
      <w:r w:rsidR="00F2606F" w:rsidRPr="00DF5E99">
        <w:rPr>
          <w:rFonts w:cs="Arial"/>
          <w:b/>
          <w:snapToGrid w:val="0"/>
        </w:rPr>
        <w:t xml:space="preserve">135 000 </w:t>
      </w:r>
      <w:r w:rsidRPr="00DF5E99">
        <w:rPr>
          <w:rFonts w:cs="Arial"/>
          <w:b/>
          <w:bCs/>
        </w:rPr>
        <w:t>Kč</w:t>
      </w:r>
      <w:r w:rsidRPr="00DF5E99">
        <w:rPr>
          <w:rFonts w:cs="Arial"/>
        </w:rPr>
        <w:t xml:space="preserve"> bez DPH. DPH bude účtována v příslušné výši stanovené zákonem.</w:t>
      </w:r>
    </w:p>
    <w:p w14:paraId="09738AFA" w14:textId="5CABFA9E" w:rsidR="00AE265B" w:rsidRPr="00DF5E99" w:rsidRDefault="00AE265B" w:rsidP="00DC371F">
      <w:pPr>
        <w:pStyle w:val="l-L2"/>
        <w:numPr>
          <w:ilvl w:val="0"/>
          <w:numId w:val="28"/>
        </w:numPr>
        <w:rPr>
          <w:rFonts w:cs="Arial"/>
        </w:rPr>
      </w:pPr>
      <w:r w:rsidRPr="00DF5E99">
        <w:rPr>
          <w:rFonts w:cs="Arial"/>
        </w:rPr>
        <w:t>Cena za zajištění</w:t>
      </w:r>
      <w:r w:rsidR="00A02C5E">
        <w:rPr>
          <w:rFonts w:cs="Arial"/>
        </w:rPr>
        <w:t xml:space="preserve"> </w:t>
      </w:r>
      <w:r w:rsidR="00A02C5E" w:rsidRPr="00A02C5E">
        <w:rPr>
          <w:rFonts w:cs="Arial"/>
        </w:rPr>
        <w:t xml:space="preserve">vyjádření DOSS , v případě potřeby povolení stavebního úřadu </w:t>
      </w:r>
      <w:r w:rsidRPr="00DF5E99">
        <w:rPr>
          <w:rFonts w:cs="Arial"/>
        </w:rPr>
        <w:t xml:space="preserve">činí </w:t>
      </w:r>
      <w:r w:rsidR="00F2606F" w:rsidRPr="00DF5E99">
        <w:rPr>
          <w:rFonts w:cs="Arial"/>
          <w:b/>
          <w:snapToGrid w:val="0"/>
        </w:rPr>
        <w:t>30</w:t>
      </w:r>
      <w:r w:rsidR="00A02C5E">
        <w:rPr>
          <w:rFonts w:cs="Arial"/>
          <w:b/>
          <w:snapToGrid w:val="0"/>
        </w:rPr>
        <w:t> </w:t>
      </w:r>
      <w:r w:rsidR="00F2606F" w:rsidRPr="00DF5E99">
        <w:rPr>
          <w:rFonts w:cs="Arial"/>
          <w:b/>
          <w:snapToGrid w:val="0"/>
        </w:rPr>
        <w:t>000</w:t>
      </w:r>
      <w:r w:rsidR="00216E2C" w:rsidRPr="00DF5E99">
        <w:rPr>
          <w:rFonts w:cs="Arial"/>
          <w:b/>
          <w:bCs/>
        </w:rPr>
        <w:t> </w:t>
      </w:r>
      <w:r w:rsidRPr="00DF5E99">
        <w:rPr>
          <w:rFonts w:cs="Arial"/>
          <w:b/>
          <w:bCs/>
        </w:rPr>
        <w:t>Kč</w:t>
      </w:r>
      <w:r w:rsidRPr="00DF5E99">
        <w:rPr>
          <w:rFonts w:cs="Arial"/>
        </w:rPr>
        <w:t xml:space="preserve"> bez DPH. DPH bude účtována v příslušné výši stanovené zákonem.</w:t>
      </w:r>
    </w:p>
    <w:p w14:paraId="041CE885" w14:textId="77777777" w:rsidR="00B354B0" w:rsidRPr="005C59DC" w:rsidRDefault="003234B4" w:rsidP="00655700">
      <w:pPr>
        <w:pStyle w:val="l-L2"/>
        <w:tabs>
          <w:tab w:val="clear" w:pos="737"/>
        </w:tabs>
        <w:ind w:left="357" w:firstLine="0"/>
        <w:rPr>
          <w:i/>
          <w:iCs/>
        </w:rPr>
      </w:pPr>
      <w:bookmarkStart w:id="7" w:name="_Hlk36122845"/>
      <w:bookmarkStart w:id="8" w:name="_Hlk36122353"/>
      <w:r w:rsidRPr="005C59DC">
        <w:rPr>
          <w:i/>
          <w:iCs/>
        </w:rPr>
        <w:t>(Cena bude uváděna na haléře, tj. na 2 desetinná místa)</w:t>
      </w:r>
      <w:bookmarkEnd w:id="7"/>
      <w:bookmarkEnd w:id="8"/>
    </w:p>
    <w:p w14:paraId="56A1DDC6" w14:textId="65FBFD93" w:rsidR="000C0619" w:rsidRPr="00655700" w:rsidRDefault="00C30DBF" w:rsidP="00655700">
      <w:pPr>
        <w:pStyle w:val="l-L2"/>
        <w:numPr>
          <w:ilvl w:val="0"/>
          <w:numId w:val="21"/>
        </w:numPr>
        <w:ind w:left="357" w:hanging="357"/>
        <w:rPr>
          <w:rFonts w:cs="Arial"/>
        </w:rPr>
      </w:pPr>
      <w:r w:rsidRPr="00655700">
        <w:rPr>
          <w:rFonts w:cs="Arial"/>
        </w:rPr>
        <w:lastRenderedPageBreak/>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045D0EED"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861A91" w:rsidRPr="00861A91">
        <w:rPr>
          <w:rFonts w:cs="Arial"/>
        </w:rPr>
        <w:t>Státní pozemkový úřad, Pobočka Břeclav, Náměstí T. G. Masaryka 2957/</w:t>
      </w:r>
      <w:proofErr w:type="gramStart"/>
      <w:r w:rsidR="00861A91" w:rsidRPr="00861A91">
        <w:rPr>
          <w:rFonts w:cs="Arial"/>
        </w:rPr>
        <w:t>9a</w:t>
      </w:r>
      <w:proofErr w:type="gramEnd"/>
      <w:r w:rsidR="00861A91" w:rsidRPr="00861A91">
        <w:rPr>
          <w:rFonts w:cs="Arial"/>
        </w:rPr>
        <w:t>, 690 02 Břeclav.</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46FE23E2"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DF5E99">
        <w:t>60 měsíců</w:t>
      </w:r>
      <w:r w:rsidR="000B547C">
        <w:t xml:space="preserve"> o</w:t>
      </w:r>
      <w:r w:rsidRPr="00986949">
        <w:t xml:space="preserve">de dne </w:t>
      </w:r>
      <w:r w:rsidR="006A2349" w:rsidRPr="00986949">
        <w:t>předání a převzetí Díla</w:t>
      </w:r>
      <w:r w:rsidR="00EC6646">
        <w:t xml:space="preserve"> </w:t>
      </w:r>
      <w:r w:rsidR="00EC6646" w:rsidRPr="00DF5E99">
        <w:t>nebo jeho části</w:t>
      </w:r>
      <w:r w:rsidRPr="00986949">
        <w:t xml:space="preserve"> 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lastRenderedPageBreak/>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1EB36D7B"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46116C">
        <w:rPr>
          <w:b/>
          <w:bCs/>
        </w:rPr>
        <w:t>199 650</w:t>
      </w:r>
      <w:r w:rsidR="00B156A9" w:rsidRPr="00E132EF">
        <w:rPr>
          <w:b/>
          <w:bCs/>
        </w:rPr>
        <w:t>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p w14:paraId="43DE37FF" w14:textId="77777777" w:rsidR="000B4E18" w:rsidRPr="005C59DC" w:rsidRDefault="000B4E18" w:rsidP="000B4E18">
      <w:pPr>
        <w:spacing w:after="200"/>
        <w:jc w:val="both"/>
        <w:rPr>
          <w:rFonts w:cs="Arial"/>
        </w:rPr>
      </w:pPr>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lastRenderedPageBreak/>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3"/>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24651C2" w:rsidR="00A92B93" w:rsidRDefault="00A92B93" w:rsidP="00D144F8">
      <w:pPr>
        <w:pStyle w:val="l-L2"/>
        <w:numPr>
          <w:ilvl w:val="0"/>
          <w:numId w:val="18"/>
        </w:numPr>
        <w:ind w:left="357" w:hanging="357"/>
        <w:rPr>
          <w:lang w:eastAsia="en-US"/>
        </w:rPr>
      </w:pPr>
      <w:r>
        <w:rPr>
          <w:lang w:eastAsia="en-US"/>
        </w:rPr>
        <w:t xml:space="preserve">Je-li zhotovitel v prodlení s předáním Díla </w:t>
      </w:r>
      <w:r w:rsidRPr="00DF5E99">
        <w:rPr>
          <w:lang w:eastAsia="en-US"/>
        </w:rPr>
        <w:t>či jeho části</w:t>
      </w:r>
      <w:r>
        <w:rPr>
          <w:lang w:eastAsia="en-US"/>
        </w:rPr>
        <w:t xml:space="preserve"> ve lhůtě dle čl. III této smlouvy, uhradí objednateli smluvní pokutu ve výši 1 % z ceny Díla bez DPH dle čl. V odst. 2. z</w:t>
      </w:r>
      <w:r w:rsidR="00D0700C">
        <w:rPr>
          <w:lang w:eastAsia="en-US"/>
        </w:rPr>
        <w:t> </w:t>
      </w:r>
      <w:r>
        <w:rPr>
          <w:lang w:eastAsia="en-US"/>
        </w:rPr>
        <w:t xml:space="preserve">ceny </w:t>
      </w:r>
      <w:r w:rsidRPr="00DF5E99">
        <w:rPr>
          <w:lang w:eastAsia="en-US"/>
        </w:rPr>
        <w:t>dílčího</w:t>
      </w:r>
      <w:r w:rsidRPr="007E736F">
        <w:rPr>
          <w:lang w:eastAsia="en-US"/>
        </w:rPr>
        <w:t xml:space="preserve"> </w:t>
      </w:r>
      <w:r>
        <w:rPr>
          <w:lang w:eastAsia="en-US"/>
        </w:rPr>
        <w:t>plnění dle Smlouvy za každý, byť i jen započatý den prodlení.</w:t>
      </w:r>
    </w:p>
    <w:p w14:paraId="6A420DC5" w14:textId="40395388" w:rsidR="00A92B93" w:rsidRDefault="00A92B93" w:rsidP="00D144F8">
      <w:pPr>
        <w:pStyle w:val="l-L2"/>
        <w:numPr>
          <w:ilvl w:val="0"/>
          <w:numId w:val="18"/>
        </w:numPr>
        <w:ind w:left="357" w:hanging="357"/>
        <w:rPr>
          <w:lang w:eastAsia="en-US"/>
        </w:rPr>
      </w:pPr>
      <w:r>
        <w:rPr>
          <w:lang w:eastAsia="en-US"/>
        </w:rPr>
        <w:t xml:space="preserve">Je-li zhotovitel v prodlení s odstraněním vad Díla </w:t>
      </w:r>
      <w:r w:rsidRPr="00DF5E99">
        <w:rPr>
          <w:i/>
          <w:iCs/>
          <w:lang w:eastAsia="en-US"/>
        </w:rPr>
        <w:t>či jeho části</w:t>
      </w:r>
      <w:r>
        <w:rPr>
          <w:lang w:eastAsia="en-US"/>
        </w:rPr>
        <w:t xml:space="preserve">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 xml:space="preserve">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w:t>
      </w:r>
      <w:r>
        <w:rPr>
          <w:lang w:eastAsia="en-US"/>
        </w:rPr>
        <w:lastRenderedPageBreak/>
        <w:t>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4" w:name="_Hlk72751998"/>
    </w:p>
    <w:p w14:paraId="01D83036" w14:textId="2BF60590" w:rsidR="00643286" w:rsidRDefault="00643286" w:rsidP="00643286">
      <w:pPr>
        <w:spacing w:after="0"/>
        <w:ind w:left="567"/>
        <w:jc w:val="both"/>
        <w:rPr>
          <w:szCs w:val="22"/>
          <w:lang w:eastAsia="en-US"/>
        </w:rPr>
      </w:pPr>
      <w:r w:rsidRPr="0012719C">
        <w:rPr>
          <w:szCs w:val="22"/>
          <w:lang w:eastAsia="en-US"/>
        </w:rPr>
        <w:t xml:space="preserve">Za objednatele: </w:t>
      </w:r>
    </w:p>
    <w:p w14:paraId="38595334" w14:textId="511DDDF0" w:rsidR="00643286" w:rsidRPr="0012719C" w:rsidRDefault="00643286" w:rsidP="00643286">
      <w:pPr>
        <w:spacing w:after="0"/>
        <w:ind w:left="567"/>
        <w:jc w:val="both"/>
        <w:rPr>
          <w:szCs w:val="22"/>
          <w:lang w:eastAsia="en-US"/>
        </w:rPr>
      </w:pPr>
      <w:r w:rsidRPr="0012719C">
        <w:rPr>
          <w:szCs w:val="22"/>
          <w:lang w:eastAsia="en-US"/>
        </w:rPr>
        <w:t>SPÚ, Pobočka Břeclav</w:t>
      </w:r>
    </w:p>
    <w:p w14:paraId="55D9C56F" w14:textId="77777777" w:rsidR="00643286" w:rsidRPr="0012719C" w:rsidRDefault="00643286" w:rsidP="00643286">
      <w:pPr>
        <w:spacing w:before="0" w:after="0" w:line="280" w:lineRule="exact"/>
        <w:ind w:left="567"/>
        <w:contextualSpacing w:val="0"/>
        <w:jc w:val="both"/>
        <w:rPr>
          <w:szCs w:val="22"/>
          <w:lang w:eastAsia="en-US"/>
        </w:rPr>
      </w:pPr>
      <w:r w:rsidRPr="0012719C">
        <w:rPr>
          <w:szCs w:val="22"/>
          <w:lang w:eastAsia="en-US"/>
        </w:rPr>
        <w:t>Jméno/funkce: Ing. Mária Tisarová, odborný rada</w:t>
      </w:r>
      <w:r w:rsidRPr="0012719C">
        <w:rPr>
          <w:szCs w:val="22"/>
          <w:lang w:eastAsia="en-US"/>
        </w:rPr>
        <w:tab/>
      </w:r>
    </w:p>
    <w:p w14:paraId="1E782179" w14:textId="77777777" w:rsidR="00643286" w:rsidRPr="0012719C" w:rsidRDefault="00643286" w:rsidP="00643286">
      <w:pPr>
        <w:spacing w:before="0" w:after="0" w:line="280" w:lineRule="exact"/>
        <w:ind w:left="567"/>
        <w:contextualSpacing w:val="0"/>
        <w:jc w:val="both"/>
        <w:rPr>
          <w:szCs w:val="22"/>
          <w:lang w:eastAsia="en-US"/>
        </w:rPr>
      </w:pPr>
      <w:r w:rsidRPr="0012719C">
        <w:rPr>
          <w:szCs w:val="22"/>
          <w:lang w:eastAsia="en-US"/>
        </w:rPr>
        <w:t>Tel.: + 420 601 592 036</w:t>
      </w:r>
      <w:r w:rsidRPr="0012719C">
        <w:rPr>
          <w:szCs w:val="22"/>
          <w:lang w:eastAsia="en-US"/>
        </w:rPr>
        <w:tab/>
      </w:r>
    </w:p>
    <w:p w14:paraId="01A8D2E3" w14:textId="77777777" w:rsidR="00643286" w:rsidRPr="0012719C" w:rsidRDefault="00643286" w:rsidP="00643286">
      <w:pPr>
        <w:spacing w:before="0" w:after="0" w:line="280" w:lineRule="exact"/>
        <w:ind w:left="567"/>
        <w:contextualSpacing w:val="0"/>
        <w:jc w:val="both"/>
        <w:rPr>
          <w:szCs w:val="22"/>
          <w:lang w:eastAsia="en-US"/>
        </w:rPr>
      </w:pPr>
      <w:r w:rsidRPr="0012719C">
        <w:rPr>
          <w:szCs w:val="22"/>
          <w:lang w:eastAsia="en-US"/>
        </w:rPr>
        <w:t xml:space="preserve">E-mail: </w:t>
      </w:r>
      <w:hyperlink r:id="rId15" w:history="1">
        <w:r w:rsidRPr="0012719C">
          <w:rPr>
            <w:color w:val="0000FF" w:themeColor="hyperlink"/>
            <w:szCs w:val="22"/>
            <w:u w:val="single"/>
            <w:lang w:eastAsia="en-US"/>
          </w:rPr>
          <w:t>maria.tisarova@spu.gov.cz</w:t>
        </w:r>
      </w:hyperlink>
      <w:r w:rsidRPr="0012719C">
        <w:rPr>
          <w:szCs w:val="22"/>
          <w:lang w:eastAsia="en-US"/>
        </w:rPr>
        <w:t xml:space="preserve">  </w:t>
      </w:r>
    </w:p>
    <w:p w14:paraId="51CE3F1A" w14:textId="44AEFD38" w:rsidR="009B61FA" w:rsidRDefault="009B61FA" w:rsidP="009B61FA">
      <w:pPr>
        <w:pStyle w:val="l-L2"/>
        <w:tabs>
          <w:tab w:val="clear" w:pos="737"/>
          <w:tab w:val="left" w:pos="851"/>
          <w:tab w:val="left" w:pos="2835"/>
        </w:tabs>
        <w:ind w:left="357" w:firstLine="0"/>
        <w:rPr>
          <w:lang w:eastAsia="en-US"/>
        </w:rPr>
      </w:pP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608A653" w14:textId="77777777" w:rsidR="00355755" w:rsidRDefault="00643286" w:rsidP="00355755">
      <w:pPr>
        <w:pStyle w:val="l-L2"/>
        <w:tabs>
          <w:tab w:val="clear" w:pos="737"/>
          <w:tab w:val="left" w:pos="851"/>
          <w:tab w:val="left" w:pos="2835"/>
        </w:tabs>
        <w:spacing w:before="0" w:after="0"/>
        <w:ind w:left="357" w:firstLine="0"/>
      </w:pPr>
      <w:r>
        <w:rPr>
          <w:rFonts w:cs="Arial"/>
        </w:rPr>
        <w:t xml:space="preserve">      </w:t>
      </w:r>
      <w:r w:rsidR="009B7FF1">
        <w:rPr>
          <w:rFonts w:cs="Arial"/>
        </w:rPr>
        <w:t xml:space="preserve"> </w:t>
      </w:r>
      <w:r w:rsidR="00247C40" w:rsidRPr="00643286">
        <w:rPr>
          <w:rFonts w:cs="Arial"/>
        </w:rPr>
        <w:t>Jméno/funkce:</w:t>
      </w:r>
      <w:r>
        <w:rPr>
          <w:rFonts w:cs="Arial"/>
        </w:rPr>
        <w:t xml:space="preserve"> </w:t>
      </w:r>
      <w:proofErr w:type="spellStart"/>
      <w:r w:rsidR="00355755" w:rsidRPr="00355755">
        <w:t>xxxxxxxxxxxxxxxx</w:t>
      </w:r>
      <w:proofErr w:type="spellEnd"/>
    </w:p>
    <w:p w14:paraId="523AA238" w14:textId="59CDC845" w:rsidR="00643286" w:rsidRPr="00643286" w:rsidRDefault="00643286" w:rsidP="00355755">
      <w:pPr>
        <w:pStyle w:val="l-L2"/>
        <w:tabs>
          <w:tab w:val="clear" w:pos="737"/>
          <w:tab w:val="left" w:pos="851"/>
          <w:tab w:val="left" w:pos="2835"/>
        </w:tabs>
        <w:spacing w:before="0" w:after="0"/>
        <w:ind w:left="357" w:firstLine="0"/>
        <w:rPr>
          <w:rFonts w:cs="Arial"/>
        </w:rPr>
      </w:pPr>
      <w:r w:rsidRPr="00643286">
        <w:rPr>
          <w:rFonts w:cs="Arial"/>
        </w:rPr>
        <w:t xml:space="preserve">       </w:t>
      </w:r>
      <w:r w:rsidR="00247C40" w:rsidRPr="00643286">
        <w:rPr>
          <w:rFonts w:cs="Arial"/>
        </w:rPr>
        <w:t>Tel.:</w:t>
      </w:r>
      <w:r w:rsidRPr="00643286">
        <w:rPr>
          <w:rFonts w:cs="Arial"/>
        </w:rPr>
        <w:t xml:space="preserve"> </w:t>
      </w:r>
      <w:proofErr w:type="spellStart"/>
      <w:r w:rsidR="00355755" w:rsidRPr="00355755">
        <w:rPr>
          <w:rFonts w:cs="Arial"/>
        </w:rPr>
        <w:t>xxxxxxxxxxxxxxxx</w:t>
      </w:r>
      <w:proofErr w:type="spellEnd"/>
    </w:p>
    <w:p w14:paraId="2E6E161F" w14:textId="57658083" w:rsidR="00643286" w:rsidRPr="00643286" w:rsidRDefault="00643286" w:rsidP="00DF5E99">
      <w:pPr>
        <w:tabs>
          <w:tab w:val="left" w:pos="284"/>
          <w:tab w:val="left" w:pos="4678"/>
        </w:tabs>
        <w:spacing w:before="0" w:after="0" w:line="288" w:lineRule="auto"/>
        <w:ind w:right="-110"/>
        <w:jc w:val="both"/>
        <w:rPr>
          <w:rFonts w:cs="Arial"/>
          <w:snapToGrid w:val="0"/>
        </w:rPr>
      </w:pPr>
      <w:r w:rsidRPr="00643286">
        <w:rPr>
          <w:rFonts w:cs="Arial"/>
        </w:rPr>
        <w:tab/>
        <w:t xml:space="preserve">         E-mail: </w:t>
      </w:r>
      <w:hyperlink r:id="rId16" w:history="1">
        <w:r w:rsidR="00355755" w:rsidRPr="00355755">
          <w:t xml:space="preserve"> </w:t>
        </w:r>
        <w:r w:rsidR="00355755" w:rsidRPr="00355755">
          <w:rPr>
            <w:rStyle w:val="Hypertextovodkaz"/>
          </w:rPr>
          <w:t>xxxxxxxxxxxxxxxx</w:t>
        </w:r>
        <w:r w:rsidR="009B7FF1" w:rsidRPr="00DF5E99">
          <w:rPr>
            <w:rStyle w:val="Hypertextovodkaz"/>
          </w:rPr>
          <w:t>.cz</w:t>
        </w:r>
      </w:hyperlink>
      <w:r w:rsidR="009B7FF1">
        <w:rPr>
          <w:rFonts w:cs="Arial"/>
          <w:snapToGrid w:val="0"/>
        </w:rPr>
        <w:t xml:space="preserve"> </w:t>
      </w:r>
    </w:p>
    <w:p w14:paraId="40F90184" w14:textId="427733CC" w:rsidR="001A328F" w:rsidRDefault="009B61FA" w:rsidP="00DF5E99">
      <w:pPr>
        <w:pStyle w:val="l-L2"/>
        <w:tabs>
          <w:tab w:val="clear" w:pos="737"/>
          <w:tab w:val="left" w:pos="851"/>
          <w:tab w:val="left" w:pos="2835"/>
        </w:tabs>
        <w:spacing w:after="0"/>
        <w:ind w:left="357" w:firstLine="0"/>
        <w:rPr>
          <w:bCs/>
        </w:rPr>
      </w:pPr>
      <w:r>
        <w:rPr>
          <w:rFonts w:cs="Arial"/>
        </w:rPr>
        <w:tab/>
      </w:r>
    </w:p>
    <w:p w14:paraId="604BD36A" w14:textId="77777777" w:rsidR="004C21EA" w:rsidRPr="004C21EA" w:rsidRDefault="004C21EA" w:rsidP="004C21EA">
      <w:pPr>
        <w:pStyle w:val="l-L2"/>
        <w:tabs>
          <w:tab w:val="clear" w:pos="737"/>
          <w:tab w:val="left" w:pos="851"/>
          <w:tab w:val="left" w:pos="2835"/>
        </w:tabs>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DF5E99" w:rsidRDefault="008F5343" w:rsidP="008F5343">
      <w:pPr>
        <w:pStyle w:val="l-L2"/>
        <w:numPr>
          <w:ilvl w:val="0"/>
          <w:numId w:val="20"/>
        </w:numPr>
        <w:ind w:left="357" w:hanging="357"/>
        <w:rPr>
          <w:lang w:eastAsia="en-US"/>
        </w:rPr>
      </w:pPr>
      <w:r w:rsidRPr="00C37D91">
        <w:rPr>
          <w:lang w:eastAsia="en-US"/>
        </w:rPr>
        <w:t xml:space="preserve">Smlouva nabývá platnosti dnem podpisu smluvních stran </w:t>
      </w:r>
      <w:r w:rsidRPr="003F6D2C">
        <w:rPr>
          <w:lang w:eastAsia="en-US"/>
        </w:rPr>
        <w:t xml:space="preserve">a účinnosti </w:t>
      </w:r>
      <w:r w:rsidRPr="00DF5E99">
        <w:rPr>
          <w:lang w:eastAsia="en-US"/>
        </w:rPr>
        <w:t xml:space="preserve">dnem jejího uveřejnění v registru smluv dle ust. § 6 odst. 1 zákona č. 340/2015 Sb., </w:t>
      </w:r>
      <w:r w:rsidRPr="00DF5E99">
        <w:t xml:space="preserve">o zvláštních podmínkách </w:t>
      </w:r>
      <w:r w:rsidRPr="00DF5E99">
        <w:lastRenderedPageBreak/>
        <w:t>účinnosti některých smluv, uveřejňování těchto smluv a o registru smluv (zákon o registru smluv), ve znění pozdějších předpisů (dále jen „zákon o registru smluv“)</w:t>
      </w:r>
      <w:r w:rsidRPr="00DF5E99">
        <w:rPr>
          <w:lang w:eastAsia="en-US"/>
        </w:rPr>
        <w:t>.</w:t>
      </w:r>
    </w:p>
    <w:p w14:paraId="18324B2D" w14:textId="77777777" w:rsidR="008F5343" w:rsidRPr="00DF5E99" w:rsidRDefault="008F5343" w:rsidP="008F5343">
      <w:pPr>
        <w:pStyle w:val="l-L2"/>
        <w:numPr>
          <w:ilvl w:val="0"/>
          <w:numId w:val="20"/>
        </w:numPr>
        <w:ind w:left="357" w:hanging="357"/>
      </w:pPr>
      <w:r w:rsidRPr="00DF5E99">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Pr="009B7FF1" w:rsidRDefault="008F5343" w:rsidP="008F5343">
      <w:pPr>
        <w:pStyle w:val="l-L2"/>
        <w:tabs>
          <w:tab w:val="clear" w:pos="737"/>
          <w:tab w:val="left" w:pos="851"/>
        </w:tabs>
        <w:ind w:left="851" w:hanging="494"/>
      </w:pPr>
      <w:r>
        <w:tab/>
      </w:r>
      <w:r w:rsidRPr="009B7FF1">
        <w:t xml:space="preserve">Příloha č. 1 - Podrobná specifikace části </w:t>
      </w:r>
      <w:proofErr w:type="gramStart"/>
      <w:r w:rsidRPr="009B7FF1">
        <w:t>Díla - vypracování</w:t>
      </w:r>
      <w:proofErr w:type="gramEnd"/>
      <w:r w:rsidRPr="009B7FF1">
        <w:t xml:space="preserve"> projektové dokumentace</w:t>
      </w:r>
    </w:p>
    <w:p w14:paraId="4696FD45" w14:textId="50FE7432" w:rsidR="008F5343" w:rsidRPr="00DF5E99" w:rsidRDefault="008F5343" w:rsidP="008F5343">
      <w:pPr>
        <w:pStyle w:val="l-L2"/>
        <w:tabs>
          <w:tab w:val="clear" w:pos="737"/>
          <w:tab w:val="left" w:pos="851"/>
        </w:tabs>
        <w:ind w:left="851" w:hanging="494"/>
      </w:pPr>
      <w:r w:rsidRPr="009B7FF1">
        <w:tab/>
      </w:r>
      <w:r w:rsidRPr="00DF5E99">
        <w:t>Příloha č. 2 - Plná moc</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3E436616"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021E33">
        <w:rPr>
          <w:rFonts w:cs="Arial"/>
        </w:rPr>
        <w:t xml:space="preserve"> Břeclavi </w:t>
      </w:r>
      <w:r w:rsidR="00AD460B" w:rsidRPr="005C59DC">
        <w:rPr>
          <w:rFonts w:cs="Arial"/>
        </w:rPr>
        <w:t>dne</w:t>
      </w:r>
      <w:r w:rsidR="00F73DCC">
        <w:rPr>
          <w:rFonts w:cs="Arial"/>
        </w:rPr>
        <w:t>:</w:t>
      </w:r>
      <w:r w:rsidR="002F0E3A">
        <w:rPr>
          <w:rFonts w:cs="Arial"/>
        </w:rPr>
        <w:t>12.8.2025</w:t>
      </w:r>
      <w:r w:rsidR="00AD460B" w:rsidRPr="005C59DC">
        <w:rPr>
          <w:rFonts w:cs="Arial"/>
        </w:rPr>
        <w:tab/>
        <w:t>V</w:t>
      </w:r>
      <w:r w:rsidR="002F0E3A">
        <w:rPr>
          <w:rFonts w:cs="Arial"/>
        </w:rPr>
        <w:t xml:space="preserve"> </w:t>
      </w:r>
      <w:r w:rsidR="00021E33">
        <w:rPr>
          <w:rFonts w:cs="Arial"/>
        </w:rPr>
        <w:t xml:space="preserve">Břeclavi </w:t>
      </w:r>
      <w:r w:rsidR="00AD460B" w:rsidRPr="005C59DC">
        <w:rPr>
          <w:rFonts w:cs="Arial"/>
        </w:rPr>
        <w:t>dne</w:t>
      </w:r>
      <w:r w:rsidR="00F73DCC">
        <w:rPr>
          <w:rFonts w:cs="Arial"/>
        </w:rPr>
        <w:t>:</w:t>
      </w:r>
      <w:r w:rsidR="002F0E3A">
        <w:rPr>
          <w:rFonts w:cs="Arial"/>
        </w:rPr>
        <w:t xml:space="preserve"> 12.8.2025</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6BC7990F" w:rsidR="00AD460B" w:rsidRDefault="00BB76F3" w:rsidP="00AD460B">
      <w:pPr>
        <w:tabs>
          <w:tab w:val="left" w:pos="142"/>
          <w:tab w:val="left" w:pos="4678"/>
        </w:tabs>
        <w:jc w:val="both"/>
        <w:rPr>
          <w:rFonts w:cs="Arial"/>
        </w:rPr>
      </w:pPr>
      <w:r>
        <w:rPr>
          <w:rFonts w:cs="Arial"/>
          <w:b/>
          <w:bCs/>
        </w:rPr>
        <w:tab/>
      </w:r>
      <w:r w:rsidR="003A5319" w:rsidRPr="000B726D">
        <w:t>Ing. et Ing. Luďek Drápal, MBA</w:t>
      </w:r>
      <w:r w:rsidR="00AD460B" w:rsidRPr="005C59DC">
        <w:rPr>
          <w:rFonts w:cs="Arial"/>
          <w:b/>
          <w:bCs/>
        </w:rPr>
        <w:tab/>
      </w:r>
      <w:r w:rsidR="004768C1" w:rsidRPr="00DF5E99">
        <w:rPr>
          <w:rFonts w:cs="Arial"/>
        </w:rPr>
        <w:t>Ing. Petr Janulík</w:t>
      </w:r>
    </w:p>
    <w:p w14:paraId="4C092A6C" w14:textId="42BAEDB0" w:rsidR="004C5F95" w:rsidRDefault="004C5F95" w:rsidP="00AD460B">
      <w:pPr>
        <w:tabs>
          <w:tab w:val="left" w:pos="142"/>
          <w:tab w:val="left" w:pos="4678"/>
        </w:tabs>
        <w:jc w:val="both"/>
      </w:pPr>
      <w:r>
        <w:t xml:space="preserve">  </w:t>
      </w:r>
      <w:r w:rsidRPr="000B726D">
        <w:t>vedoucí Pobočky Břeclav</w:t>
      </w:r>
    </w:p>
    <w:p w14:paraId="14CD0ABE" w14:textId="6B3CC5DF" w:rsidR="00021E33" w:rsidRPr="004768C1" w:rsidRDefault="00021E33" w:rsidP="00AD460B">
      <w:pPr>
        <w:tabs>
          <w:tab w:val="left" w:pos="142"/>
          <w:tab w:val="left" w:pos="4678"/>
        </w:tabs>
        <w:jc w:val="both"/>
        <w:rPr>
          <w:rFonts w:cs="Arial"/>
        </w:rPr>
      </w:pPr>
      <w:r>
        <w:t xml:space="preserve">  </w:t>
      </w:r>
      <w:r w:rsidRPr="000B726D">
        <w:t>Státní pozemkový úřad</w:t>
      </w: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605F85">
      <w:pPr>
        <w:pStyle w:val="Odstavecseseznamem"/>
        <w:ind w:left="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06EB541A"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 xml:space="preserve">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 </w:t>
      </w:r>
    </w:p>
    <w:p w14:paraId="0D062983"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407345AE"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posouzení dopravního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2144FBCE"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Dále bude zhotovitelem zajištěno projednání projektové dokumentace s dotčenými orgány a organizacemi, s vlastníky pozemků dotčených stavbou. Zhotovitel zajistí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6E7CCE46"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vody v rozsahu pozemku stavby. Bude respektován pozemek stavby ze schválené pozemkové úpravy, včetně zajištění funkční návaznosti stavby.  (u polních cest řešení napojení na jinou komunikaci, u PEO a VHS napojení na vodní toky, příkopy, údolnice apod.)</w:t>
      </w:r>
    </w:p>
    <w:p w14:paraId="4502355C"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 xml:space="preserve">Projektová dokumentace bude vyhotovena 2x v listinné podobě a 1 </w:t>
      </w:r>
      <w:proofErr w:type="gramStart"/>
      <w:r>
        <w:rPr>
          <w:rFonts w:cs="Arial"/>
          <w:bCs/>
          <w:szCs w:val="22"/>
        </w:rPr>
        <w:t>x  v</w:t>
      </w:r>
      <w:proofErr w:type="gramEnd"/>
      <w:r>
        <w:rPr>
          <w:rFonts w:cs="Arial"/>
          <w:bCs/>
          <w:szCs w:val="22"/>
        </w:rPr>
        <w:t xml:space="preserve"> digitální podobě prostřednictvím oficiálního Výměnného úložiště SPÚ.  Zprávy a výkresy ve formátu PDF, </w:t>
      </w:r>
      <w:r>
        <w:rPr>
          <w:rFonts w:cs="Arial"/>
          <w:bCs/>
          <w:szCs w:val="22"/>
        </w:rPr>
        <w:lastRenderedPageBreak/>
        <w:t xml:space="preserve">výkresy PDF a DGN/DWG, se soupisem prací a výkazem výměr a rozpočtem dle ceníkové soustavy URS Praha a.s. ve formátu *.xls, nebo *.xlsx. a současně ve formátu „UNIXML“ (specifikace na www.unixml.cz ) včetně vedlejších rozpočtových nákladů. Soupis prací a rozpočet (včetně VRN) bude zpracován pro každou stavbu zvlášť. </w:t>
      </w:r>
    </w:p>
    <w:p w14:paraId="00C5F3DA"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 xml:space="preserve">Pokud zpracovávaná PD bude obsahovat více prvků, bude mít každý prvek svůj vlastní rozpočet, včetně samostatně vyčíslených VRN. Bude zpracován do jednoho souboru s příslušným počtem záložek (listů) dle stavebních objektů, na 1.listě bude rekapitulace celé zakázky. </w:t>
      </w:r>
    </w:p>
    <w:p w14:paraId="4528951D"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Projektová dokumentace bude navíc v 1 elektronickém vyhotovení v tzv. anonymizované verzi, ve kterém bude provedena anonymizace (znečitelnění či odstranění) osobních údajů fyzických osob (např. zaměstnanců zhotovitele), podílejících se na vypracování Díla – jak textové i výkresové části. Dále nebude v textu uvedeno jméno a příjmení vlastníků dotčených pozemků, vyjádření DOSS a ostatních organizací nebudou obsahovat podpisy osob aj.</w:t>
      </w:r>
    </w:p>
    <w:p w14:paraId="40ED45BD" w14:textId="77777777" w:rsidR="00605F85" w:rsidRDefault="00605F85" w:rsidP="00605F85">
      <w:pPr>
        <w:jc w:val="both"/>
        <w:rPr>
          <w:rFonts w:cs="Arial"/>
          <w:bCs/>
          <w:szCs w:val="22"/>
        </w:rPr>
      </w:pPr>
    </w:p>
    <w:p w14:paraId="69993E8C" w14:textId="77777777" w:rsidR="00605F85" w:rsidRDefault="00605F85" w:rsidP="00605F85">
      <w:pPr>
        <w:pStyle w:val="Odstavecseseznamem"/>
        <w:numPr>
          <w:ilvl w:val="0"/>
          <w:numId w:val="35"/>
        </w:numPr>
        <w:spacing w:before="0" w:after="0"/>
        <w:jc w:val="both"/>
        <w:rPr>
          <w:rFonts w:cs="Arial"/>
          <w:bCs/>
          <w:szCs w:val="22"/>
        </w:rPr>
      </w:pPr>
      <w:r>
        <w:rPr>
          <w:rFonts w:cs="Arial"/>
          <w:bCs/>
          <w:szCs w:val="22"/>
        </w:rPr>
        <w:t>Požadavky na rozpočet:</w:t>
      </w:r>
    </w:p>
    <w:p w14:paraId="3701675D"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 xml:space="preserve">Vzhledem k možnosti financování realizace staveb z prostředků EU, případně OPŽP bude rozpočet stanoven dle Katalogu stavebních prací firmy URS Praha a.s. a bude náležitě konzultován se zadavatelem. Položky v soupise prací budou převedeny do formátu unixml. </w:t>
      </w:r>
    </w:p>
    <w:p w14:paraId="4BE720D8"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 xml:space="preserve">Zadavatel dále požaduje: </w:t>
      </w:r>
    </w:p>
    <w:p w14:paraId="7CE3D1EF"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kontrolu formátu unixml (validátor a reader na www.unixml.cz ) </w:t>
      </w:r>
    </w:p>
    <w:p w14:paraId="4AF9CB5D"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po importu do programu KROS bude zřejmé, že se jedná o soupis prací</w:t>
      </w:r>
    </w:p>
    <w:p w14:paraId="6BFB8D44" w14:textId="77777777" w:rsidR="00605F85" w:rsidRDefault="00605F85" w:rsidP="00605F85">
      <w:pPr>
        <w:pStyle w:val="Odstavecseseznamem"/>
        <w:numPr>
          <w:ilvl w:val="0"/>
          <w:numId w:val="36"/>
        </w:numPr>
        <w:spacing w:before="0" w:after="0"/>
        <w:ind w:left="1985" w:hanging="284"/>
        <w:jc w:val="both"/>
        <w:rPr>
          <w:rFonts w:cs="Arial"/>
          <w:bCs/>
          <w:szCs w:val="22"/>
        </w:rPr>
      </w:pPr>
      <w:proofErr w:type="gramStart"/>
      <w:r>
        <w:rPr>
          <w:rFonts w:cs="Arial"/>
          <w:bCs/>
          <w:szCs w:val="22"/>
        </w:rPr>
        <w:t>pro  veřejnou</w:t>
      </w:r>
      <w:proofErr w:type="gramEnd"/>
      <w:r>
        <w:rPr>
          <w:rFonts w:cs="Arial"/>
          <w:bCs/>
          <w:szCs w:val="22"/>
        </w:rPr>
        <w:t xml:space="preserve"> zakázku (objeví se označení „VZ“ u importovaného soupisu) </w:t>
      </w:r>
    </w:p>
    <w:p w14:paraId="2C676BC8"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položky budou obsahovat výkaz výměr </w:t>
      </w:r>
    </w:p>
    <w:p w14:paraId="169E97B9"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uvedení plného popisu položek </w:t>
      </w:r>
    </w:p>
    <w:p w14:paraId="5D2F534C"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uvedení cenové soustavy </w:t>
      </w:r>
    </w:p>
    <w:p w14:paraId="7B9B6232"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aktuálnost rozpočtu </w:t>
      </w:r>
    </w:p>
    <w:p w14:paraId="13132555"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min počet tzv. R-položek </w:t>
      </w:r>
    </w:p>
    <w:p w14:paraId="608BE972" w14:textId="77777777" w:rsidR="00605F85" w:rsidRDefault="00605F85" w:rsidP="00605F85">
      <w:pPr>
        <w:ind w:left="1418" w:hanging="284"/>
        <w:jc w:val="both"/>
        <w:rPr>
          <w:rFonts w:cs="Arial"/>
          <w:bCs/>
          <w:szCs w:val="22"/>
        </w:rPr>
      </w:pPr>
    </w:p>
    <w:p w14:paraId="7287A3C3"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R položky budou použity pouze v nezbytných případech, nebudou uváděny názvy komerčních produktů; tj. nepřípustné zadat konkrétního výrobce daného dílu. Pouze v odůvodněných případech (součástí musí být odůvodnění) pokud jejich užití bude nezbytně nutné, bude textová část PD obsahovat následující text:</w:t>
      </w:r>
    </w:p>
    <w:p w14:paraId="58A25883"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„Pokud jsou technické podmínky předmětu díla formulovány odkazem na obchodní názvy materiálů, výrobků, označení původu nebo pokud zadávací podmínky obsahují odkazy na obchodní názvy firem, dodavatel to při zpracování nabídky bude chápat jako vymezení kvalititavního standardu. Zadavatel umožňuje použití i jiných, kvalititavně a technicky vhodných rovnocenných řešení, pokud bude vymezený kvalititavní standard dodržen nebo bude mít lepší parametry“.</w:t>
      </w:r>
    </w:p>
    <w:p w14:paraId="672A9059"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Skládkovné bude počítáno na oficiální skládky, ceny a vzdálenosti skládek budou v projektu uvedeny.</w:t>
      </w:r>
    </w:p>
    <w:p w14:paraId="66F0A2B6"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Soupis prací bude zpracovatelem PD vyhotoven tak, aby výsledné hodnoty cen stavby i jednotlivých stavebních objektů (bez DPH, výše DPH, s DPH) byly zaokrouhleny na dvě desetinná místa (novela č. 80/2019 Sb. zákona o DPH platná od 1.10.2019)</w:t>
      </w:r>
    </w:p>
    <w:p w14:paraId="389F0E0A"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lastRenderedPageBreak/>
        <w:t>Soupis prací bude obsahovat vedlejší a ostatní náklady:</w:t>
      </w:r>
    </w:p>
    <w:p w14:paraId="48EA5B04"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vedlejší náklady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61B289EF"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ostatní náklady – náklady vyplývající z podmínek zadávací dokumentace na realizaci stavby, neuvedené v položkových soupisech stavebních objektů ani v soupisu vedlejších nákladů.</w:t>
      </w:r>
    </w:p>
    <w:p w14:paraId="19627BBB" w14:textId="77777777" w:rsidR="00605F85" w:rsidRDefault="00605F85" w:rsidP="00605F85">
      <w:pPr>
        <w:pStyle w:val="Odstavecseseznamem"/>
        <w:numPr>
          <w:ilvl w:val="0"/>
          <w:numId w:val="36"/>
        </w:numPr>
        <w:spacing w:before="0" w:after="0"/>
        <w:ind w:left="1418" w:hanging="284"/>
        <w:jc w:val="both"/>
        <w:rPr>
          <w:rFonts w:cs="Arial"/>
          <w:bCs/>
          <w:szCs w:val="22"/>
        </w:rPr>
      </w:pPr>
      <w:r>
        <w:rPr>
          <w:rFonts w:cs="Arial"/>
          <w:bCs/>
          <w:szCs w:val="22"/>
        </w:rPr>
        <w:t xml:space="preserve">V rozpočtu budou ke každému stavebnímu objektu vyčísleny ostatní a vedlejší náklady, které budou v průběhu zpracování PD upřesněny: </w:t>
      </w:r>
    </w:p>
    <w:p w14:paraId="7231699B"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Informační tabule financování, včetně výroby, materiálu, osazení – trvalá </w:t>
      </w:r>
    </w:p>
    <w:p w14:paraId="6CAD53BF"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Informační tabule financování, včetně výroby, materiálu, osazení – dočasná </w:t>
      </w:r>
    </w:p>
    <w:p w14:paraId="5072AAB7"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Náklady na značení zákazu vstupu na staveniště </w:t>
      </w:r>
    </w:p>
    <w:p w14:paraId="5A0C10B6"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Náklady na dopravní značení a omezení provozu při výstavbě (bude-li třeba) </w:t>
      </w:r>
    </w:p>
    <w:p w14:paraId="1BE9F4FB"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Náklady na dočasný zábor půdy </w:t>
      </w:r>
    </w:p>
    <w:p w14:paraId="7967F302"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Náhrady škody vzniklé na porostu okolních pozemků po dobu výstavby </w:t>
      </w:r>
    </w:p>
    <w:p w14:paraId="23E28BEA"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Geodetické náklady na vytyčení pozemků pro stavbu </w:t>
      </w:r>
    </w:p>
    <w:p w14:paraId="451E50F8"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Dopravní značení </w:t>
      </w:r>
    </w:p>
    <w:p w14:paraId="37152671"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Vytyčení inženýrských sítí </w:t>
      </w:r>
    </w:p>
    <w:p w14:paraId="4170898E"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Úprava dočasných skládek</w:t>
      </w:r>
    </w:p>
    <w:p w14:paraId="1559D186"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Zaměření skutečného stavu po dokončení stavby</w:t>
      </w:r>
    </w:p>
    <w:p w14:paraId="31C7B95A" w14:textId="77777777" w:rsidR="00605F85" w:rsidRDefault="00605F85" w:rsidP="00605F85">
      <w:pPr>
        <w:pStyle w:val="Odstavecseseznamem"/>
        <w:numPr>
          <w:ilvl w:val="1"/>
          <w:numId w:val="36"/>
        </w:numPr>
        <w:spacing w:before="0" w:after="0"/>
        <w:ind w:left="1985" w:hanging="284"/>
        <w:jc w:val="both"/>
        <w:rPr>
          <w:rFonts w:cs="Arial"/>
          <w:bCs/>
          <w:szCs w:val="22"/>
        </w:rPr>
      </w:pPr>
      <w:r>
        <w:rPr>
          <w:rFonts w:cs="Arial"/>
          <w:bCs/>
          <w:szCs w:val="22"/>
        </w:rPr>
        <w:t xml:space="preserve">Pořízení fotodokumentace z realizace </w:t>
      </w:r>
    </w:p>
    <w:p w14:paraId="561E89F6" w14:textId="77777777" w:rsidR="00605F85" w:rsidRDefault="00605F85" w:rsidP="00605F85">
      <w:pPr>
        <w:jc w:val="both"/>
        <w:rPr>
          <w:rFonts w:cs="Arial"/>
          <w:bCs/>
          <w:szCs w:val="22"/>
        </w:rPr>
      </w:pPr>
    </w:p>
    <w:p w14:paraId="6C9F7B28" w14:textId="77777777" w:rsidR="00605F85" w:rsidRDefault="00605F85" w:rsidP="00605F85">
      <w:pPr>
        <w:pStyle w:val="Odstavecseseznamem"/>
        <w:numPr>
          <w:ilvl w:val="0"/>
          <w:numId w:val="37"/>
        </w:numPr>
        <w:spacing w:before="0" w:after="0"/>
        <w:jc w:val="both"/>
        <w:rPr>
          <w:rFonts w:cs="Arial"/>
          <w:bCs/>
          <w:szCs w:val="22"/>
        </w:rPr>
      </w:pPr>
      <w:r>
        <w:rPr>
          <w:rFonts w:cs="Arial"/>
          <w:bCs/>
          <w:szCs w:val="22"/>
        </w:rPr>
        <w:t>Projektová dokumentace bude zároveň sloužit jako podklad pro realizací zadávacího řízení na výběr zhotovitele stavby.</w:t>
      </w:r>
    </w:p>
    <w:p w14:paraId="3D4490BD" w14:textId="77777777" w:rsidR="00605F85" w:rsidRDefault="00605F85" w:rsidP="00605F85">
      <w:pPr>
        <w:pStyle w:val="Odstavecseseznamem"/>
        <w:numPr>
          <w:ilvl w:val="0"/>
          <w:numId w:val="37"/>
        </w:numPr>
        <w:spacing w:before="0" w:after="0"/>
        <w:jc w:val="both"/>
        <w:rPr>
          <w:rFonts w:cs="Arial"/>
          <w:bCs/>
          <w:szCs w:val="22"/>
        </w:rPr>
      </w:pPr>
      <w:r>
        <w:rPr>
          <w:rFonts w:cs="Arial"/>
          <w:bCs/>
          <w:szCs w:val="22"/>
        </w:rPr>
        <w:t>Součástí Díla jsou rovněž i činnosti, které nejsou výše uvedené, ale o kterých zhotovitel ví, nebo podle svých odborných zkušeností vědět má, že jsou k řádnému kvalitnímu provedení Díla potřebné.</w:t>
      </w:r>
    </w:p>
    <w:p w14:paraId="2D48D1B9" w14:textId="77777777" w:rsidR="00164704" w:rsidRPr="00085415" w:rsidRDefault="00164704" w:rsidP="00164704">
      <w:pPr>
        <w:rPr>
          <w:rStyle w:val="l-L2Char"/>
          <w:rFonts w:cs="Arial"/>
          <w:szCs w:val="22"/>
        </w:rPr>
      </w:pPr>
    </w:p>
    <w:p w14:paraId="19F5ADFE" w14:textId="77777777" w:rsidR="0073489B" w:rsidRDefault="0073489B">
      <w:pPr>
        <w:spacing w:before="0" w:after="0" w:line="240" w:lineRule="auto"/>
        <w:contextualSpacing w:val="0"/>
        <w:rPr>
          <w:rStyle w:val="l-L2Char"/>
          <w:rFonts w:cs="Arial"/>
          <w:b/>
          <w:bCs/>
          <w:szCs w:val="22"/>
          <w:highlight w:val="yellow"/>
        </w:rPr>
      </w:pPr>
      <w:r>
        <w:rPr>
          <w:rStyle w:val="l-L2Char"/>
          <w:rFonts w:cs="Arial"/>
          <w:b/>
          <w:bCs/>
          <w:szCs w:val="22"/>
          <w:highlight w:val="yellow"/>
        </w:rPr>
        <w:br w:type="page"/>
      </w:r>
    </w:p>
    <w:p w14:paraId="19DF0FB9" w14:textId="6D554308" w:rsidR="0073489B" w:rsidRPr="00F5045B" w:rsidRDefault="0073489B" w:rsidP="0073489B">
      <w:pPr>
        <w:pStyle w:val="Nadpis1"/>
        <w:rPr>
          <w:sz w:val="22"/>
          <w:szCs w:val="28"/>
        </w:rPr>
      </w:pPr>
      <w:r w:rsidRPr="00F5045B">
        <w:rPr>
          <w:sz w:val="22"/>
          <w:szCs w:val="28"/>
        </w:rPr>
        <w:lastRenderedPageBreak/>
        <w:t>Příloha č.</w:t>
      </w:r>
      <w:r>
        <w:rPr>
          <w:sz w:val="22"/>
          <w:szCs w:val="28"/>
        </w:rPr>
        <w:t> 2</w:t>
      </w:r>
    </w:p>
    <w:p w14:paraId="2875C9DA" w14:textId="77777777" w:rsidR="0073489B" w:rsidRPr="00702A54" w:rsidRDefault="0073489B" w:rsidP="0073489B">
      <w:pPr>
        <w:rPr>
          <w:rFonts w:cs="Arial"/>
        </w:rPr>
      </w:pPr>
      <w:r w:rsidRPr="00085415">
        <w:rPr>
          <w:rFonts w:cs="Arial"/>
          <w:b/>
          <w:bCs/>
        </w:rPr>
        <w:t>STÁTNÍ POZEMKOVÝ ÚŘAD</w:t>
      </w:r>
    </w:p>
    <w:p w14:paraId="49CD708F" w14:textId="77777777" w:rsidR="0073489B" w:rsidRPr="00085415" w:rsidRDefault="0073489B" w:rsidP="0073489B">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6963F8E9" w14:textId="77777777" w:rsidR="0073489B" w:rsidRPr="00702A54" w:rsidRDefault="0073489B" w:rsidP="0073489B">
      <w:pPr>
        <w:rPr>
          <w:rFonts w:cs="Arial"/>
          <w:bCs/>
          <w:szCs w:val="22"/>
        </w:rPr>
      </w:pPr>
      <w:r w:rsidRPr="00085415">
        <w:rPr>
          <w:rFonts w:cs="Arial"/>
          <w:b/>
          <w:szCs w:val="22"/>
        </w:rPr>
        <w:t>-----------------------------------------------------------------------------------------------------------------</w:t>
      </w:r>
      <w:r>
        <w:rPr>
          <w:rFonts w:cs="Arial"/>
          <w:b/>
          <w:szCs w:val="22"/>
        </w:rPr>
        <w:t>--------------</w:t>
      </w:r>
    </w:p>
    <w:p w14:paraId="3B50F01E" w14:textId="77777777" w:rsidR="0073489B" w:rsidRPr="00702A54" w:rsidRDefault="0073489B" w:rsidP="0073489B"/>
    <w:p w14:paraId="2B1870D6" w14:textId="77777777" w:rsidR="0073489B" w:rsidRPr="00085415" w:rsidRDefault="0073489B" w:rsidP="0073489B">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63AD9596" w14:textId="77777777" w:rsidR="0073489B" w:rsidRPr="00085415" w:rsidRDefault="0073489B" w:rsidP="0073489B"/>
    <w:p w14:paraId="7816BA2A" w14:textId="77777777" w:rsidR="00445A32" w:rsidRPr="00445A32" w:rsidRDefault="00445A32" w:rsidP="00445A32">
      <w:pPr>
        <w:rPr>
          <w:b/>
          <w:bCs/>
          <w:szCs w:val="22"/>
        </w:rPr>
      </w:pPr>
      <w:r w:rsidRPr="00445A32">
        <w:rPr>
          <w:b/>
          <w:bCs/>
          <w:szCs w:val="22"/>
        </w:rPr>
        <w:t xml:space="preserve">Česká </w:t>
      </w:r>
      <w:proofErr w:type="gramStart"/>
      <w:r w:rsidRPr="00445A32">
        <w:rPr>
          <w:b/>
          <w:bCs/>
          <w:szCs w:val="22"/>
        </w:rPr>
        <w:t>republika - Státní</w:t>
      </w:r>
      <w:proofErr w:type="gramEnd"/>
      <w:r w:rsidRPr="00445A32">
        <w:rPr>
          <w:b/>
          <w:bCs/>
          <w:szCs w:val="22"/>
        </w:rPr>
        <w:t xml:space="preserve"> pozemkový úřad, se sídlem 130 00 Praha 3, Husinecká 1024/11a </w:t>
      </w:r>
    </w:p>
    <w:p w14:paraId="1AF0E3AF" w14:textId="77777777" w:rsidR="00445A32" w:rsidRPr="00445A32" w:rsidRDefault="00445A32" w:rsidP="00445A32">
      <w:pPr>
        <w:rPr>
          <w:b/>
          <w:bCs/>
          <w:szCs w:val="22"/>
        </w:rPr>
      </w:pPr>
      <w:r w:rsidRPr="00445A32">
        <w:rPr>
          <w:b/>
          <w:bCs/>
          <w:szCs w:val="22"/>
        </w:rPr>
        <w:t>Krajský pozemkový úřad pro Jihomoravský kraj, Pobočka Břeclav</w:t>
      </w:r>
    </w:p>
    <w:p w14:paraId="265B5EF5" w14:textId="77777777" w:rsidR="00445A32" w:rsidRPr="00DF5E99" w:rsidRDefault="00445A32" w:rsidP="00445A32">
      <w:pPr>
        <w:rPr>
          <w:szCs w:val="22"/>
        </w:rPr>
      </w:pPr>
      <w:r w:rsidRPr="00DF5E99">
        <w:rPr>
          <w:szCs w:val="22"/>
        </w:rPr>
        <w:t>IČO:  01312774, DIČ: CZ01312774</w:t>
      </w:r>
    </w:p>
    <w:p w14:paraId="7CABDB8E" w14:textId="6F787792" w:rsidR="00DC0368" w:rsidRPr="00085415" w:rsidRDefault="00445A32" w:rsidP="00445A32">
      <w:pPr>
        <w:pStyle w:val="Default"/>
        <w:jc w:val="both"/>
        <w:rPr>
          <w:sz w:val="22"/>
          <w:szCs w:val="22"/>
        </w:rPr>
      </w:pPr>
      <w:r w:rsidRPr="00445A32">
        <w:rPr>
          <w:b/>
          <w:bCs/>
          <w:szCs w:val="22"/>
        </w:rPr>
        <w:t>Adresa: náměstí T. G. Masaryka 2957/</w:t>
      </w:r>
      <w:proofErr w:type="gramStart"/>
      <w:r w:rsidRPr="00445A32">
        <w:rPr>
          <w:b/>
          <w:bCs/>
          <w:szCs w:val="22"/>
        </w:rPr>
        <w:t>9a</w:t>
      </w:r>
      <w:proofErr w:type="gramEnd"/>
      <w:r w:rsidRPr="00445A32">
        <w:rPr>
          <w:b/>
          <w:bCs/>
          <w:szCs w:val="22"/>
        </w:rPr>
        <w:t>, 690 02 Břeclav</w:t>
      </w:r>
    </w:p>
    <w:p w14:paraId="46164A95" w14:textId="137D1446" w:rsidR="00772A5F" w:rsidRPr="00085415" w:rsidRDefault="0073489B" w:rsidP="0073489B">
      <w:pPr>
        <w:ind w:right="566"/>
        <w:rPr>
          <w:rFonts w:cs="Arial"/>
          <w:szCs w:val="22"/>
        </w:rPr>
      </w:pPr>
      <w:r w:rsidRPr="00085415">
        <w:rPr>
          <w:rFonts w:cs="Arial"/>
          <w:szCs w:val="22"/>
        </w:rPr>
        <w:t xml:space="preserve">Zastoupený: </w:t>
      </w:r>
      <w:r w:rsidR="00772A5F" w:rsidRPr="00772A5F">
        <w:rPr>
          <w:rFonts w:cs="Arial"/>
          <w:szCs w:val="22"/>
        </w:rPr>
        <w:t>Ing. et Ing. Luďkem Drápalem, MBA, vedoucím Pobočky Břeclav</w:t>
      </w:r>
      <w:r w:rsidR="00772A5F" w:rsidRPr="00772A5F" w:rsidDel="00772A5F">
        <w:rPr>
          <w:rFonts w:cs="Arial"/>
          <w:szCs w:val="22"/>
          <w:highlight w:val="yellow"/>
        </w:rPr>
        <w:t xml:space="preserve"> </w:t>
      </w:r>
    </w:p>
    <w:p w14:paraId="101D3D98" w14:textId="77777777" w:rsidR="0073489B" w:rsidRPr="00085415" w:rsidRDefault="0073489B" w:rsidP="0073489B">
      <w:pPr>
        <w:ind w:right="566"/>
        <w:rPr>
          <w:rFonts w:cs="Arial"/>
          <w:szCs w:val="22"/>
        </w:rPr>
      </w:pPr>
    </w:p>
    <w:p w14:paraId="4CD0A185" w14:textId="77777777" w:rsidR="0073489B" w:rsidRPr="00085415" w:rsidRDefault="0073489B" w:rsidP="0073489B">
      <w:pPr>
        <w:ind w:right="70"/>
        <w:jc w:val="center"/>
        <w:rPr>
          <w:rFonts w:cs="Arial"/>
          <w:b/>
          <w:szCs w:val="22"/>
        </w:rPr>
      </w:pPr>
      <w:r w:rsidRPr="00085415">
        <w:rPr>
          <w:rFonts w:cs="Arial"/>
          <w:b/>
          <w:szCs w:val="22"/>
        </w:rPr>
        <w:t>z m o c ň u j e</w:t>
      </w:r>
    </w:p>
    <w:p w14:paraId="7AD15915" w14:textId="77777777" w:rsidR="0073489B" w:rsidRPr="00D93B09" w:rsidRDefault="0073489B" w:rsidP="0073489B">
      <w:pPr>
        <w:ind w:right="70"/>
        <w:rPr>
          <w:rFonts w:cs="Arial"/>
          <w:bCs/>
          <w:szCs w:val="22"/>
        </w:rPr>
      </w:pPr>
    </w:p>
    <w:p w14:paraId="3A346832" w14:textId="407F7AFA" w:rsidR="0073489B" w:rsidRPr="00DF5E99" w:rsidRDefault="00772A5F" w:rsidP="0073489B">
      <w:pPr>
        <w:rPr>
          <w:rFonts w:cs="Arial"/>
          <w:b/>
          <w:bCs/>
        </w:rPr>
      </w:pPr>
      <w:proofErr w:type="spellStart"/>
      <w:r w:rsidRPr="00DF5E99">
        <w:rPr>
          <w:rFonts w:cs="Arial"/>
          <w:b/>
          <w:bCs/>
        </w:rPr>
        <w:t>Ing.Petr</w:t>
      </w:r>
      <w:r w:rsidR="00862A74">
        <w:rPr>
          <w:rFonts w:cs="Arial"/>
          <w:b/>
          <w:bCs/>
        </w:rPr>
        <w:t>a</w:t>
      </w:r>
      <w:proofErr w:type="spellEnd"/>
      <w:r w:rsidRPr="00DF5E99">
        <w:rPr>
          <w:rFonts w:cs="Arial"/>
          <w:b/>
          <w:bCs/>
        </w:rPr>
        <w:t xml:space="preserve"> Janulík</w:t>
      </w:r>
      <w:r w:rsidR="00862A74">
        <w:rPr>
          <w:rFonts w:cs="Arial"/>
          <w:b/>
          <w:bCs/>
        </w:rPr>
        <w:t>a</w:t>
      </w:r>
    </w:p>
    <w:p w14:paraId="078E2B52" w14:textId="632DCF49" w:rsidR="0073489B" w:rsidRPr="00DF5E99" w:rsidRDefault="0073489B" w:rsidP="0073489B">
      <w:pPr>
        <w:rPr>
          <w:rFonts w:cs="Arial"/>
          <w:szCs w:val="22"/>
        </w:rPr>
      </w:pPr>
      <w:r w:rsidRPr="00DF5E99">
        <w:rPr>
          <w:rFonts w:cs="Arial"/>
          <w:szCs w:val="22"/>
        </w:rPr>
        <w:t>se sídlem</w:t>
      </w:r>
      <w:r w:rsidR="00862A74" w:rsidRPr="00DF5E99">
        <w:rPr>
          <w:rFonts w:cs="Arial"/>
          <w:szCs w:val="22"/>
        </w:rPr>
        <w:t xml:space="preserve">: </w:t>
      </w:r>
      <w:proofErr w:type="spellStart"/>
      <w:r w:rsidR="00326A05" w:rsidRPr="00326A05">
        <w:rPr>
          <w:rFonts w:cs="Arial"/>
          <w:szCs w:val="22"/>
        </w:rPr>
        <w:t>xxxxxxxxxxxxxxxx</w:t>
      </w:r>
      <w:proofErr w:type="spellEnd"/>
      <w:r w:rsidR="00326A05" w:rsidRPr="00326A05">
        <w:rPr>
          <w:rFonts w:cs="Arial"/>
          <w:szCs w:val="22"/>
        </w:rPr>
        <w:t xml:space="preserve"> </w:t>
      </w:r>
      <w:r w:rsidR="00862A74" w:rsidRPr="00DF5E99">
        <w:rPr>
          <w:rFonts w:cs="Arial"/>
          <w:szCs w:val="22"/>
        </w:rPr>
        <w:t>Tvrdonice</w:t>
      </w:r>
    </w:p>
    <w:p w14:paraId="7420A481" w14:textId="01E1EF06" w:rsidR="0073489B" w:rsidRPr="00862A74" w:rsidRDefault="0073489B" w:rsidP="0073489B">
      <w:pPr>
        <w:rPr>
          <w:rFonts w:cs="Arial"/>
          <w:szCs w:val="22"/>
        </w:rPr>
      </w:pPr>
      <w:r w:rsidRPr="00DF5E99">
        <w:rPr>
          <w:rFonts w:cs="Arial"/>
          <w:szCs w:val="22"/>
        </w:rPr>
        <w:t>IČO:</w:t>
      </w:r>
      <w:r w:rsidR="00862A74" w:rsidRPr="00862A74">
        <w:rPr>
          <w:rFonts w:cs="Arial"/>
          <w:szCs w:val="22"/>
        </w:rPr>
        <w:t xml:space="preserve"> 61414786  </w:t>
      </w:r>
    </w:p>
    <w:p w14:paraId="2353E027" w14:textId="77777777" w:rsidR="0073489B" w:rsidRPr="00085415" w:rsidRDefault="0073489B" w:rsidP="0073489B">
      <w:pPr>
        <w:rPr>
          <w:rFonts w:cs="Arial"/>
          <w:szCs w:val="22"/>
        </w:rPr>
      </w:pPr>
    </w:p>
    <w:p w14:paraId="7DCF47D3" w14:textId="4D8C9D0B" w:rsidR="0073489B" w:rsidRPr="00085415" w:rsidRDefault="0073489B" w:rsidP="00DF5E99">
      <w:pPr>
        <w:ind w:right="70"/>
        <w:jc w:val="both"/>
        <w:rPr>
          <w:rFonts w:cs="Arial"/>
        </w:rPr>
      </w:pPr>
      <w:r w:rsidRPr="00085415">
        <w:rPr>
          <w:rFonts w:cs="Arial"/>
        </w:rPr>
        <w:t xml:space="preserve">k veškerým právním úkonům směřujícím k získání </w:t>
      </w:r>
      <w:r>
        <w:rPr>
          <w:rFonts w:cs="Arial"/>
        </w:rPr>
        <w:t xml:space="preserve">pravomocného </w:t>
      </w:r>
      <w:r w:rsidRPr="00085415">
        <w:rPr>
          <w:rFonts w:cs="Arial"/>
        </w:rPr>
        <w:t xml:space="preserve">povolení stavebního úřadu na stavbu </w:t>
      </w:r>
      <w:r w:rsidR="00582B2D" w:rsidRPr="00DF5E99">
        <w:rPr>
          <w:rFonts w:cs="Arial"/>
          <w:b/>
          <w:bCs/>
          <w:szCs w:val="22"/>
        </w:rPr>
        <w:t>Objekt pro zajištění infrastruktury pro čistou mobilitu</w:t>
      </w:r>
      <w:r w:rsidR="00582B2D" w:rsidRPr="00DF5E99">
        <w:rPr>
          <w:rFonts w:cs="Arial"/>
        </w:rPr>
        <w:t xml:space="preserve"> </w:t>
      </w:r>
      <w:r w:rsidRPr="00085415">
        <w:rPr>
          <w:rFonts w:cs="Arial"/>
        </w:rPr>
        <w:t>dle smlouvy o dílo</w:t>
      </w:r>
      <w:r w:rsidR="007A0E49">
        <w:rPr>
          <w:rFonts w:cs="Arial"/>
        </w:rPr>
        <w:t xml:space="preserve"> č. </w:t>
      </w:r>
      <w:r w:rsidR="007A0E49" w:rsidRPr="007A0E49">
        <w:rPr>
          <w:rFonts w:cs="Arial"/>
        </w:rPr>
        <w:t>441-2025-523203</w:t>
      </w:r>
      <w:r w:rsidRPr="00085415">
        <w:rPr>
          <w:rFonts w:cs="Arial"/>
        </w:rPr>
        <w:t xml:space="preserve"> uzavřené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proofErr w:type="spellStart"/>
      <w:r w:rsidR="00862A74">
        <w:rPr>
          <w:rFonts w:cs="Arial"/>
        </w:rPr>
        <w:t>Ing.Petrem</w:t>
      </w:r>
      <w:proofErr w:type="spellEnd"/>
      <w:r w:rsidR="00862A74">
        <w:rPr>
          <w:rFonts w:cs="Arial"/>
        </w:rPr>
        <w:t xml:space="preserve"> Janulíkem</w:t>
      </w:r>
      <w:r w:rsidRPr="00085415">
        <w:rPr>
          <w:rFonts w:cs="Arial"/>
        </w:rPr>
        <w:t xml:space="preserve"> jako zmocněncem v rozsahu čl.</w:t>
      </w:r>
      <w:r>
        <w:rPr>
          <w:rFonts w:cs="Arial"/>
        </w:rPr>
        <w:t> </w:t>
      </w:r>
      <w:r w:rsidR="00E368F2">
        <w:rPr>
          <w:rFonts w:cs="Arial"/>
        </w:rPr>
        <w:t xml:space="preserve">I </w:t>
      </w:r>
      <w:r w:rsidRPr="00085415">
        <w:rPr>
          <w:rFonts w:cs="Arial"/>
        </w:rPr>
        <w:t>této smlouvy.</w:t>
      </w:r>
    </w:p>
    <w:p w14:paraId="140368E2" w14:textId="77777777" w:rsidR="0073489B" w:rsidRPr="00085415" w:rsidRDefault="0073489B" w:rsidP="0073489B">
      <w:pPr>
        <w:ind w:right="70"/>
        <w:rPr>
          <w:rFonts w:cs="Arial"/>
          <w:szCs w:val="22"/>
        </w:rPr>
      </w:pPr>
    </w:p>
    <w:p w14:paraId="61DB6A0F" w14:textId="77777777" w:rsidR="0073489B" w:rsidRPr="00085415" w:rsidRDefault="0073489B" w:rsidP="0073489B">
      <w:pPr>
        <w:ind w:right="70"/>
        <w:rPr>
          <w:rFonts w:cs="Arial"/>
        </w:rPr>
      </w:pPr>
      <w:r w:rsidRPr="00085415">
        <w:rPr>
          <w:rFonts w:cs="Arial"/>
        </w:rPr>
        <w:t>V rámci této plné moci je zmocněnec oprávněn k těmto právním jednáním:</w:t>
      </w:r>
    </w:p>
    <w:p w14:paraId="3980B7FD" w14:textId="77777777" w:rsidR="0073489B" w:rsidRPr="00085415" w:rsidRDefault="0073489B" w:rsidP="0073489B">
      <w:pPr>
        <w:pStyle w:val="Odstavecseseznamem"/>
        <w:numPr>
          <w:ilvl w:val="0"/>
          <w:numId w:val="32"/>
        </w:numPr>
        <w:jc w:val="both"/>
      </w:pPr>
      <w:r w:rsidRPr="00085415">
        <w:t xml:space="preserve">podání žádosti o vydání </w:t>
      </w:r>
      <w:r w:rsidRPr="00085415">
        <w:rPr>
          <w:rFonts w:cs="Arial"/>
        </w:rPr>
        <w:t>povolení stavebního úřadu</w:t>
      </w:r>
      <w:r>
        <w:t>,</w:t>
      </w:r>
    </w:p>
    <w:p w14:paraId="1A1F2607" w14:textId="77777777" w:rsidR="0073489B" w:rsidRPr="00085415" w:rsidRDefault="0073489B" w:rsidP="0073489B">
      <w:pPr>
        <w:pStyle w:val="Odstavecseseznamem"/>
        <w:numPr>
          <w:ilvl w:val="0"/>
          <w:numId w:val="32"/>
        </w:numPr>
        <w:jc w:val="both"/>
      </w:pPr>
      <w:r w:rsidRPr="00085415">
        <w:t>doplnění a opravy podání po výzvě stavebního úřadu</w:t>
      </w:r>
      <w:r>
        <w:t>,</w:t>
      </w:r>
    </w:p>
    <w:p w14:paraId="3802881A" w14:textId="77777777" w:rsidR="0073489B" w:rsidRPr="00085415" w:rsidRDefault="0073489B" w:rsidP="0073489B">
      <w:pPr>
        <w:pStyle w:val="Odstavecseseznamem"/>
        <w:numPr>
          <w:ilvl w:val="0"/>
          <w:numId w:val="32"/>
        </w:numPr>
        <w:jc w:val="both"/>
      </w:pPr>
      <w:r w:rsidRPr="00085415">
        <w:t>převzetí veškerých písemností a rozhodnutí stavebního úřadu</w:t>
      </w:r>
      <w:r>
        <w:t>,</w:t>
      </w:r>
    </w:p>
    <w:p w14:paraId="542C11B4" w14:textId="77777777" w:rsidR="0073489B" w:rsidRPr="00085415" w:rsidRDefault="0073489B" w:rsidP="0073489B">
      <w:pPr>
        <w:pStyle w:val="Odstavecseseznamem"/>
        <w:numPr>
          <w:ilvl w:val="0"/>
          <w:numId w:val="32"/>
        </w:numPr>
        <w:jc w:val="both"/>
      </w:pPr>
      <w:r w:rsidRPr="00085415">
        <w:t>vzdání se práva na odvolání proti rozhodnutí stavebního úřadu</w:t>
      </w:r>
      <w:r>
        <w:t>,</w:t>
      </w:r>
    </w:p>
    <w:p w14:paraId="39B01270" w14:textId="77777777" w:rsidR="0073489B" w:rsidRPr="00085415" w:rsidRDefault="0073489B" w:rsidP="0073489B">
      <w:pPr>
        <w:pStyle w:val="Odstavecseseznamem"/>
        <w:numPr>
          <w:ilvl w:val="0"/>
          <w:numId w:val="32"/>
        </w:numPr>
        <w:jc w:val="both"/>
      </w:pPr>
      <w:r w:rsidRPr="00085415">
        <w:t xml:space="preserve">další právní jednání směřující k dosažení vydání příslušného </w:t>
      </w:r>
      <w:r w:rsidRPr="00074775">
        <w:t xml:space="preserve">povolení stavebního úřadu </w:t>
      </w:r>
      <w:r>
        <w:t xml:space="preserve">a nabytí jeho právní moci, </w:t>
      </w:r>
      <w:r w:rsidRPr="00085415">
        <w:t>včetně</w:t>
      </w:r>
      <w:r>
        <w:t> </w:t>
      </w:r>
      <w:r w:rsidRPr="00085415">
        <w:t>jednání s dotčenými orgány</w:t>
      </w:r>
      <w:r>
        <w:t>.</w:t>
      </w:r>
    </w:p>
    <w:p w14:paraId="32C029AE" w14:textId="77777777" w:rsidR="0073489B" w:rsidRPr="00085415" w:rsidRDefault="0073489B" w:rsidP="0073489B"/>
    <w:p w14:paraId="110BCDA2" w14:textId="77777777" w:rsidR="0073489B" w:rsidRPr="00085415" w:rsidRDefault="0073489B" w:rsidP="0073489B">
      <w:r w:rsidRPr="00085415">
        <w:t>Tato plná moc je platná ode dne jejího udělení (podpisu) a zaniká pravomocným rozhodnutím stavebního úřadu, nebo dnem ukončení smluvního závazkového stavu</w:t>
      </w:r>
      <w:bookmarkStart w:id="15" w:name="_Hlk19542743"/>
      <w:r w:rsidRPr="00085415">
        <w:t>;</w:t>
      </w:r>
      <w:bookmarkEnd w:id="15"/>
      <w:r w:rsidRPr="00085415">
        <w:t xml:space="preserve"> je vyhotovena ve třech stejnopisech, z nichž jeden je založen u zmocnitele.</w:t>
      </w:r>
    </w:p>
    <w:p w14:paraId="0CDC7607" w14:textId="77777777" w:rsidR="0073489B" w:rsidRPr="00085415" w:rsidRDefault="0073489B" w:rsidP="0073489B"/>
    <w:p w14:paraId="61A301E4" w14:textId="58FFD80E" w:rsidR="0073489B" w:rsidRPr="00085415" w:rsidRDefault="0073489B" w:rsidP="0073489B">
      <w:r w:rsidRPr="00085415">
        <w:t>V</w:t>
      </w:r>
      <w:r w:rsidR="006E6586">
        <w:t xml:space="preserve"> Břeclavi </w:t>
      </w:r>
      <w:r w:rsidRPr="00085415">
        <w:t>dne</w:t>
      </w:r>
      <w:r>
        <w:t xml:space="preserve"> </w:t>
      </w:r>
      <w:r w:rsidR="006E6586">
        <w:t xml:space="preserve">: </w:t>
      </w:r>
      <w:r w:rsidR="00326A05">
        <w:t>12.8.2025</w:t>
      </w:r>
    </w:p>
    <w:p w14:paraId="458C638B" w14:textId="77777777" w:rsidR="0073489B" w:rsidRPr="00085415" w:rsidRDefault="0073489B" w:rsidP="0073489B"/>
    <w:p w14:paraId="35D39706" w14:textId="77777777" w:rsidR="0073489B" w:rsidRPr="00702A54" w:rsidRDefault="0073489B" w:rsidP="0073489B">
      <w:pPr>
        <w:tabs>
          <w:tab w:val="left" w:pos="5103"/>
        </w:tabs>
      </w:pPr>
      <w:bookmarkStart w:id="16" w:name="Text16"/>
      <w:r w:rsidRPr="00702A54">
        <w:tab/>
        <w:t>……………………………………….</w:t>
      </w:r>
      <w:bookmarkEnd w:id="16"/>
    </w:p>
    <w:p w14:paraId="11559E9E" w14:textId="20D96EF8" w:rsidR="0073489B" w:rsidRDefault="0073489B" w:rsidP="0073489B">
      <w:pPr>
        <w:tabs>
          <w:tab w:val="left" w:pos="5103"/>
        </w:tabs>
      </w:pPr>
      <w:r w:rsidRPr="00702A54">
        <w:tab/>
      </w:r>
      <w:r w:rsidR="00F4011C" w:rsidRPr="00F4011C">
        <w:t>Ing. et Ing. Luďek Drápal, MBA</w:t>
      </w:r>
      <w:r w:rsidR="00F4011C" w:rsidRPr="00F4011C" w:rsidDel="00F4011C">
        <w:t xml:space="preserve"> </w:t>
      </w:r>
    </w:p>
    <w:p w14:paraId="3187DAE1" w14:textId="30A561B2" w:rsidR="00BE1A34" w:rsidRPr="00702A54" w:rsidRDefault="00BE1A34" w:rsidP="0073489B">
      <w:pPr>
        <w:tabs>
          <w:tab w:val="left" w:pos="5103"/>
        </w:tabs>
      </w:pPr>
      <w:r>
        <w:tab/>
      </w:r>
      <w:r w:rsidRPr="000B726D">
        <w:t>vedoucí Pobočky Břeclav</w:t>
      </w:r>
    </w:p>
    <w:p w14:paraId="1CB2DA48" w14:textId="77777777" w:rsidR="0073489B" w:rsidRPr="00702A54" w:rsidRDefault="0073489B" w:rsidP="0073489B">
      <w:pPr>
        <w:tabs>
          <w:tab w:val="left" w:pos="5103"/>
        </w:tabs>
      </w:pPr>
      <w:r w:rsidRPr="00702A54">
        <w:tab/>
        <w:t>Státní pozemkový úřad</w:t>
      </w:r>
    </w:p>
    <w:p w14:paraId="146CCF8E" w14:textId="223D600F" w:rsidR="0073489B" w:rsidRPr="00085415" w:rsidRDefault="0073489B" w:rsidP="0073489B">
      <w:pPr>
        <w:tabs>
          <w:tab w:val="left" w:pos="5103"/>
        </w:tabs>
        <w:rPr>
          <w:sz w:val="20"/>
        </w:rPr>
      </w:pPr>
      <w:r w:rsidRPr="00702A54">
        <w:rPr>
          <w:sz w:val="20"/>
        </w:rPr>
        <w:tab/>
      </w:r>
    </w:p>
    <w:p w14:paraId="2D63346F" w14:textId="77777777" w:rsidR="0073489B" w:rsidRPr="00671FEB" w:rsidRDefault="0073489B" w:rsidP="0073489B"/>
    <w:p w14:paraId="28BABD27" w14:textId="77777777" w:rsidR="00BE1A34" w:rsidRDefault="00BE1A34" w:rsidP="0073489B"/>
    <w:p w14:paraId="3567575F" w14:textId="31E7BCA9" w:rsidR="00F829EA" w:rsidRPr="005C59DC" w:rsidRDefault="0073489B" w:rsidP="007A0E49">
      <w:pPr>
        <w:rPr>
          <w:rStyle w:val="l-L2Char"/>
          <w:rFonts w:cs="Arial"/>
          <w:szCs w:val="22"/>
          <w:highlight w:val="yellow"/>
        </w:rPr>
      </w:pPr>
      <w:r w:rsidRPr="00671FEB">
        <w:t xml:space="preserve">Plnou moc přijímá: </w:t>
      </w:r>
      <w:proofErr w:type="spellStart"/>
      <w:r w:rsidR="00326A05">
        <w:t>Ing.Petr</w:t>
      </w:r>
      <w:proofErr w:type="spellEnd"/>
      <w:r w:rsidR="00326A05">
        <w:t xml:space="preserve"> Janulík</w:t>
      </w:r>
    </w:p>
    <w:sectPr w:rsidR="00F829EA" w:rsidRPr="005C59DC" w:rsidSect="00F0106B">
      <w:headerReference w:type="default"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853C" w14:textId="77777777" w:rsidR="00DC1C32" w:rsidRDefault="00DC1C32">
      <w:r>
        <w:separator/>
      </w:r>
    </w:p>
  </w:endnote>
  <w:endnote w:type="continuationSeparator" w:id="0">
    <w:p w14:paraId="1FEBF037" w14:textId="77777777" w:rsidR="00DC1C32" w:rsidRDefault="00DC1C32">
      <w:r>
        <w:continuationSeparator/>
      </w:r>
    </w:p>
  </w:endnote>
  <w:endnote w:type="continuationNotice" w:id="1">
    <w:p w14:paraId="6316BBD0" w14:textId="77777777" w:rsidR="00DC1C32" w:rsidRDefault="00DC1C3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07CD" w14:textId="77777777" w:rsidR="00DC1C32" w:rsidRDefault="00DC1C32">
      <w:r>
        <w:separator/>
      </w:r>
    </w:p>
  </w:footnote>
  <w:footnote w:type="continuationSeparator" w:id="0">
    <w:p w14:paraId="1E934FA6" w14:textId="77777777" w:rsidR="00DC1C32" w:rsidRDefault="00DC1C32">
      <w:r>
        <w:continuationSeparator/>
      </w:r>
    </w:p>
  </w:footnote>
  <w:footnote w:type="continuationNotice" w:id="1">
    <w:p w14:paraId="40EF8932" w14:textId="77777777" w:rsidR="00DC1C32" w:rsidRDefault="00DC1C3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0AD3FD41" w:rsidR="00F60E97" w:rsidRPr="00417A32" w:rsidRDefault="00F60E97" w:rsidP="006C5B4F">
    <w:pPr>
      <w:jc w:val="right"/>
      <w:rPr>
        <w:sz w:val="16"/>
        <w:szCs w:val="16"/>
      </w:rPr>
    </w:pPr>
    <w:r w:rsidRPr="00417A32">
      <w:rPr>
        <w:sz w:val="16"/>
        <w:szCs w:val="16"/>
      </w:rPr>
      <w:t>Č.j. objednatele:</w:t>
    </w:r>
    <w:r w:rsidR="00417A32" w:rsidRPr="00417A32">
      <w:rPr>
        <w:sz w:val="16"/>
        <w:szCs w:val="16"/>
      </w:rPr>
      <w:t xml:space="preserve"> 441-2025-523203</w:t>
    </w:r>
  </w:p>
  <w:p w14:paraId="3E916CFB" w14:textId="6C726E70" w:rsidR="00F60E97" w:rsidRPr="00417A32" w:rsidRDefault="00F60E97" w:rsidP="006C5B4F">
    <w:pPr>
      <w:jc w:val="right"/>
      <w:rPr>
        <w:sz w:val="16"/>
        <w:szCs w:val="16"/>
      </w:rPr>
    </w:pPr>
    <w:r w:rsidRPr="004B1BBE">
      <w:rPr>
        <w:sz w:val="16"/>
        <w:szCs w:val="16"/>
      </w:rPr>
      <w:t>Č.j. zhotovitele:</w:t>
    </w:r>
    <w:r w:rsidR="004B1BBE">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DD39CC"/>
    <w:multiLevelType w:val="multilevel"/>
    <w:tmpl w:val="CD6C380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Arial" w:eastAsia="Cambr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CB5218"/>
    <w:multiLevelType w:val="multilevel"/>
    <w:tmpl w:val="6E2CF8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250FC"/>
    <w:multiLevelType w:val="multilevel"/>
    <w:tmpl w:val="559E0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4"/>
  </w:num>
  <w:num w:numId="5" w16cid:durableId="244462644">
    <w:abstractNumId w:val="26"/>
  </w:num>
  <w:num w:numId="6" w16cid:durableId="126823204">
    <w:abstractNumId w:val="8"/>
  </w:num>
  <w:num w:numId="7" w16cid:durableId="50933278">
    <w:abstractNumId w:val="25"/>
  </w:num>
  <w:num w:numId="8" w16cid:durableId="586184981">
    <w:abstractNumId w:val="35"/>
  </w:num>
  <w:num w:numId="9" w16cid:durableId="801264195">
    <w:abstractNumId w:val="2"/>
  </w:num>
  <w:num w:numId="10" w16cid:durableId="1106655969">
    <w:abstractNumId w:val="30"/>
  </w:num>
  <w:num w:numId="11" w16cid:durableId="727728374">
    <w:abstractNumId w:val="19"/>
  </w:num>
  <w:num w:numId="12" w16cid:durableId="1612735551">
    <w:abstractNumId w:val="27"/>
  </w:num>
  <w:num w:numId="13" w16cid:durableId="1840192776">
    <w:abstractNumId w:val="29"/>
  </w:num>
  <w:num w:numId="14" w16cid:durableId="981541051">
    <w:abstractNumId w:val="22"/>
  </w:num>
  <w:num w:numId="15" w16cid:durableId="22025409">
    <w:abstractNumId w:val="34"/>
  </w:num>
  <w:num w:numId="16" w16cid:durableId="541673430">
    <w:abstractNumId w:val="5"/>
  </w:num>
  <w:num w:numId="17" w16cid:durableId="827673888">
    <w:abstractNumId w:val="0"/>
  </w:num>
  <w:num w:numId="18" w16cid:durableId="662196219">
    <w:abstractNumId w:val="3"/>
  </w:num>
  <w:num w:numId="19" w16cid:durableId="658002344">
    <w:abstractNumId w:val="32"/>
  </w:num>
  <w:num w:numId="20" w16cid:durableId="2057972357">
    <w:abstractNumId w:val="36"/>
  </w:num>
  <w:num w:numId="21" w16cid:durableId="1381786072">
    <w:abstractNumId w:val="33"/>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3"/>
  </w:num>
  <w:num w:numId="34" w16cid:durableId="699550257">
    <w:abstractNumId w:val="16"/>
  </w:num>
  <w:num w:numId="35" w16cid:durableId="875462053">
    <w:abstractNumId w:val="21"/>
  </w:num>
  <w:num w:numId="36" w16cid:durableId="1025331296">
    <w:abstractNumId w:val="28"/>
  </w:num>
  <w:num w:numId="37" w16cid:durableId="42234145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110D"/>
    <w:rsid w:val="00012300"/>
    <w:rsid w:val="00012B64"/>
    <w:rsid w:val="00013CC8"/>
    <w:rsid w:val="00013D40"/>
    <w:rsid w:val="0001608E"/>
    <w:rsid w:val="0001769A"/>
    <w:rsid w:val="000203F2"/>
    <w:rsid w:val="00020D3C"/>
    <w:rsid w:val="00021E33"/>
    <w:rsid w:val="00023F00"/>
    <w:rsid w:val="00024114"/>
    <w:rsid w:val="000311DE"/>
    <w:rsid w:val="00035F68"/>
    <w:rsid w:val="00036D68"/>
    <w:rsid w:val="00037752"/>
    <w:rsid w:val="000427B5"/>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195F"/>
    <w:rsid w:val="000D2931"/>
    <w:rsid w:val="000D3CBE"/>
    <w:rsid w:val="000D5532"/>
    <w:rsid w:val="000D7484"/>
    <w:rsid w:val="000D7597"/>
    <w:rsid w:val="000D76B6"/>
    <w:rsid w:val="000E34EF"/>
    <w:rsid w:val="000E6E9C"/>
    <w:rsid w:val="000F06FB"/>
    <w:rsid w:val="000F1DAE"/>
    <w:rsid w:val="000F275B"/>
    <w:rsid w:val="000F2F2F"/>
    <w:rsid w:val="000F51BD"/>
    <w:rsid w:val="000F5BF7"/>
    <w:rsid w:val="000F6065"/>
    <w:rsid w:val="000F648D"/>
    <w:rsid w:val="000F6DC9"/>
    <w:rsid w:val="000F73CB"/>
    <w:rsid w:val="0010619C"/>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B35"/>
    <w:rsid w:val="00146F73"/>
    <w:rsid w:val="00152458"/>
    <w:rsid w:val="00152C73"/>
    <w:rsid w:val="00154EE0"/>
    <w:rsid w:val="00155DAE"/>
    <w:rsid w:val="00157A2A"/>
    <w:rsid w:val="0016171C"/>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8753B"/>
    <w:rsid w:val="0019040B"/>
    <w:rsid w:val="00192AF1"/>
    <w:rsid w:val="001A328F"/>
    <w:rsid w:val="001A3598"/>
    <w:rsid w:val="001A39B6"/>
    <w:rsid w:val="001A6166"/>
    <w:rsid w:val="001A6C61"/>
    <w:rsid w:val="001B2DB9"/>
    <w:rsid w:val="001B40F8"/>
    <w:rsid w:val="001C329D"/>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26BA"/>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B0411"/>
    <w:rsid w:val="002B0E96"/>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0E3A"/>
    <w:rsid w:val="002F17C1"/>
    <w:rsid w:val="002F3A87"/>
    <w:rsid w:val="002F53D9"/>
    <w:rsid w:val="002F577C"/>
    <w:rsid w:val="002F6224"/>
    <w:rsid w:val="002F6F50"/>
    <w:rsid w:val="00300358"/>
    <w:rsid w:val="003029D5"/>
    <w:rsid w:val="003044D0"/>
    <w:rsid w:val="00304F17"/>
    <w:rsid w:val="00306659"/>
    <w:rsid w:val="00306D5E"/>
    <w:rsid w:val="0030747E"/>
    <w:rsid w:val="003106B8"/>
    <w:rsid w:val="00312F55"/>
    <w:rsid w:val="003142FB"/>
    <w:rsid w:val="00314977"/>
    <w:rsid w:val="0031507F"/>
    <w:rsid w:val="00321E30"/>
    <w:rsid w:val="003234B4"/>
    <w:rsid w:val="00323674"/>
    <w:rsid w:val="00323892"/>
    <w:rsid w:val="00325AFA"/>
    <w:rsid w:val="00325FC3"/>
    <w:rsid w:val="00326A05"/>
    <w:rsid w:val="00327B76"/>
    <w:rsid w:val="00327F87"/>
    <w:rsid w:val="00331F80"/>
    <w:rsid w:val="00332C92"/>
    <w:rsid w:val="00336FA6"/>
    <w:rsid w:val="00340D8D"/>
    <w:rsid w:val="0034356A"/>
    <w:rsid w:val="00345807"/>
    <w:rsid w:val="003468FB"/>
    <w:rsid w:val="00355755"/>
    <w:rsid w:val="003559B7"/>
    <w:rsid w:val="00357DE0"/>
    <w:rsid w:val="00360508"/>
    <w:rsid w:val="00360D9F"/>
    <w:rsid w:val="003629B9"/>
    <w:rsid w:val="00362FAF"/>
    <w:rsid w:val="00365135"/>
    <w:rsid w:val="003659C2"/>
    <w:rsid w:val="00366FFA"/>
    <w:rsid w:val="003706CC"/>
    <w:rsid w:val="00370FDB"/>
    <w:rsid w:val="0037154F"/>
    <w:rsid w:val="00371D11"/>
    <w:rsid w:val="0037518A"/>
    <w:rsid w:val="003758F4"/>
    <w:rsid w:val="00380D9B"/>
    <w:rsid w:val="003823D0"/>
    <w:rsid w:val="00382CAA"/>
    <w:rsid w:val="00384AA7"/>
    <w:rsid w:val="00394CD0"/>
    <w:rsid w:val="003956D9"/>
    <w:rsid w:val="003A222E"/>
    <w:rsid w:val="003A3B9A"/>
    <w:rsid w:val="003A5319"/>
    <w:rsid w:val="003A65CB"/>
    <w:rsid w:val="003B12E5"/>
    <w:rsid w:val="003B41A4"/>
    <w:rsid w:val="003B5CE7"/>
    <w:rsid w:val="003B6E9B"/>
    <w:rsid w:val="003B7031"/>
    <w:rsid w:val="003C2212"/>
    <w:rsid w:val="003C2775"/>
    <w:rsid w:val="003C5643"/>
    <w:rsid w:val="003C5BB0"/>
    <w:rsid w:val="003C6C55"/>
    <w:rsid w:val="003C7DFA"/>
    <w:rsid w:val="003D4213"/>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17A32"/>
    <w:rsid w:val="00426FA0"/>
    <w:rsid w:val="00430580"/>
    <w:rsid w:val="00436495"/>
    <w:rsid w:val="0043658B"/>
    <w:rsid w:val="00436873"/>
    <w:rsid w:val="00436878"/>
    <w:rsid w:val="00436A19"/>
    <w:rsid w:val="00437BA6"/>
    <w:rsid w:val="00440D4F"/>
    <w:rsid w:val="0044202A"/>
    <w:rsid w:val="00443C71"/>
    <w:rsid w:val="00445A32"/>
    <w:rsid w:val="00453B0F"/>
    <w:rsid w:val="00453F2F"/>
    <w:rsid w:val="00455978"/>
    <w:rsid w:val="00456216"/>
    <w:rsid w:val="00456A5D"/>
    <w:rsid w:val="0046000F"/>
    <w:rsid w:val="00460D57"/>
    <w:rsid w:val="00461111"/>
    <w:rsid w:val="0046116C"/>
    <w:rsid w:val="00461D16"/>
    <w:rsid w:val="00464C68"/>
    <w:rsid w:val="00467453"/>
    <w:rsid w:val="0047054F"/>
    <w:rsid w:val="00472399"/>
    <w:rsid w:val="004723B4"/>
    <w:rsid w:val="00472416"/>
    <w:rsid w:val="00472FF8"/>
    <w:rsid w:val="004746F3"/>
    <w:rsid w:val="00474F03"/>
    <w:rsid w:val="0047679A"/>
    <w:rsid w:val="004768C1"/>
    <w:rsid w:val="0047769B"/>
    <w:rsid w:val="0048288F"/>
    <w:rsid w:val="004861C9"/>
    <w:rsid w:val="00486C72"/>
    <w:rsid w:val="0049269B"/>
    <w:rsid w:val="00492F59"/>
    <w:rsid w:val="004932C8"/>
    <w:rsid w:val="004932DA"/>
    <w:rsid w:val="004942FF"/>
    <w:rsid w:val="00494455"/>
    <w:rsid w:val="00495F74"/>
    <w:rsid w:val="004A0A7A"/>
    <w:rsid w:val="004A0E11"/>
    <w:rsid w:val="004A3555"/>
    <w:rsid w:val="004A375A"/>
    <w:rsid w:val="004A652C"/>
    <w:rsid w:val="004B0AE8"/>
    <w:rsid w:val="004B1576"/>
    <w:rsid w:val="004B1BBE"/>
    <w:rsid w:val="004B78E3"/>
    <w:rsid w:val="004C051F"/>
    <w:rsid w:val="004C21EA"/>
    <w:rsid w:val="004C419D"/>
    <w:rsid w:val="004C59A5"/>
    <w:rsid w:val="004C5F9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14D9"/>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2B2D"/>
    <w:rsid w:val="005844C4"/>
    <w:rsid w:val="00587E17"/>
    <w:rsid w:val="005949CF"/>
    <w:rsid w:val="00597024"/>
    <w:rsid w:val="0059744E"/>
    <w:rsid w:val="00597BDF"/>
    <w:rsid w:val="005A0043"/>
    <w:rsid w:val="005A1830"/>
    <w:rsid w:val="005A39AC"/>
    <w:rsid w:val="005A7706"/>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969"/>
    <w:rsid w:val="005D7A98"/>
    <w:rsid w:val="005E17A3"/>
    <w:rsid w:val="005E269D"/>
    <w:rsid w:val="005E32AD"/>
    <w:rsid w:val="005E4180"/>
    <w:rsid w:val="005E6220"/>
    <w:rsid w:val="005E63BA"/>
    <w:rsid w:val="005E6D45"/>
    <w:rsid w:val="005F0106"/>
    <w:rsid w:val="005F1D90"/>
    <w:rsid w:val="005F279C"/>
    <w:rsid w:val="005F2893"/>
    <w:rsid w:val="005F3376"/>
    <w:rsid w:val="005F337B"/>
    <w:rsid w:val="005F435B"/>
    <w:rsid w:val="005F4B56"/>
    <w:rsid w:val="005F57AA"/>
    <w:rsid w:val="005F7FCA"/>
    <w:rsid w:val="006007EF"/>
    <w:rsid w:val="00602517"/>
    <w:rsid w:val="0060511A"/>
    <w:rsid w:val="00605F85"/>
    <w:rsid w:val="006118BE"/>
    <w:rsid w:val="006135D6"/>
    <w:rsid w:val="006152B5"/>
    <w:rsid w:val="00616927"/>
    <w:rsid w:val="00617544"/>
    <w:rsid w:val="00621952"/>
    <w:rsid w:val="00621ABD"/>
    <w:rsid w:val="0062433A"/>
    <w:rsid w:val="00625E8C"/>
    <w:rsid w:val="006313D9"/>
    <w:rsid w:val="0063184E"/>
    <w:rsid w:val="00631AE8"/>
    <w:rsid w:val="00632E5A"/>
    <w:rsid w:val="00635A1A"/>
    <w:rsid w:val="006417A8"/>
    <w:rsid w:val="006427F3"/>
    <w:rsid w:val="00643105"/>
    <w:rsid w:val="00643286"/>
    <w:rsid w:val="006436C8"/>
    <w:rsid w:val="0064411D"/>
    <w:rsid w:val="00644730"/>
    <w:rsid w:val="0064520A"/>
    <w:rsid w:val="006457E7"/>
    <w:rsid w:val="00645CD0"/>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6586"/>
    <w:rsid w:val="006E798E"/>
    <w:rsid w:val="006E7C32"/>
    <w:rsid w:val="006E7E7A"/>
    <w:rsid w:val="006F2B45"/>
    <w:rsid w:val="006F2F42"/>
    <w:rsid w:val="006F3CD0"/>
    <w:rsid w:val="006F6ECC"/>
    <w:rsid w:val="00703635"/>
    <w:rsid w:val="00703F64"/>
    <w:rsid w:val="00704246"/>
    <w:rsid w:val="00710FA9"/>
    <w:rsid w:val="0071134E"/>
    <w:rsid w:val="0071160B"/>
    <w:rsid w:val="0071580B"/>
    <w:rsid w:val="00716DDA"/>
    <w:rsid w:val="007223A6"/>
    <w:rsid w:val="007223FB"/>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7DBF"/>
    <w:rsid w:val="00771033"/>
    <w:rsid w:val="0077220E"/>
    <w:rsid w:val="00772A5F"/>
    <w:rsid w:val="00772DEB"/>
    <w:rsid w:val="00773191"/>
    <w:rsid w:val="00776074"/>
    <w:rsid w:val="007835F3"/>
    <w:rsid w:val="00784AA8"/>
    <w:rsid w:val="00785F40"/>
    <w:rsid w:val="00787025"/>
    <w:rsid w:val="0078723B"/>
    <w:rsid w:val="00790CC9"/>
    <w:rsid w:val="0079106B"/>
    <w:rsid w:val="007A0E49"/>
    <w:rsid w:val="007A74EC"/>
    <w:rsid w:val="007A7E6A"/>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36F"/>
    <w:rsid w:val="007E7472"/>
    <w:rsid w:val="007F00AC"/>
    <w:rsid w:val="007F36A0"/>
    <w:rsid w:val="007F4D81"/>
    <w:rsid w:val="007F4FF0"/>
    <w:rsid w:val="007F60E1"/>
    <w:rsid w:val="008011A3"/>
    <w:rsid w:val="00806017"/>
    <w:rsid w:val="008068EB"/>
    <w:rsid w:val="00807B79"/>
    <w:rsid w:val="00807FAD"/>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1A91"/>
    <w:rsid w:val="00862A74"/>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0FC1"/>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C7D23"/>
    <w:rsid w:val="008D0355"/>
    <w:rsid w:val="008D13C1"/>
    <w:rsid w:val="008D2DA1"/>
    <w:rsid w:val="008D5567"/>
    <w:rsid w:val="008D78D0"/>
    <w:rsid w:val="008E133F"/>
    <w:rsid w:val="008E1C91"/>
    <w:rsid w:val="008E3242"/>
    <w:rsid w:val="008E3BA9"/>
    <w:rsid w:val="008E4F6B"/>
    <w:rsid w:val="008E714F"/>
    <w:rsid w:val="008E717D"/>
    <w:rsid w:val="008E7C88"/>
    <w:rsid w:val="008F09ED"/>
    <w:rsid w:val="008F183B"/>
    <w:rsid w:val="008F23DA"/>
    <w:rsid w:val="008F2F6D"/>
    <w:rsid w:val="008F3131"/>
    <w:rsid w:val="008F5343"/>
    <w:rsid w:val="008F66C3"/>
    <w:rsid w:val="008F7684"/>
    <w:rsid w:val="0090068C"/>
    <w:rsid w:val="00901FEF"/>
    <w:rsid w:val="00903D0F"/>
    <w:rsid w:val="0090432A"/>
    <w:rsid w:val="00904729"/>
    <w:rsid w:val="00904CF0"/>
    <w:rsid w:val="009067E6"/>
    <w:rsid w:val="00907219"/>
    <w:rsid w:val="00907A49"/>
    <w:rsid w:val="00907BD7"/>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EF"/>
    <w:rsid w:val="00971EAC"/>
    <w:rsid w:val="00974FF5"/>
    <w:rsid w:val="009779C2"/>
    <w:rsid w:val="0098172C"/>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B7FF1"/>
    <w:rsid w:val="009C0AAF"/>
    <w:rsid w:val="009C1846"/>
    <w:rsid w:val="009C6AC8"/>
    <w:rsid w:val="009D01BD"/>
    <w:rsid w:val="009D1A81"/>
    <w:rsid w:val="009D32C7"/>
    <w:rsid w:val="009D39E8"/>
    <w:rsid w:val="009E062B"/>
    <w:rsid w:val="009E0EF5"/>
    <w:rsid w:val="009E1295"/>
    <w:rsid w:val="009E3096"/>
    <w:rsid w:val="009E4420"/>
    <w:rsid w:val="009E469F"/>
    <w:rsid w:val="009E4CBC"/>
    <w:rsid w:val="009E6563"/>
    <w:rsid w:val="009F00B2"/>
    <w:rsid w:val="009F301D"/>
    <w:rsid w:val="009F3075"/>
    <w:rsid w:val="009F30D6"/>
    <w:rsid w:val="009F36AB"/>
    <w:rsid w:val="009F3720"/>
    <w:rsid w:val="009F49EA"/>
    <w:rsid w:val="009F537E"/>
    <w:rsid w:val="009F5452"/>
    <w:rsid w:val="009F6A8C"/>
    <w:rsid w:val="009F7877"/>
    <w:rsid w:val="00A02C5E"/>
    <w:rsid w:val="00A04035"/>
    <w:rsid w:val="00A04FDF"/>
    <w:rsid w:val="00A07F81"/>
    <w:rsid w:val="00A10143"/>
    <w:rsid w:val="00A10274"/>
    <w:rsid w:val="00A1028F"/>
    <w:rsid w:val="00A1147A"/>
    <w:rsid w:val="00A11932"/>
    <w:rsid w:val="00A126CD"/>
    <w:rsid w:val="00A12F3B"/>
    <w:rsid w:val="00A12FB6"/>
    <w:rsid w:val="00A13487"/>
    <w:rsid w:val="00A14402"/>
    <w:rsid w:val="00A152EC"/>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575E0"/>
    <w:rsid w:val="00A6144A"/>
    <w:rsid w:val="00A64A77"/>
    <w:rsid w:val="00A65C79"/>
    <w:rsid w:val="00A660B0"/>
    <w:rsid w:val="00A67EE9"/>
    <w:rsid w:val="00A70646"/>
    <w:rsid w:val="00A850AC"/>
    <w:rsid w:val="00A86DD5"/>
    <w:rsid w:val="00A91766"/>
    <w:rsid w:val="00A92B93"/>
    <w:rsid w:val="00A946A8"/>
    <w:rsid w:val="00A95F2D"/>
    <w:rsid w:val="00A97357"/>
    <w:rsid w:val="00A97BAA"/>
    <w:rsid w:val="00A97D00"/>
    <w:rsid w:val="00AA0CFA"/>
    <w:rsid w:val="00AA19ED"/>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3E28"/>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3A9A"/>
    <w:rsid w:val="00BA4020"/>
    <w:rsid w:val="00BA432B"/>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1A34"/>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3BCC"/>
    <w:rsid w:val="00C75656"/>
    <w:rsid w:val="00C75A45"/>
    <w:rsid w:val="00C84B6E"/>
    <w:rsid w:val="00C84F97"/>
    <w:rsid w:val="00C85BD8"/>
    <w:rsid w:val="00C971B8"/>
    <w:rsid w:val="00C976C1"/>
    <w:rsid w:val="00CA04E5"/>
    <w:rsid w:val="00CA082A"/>
    <w:rsid w:val="00CA3859"/>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7318"/>
    <w:rsid w:val="00DB0432"/>
    <w:rsid w:val="00DB075A"/>
    <w:rsid w:val="00DB2E76"/>
    <w:rsid w:val="00DB31DA"/>
    <w:rsid w:val="00DB3718"/>
    <w:rsid w:val="00DB4A73"/>
    <w:rsid w:val="00DB560E"/>
    <w:rsid w:val="00DB5B57"/>
    <w:rsid w:val="00DC0156"/>
    <w:rsid w:val="00DC0368"/>
    <w:rsid w:val="00DC0546"/>
    <w:rsid w:val="00DC1C32"/>
    <w:rsid w:val="00DC1D16"/>
    <w:rsid w:val="00DC2688"/>
    <w:rsid w:val="00DC371F"/>
    <w:rsid w:val="00DD200E"/>
    <w:rsid w:val="00DD5409"/>
    <w:rsid w:val="00DD696F"/>
    <w:rsid w:val="00DD6E5C"/>
    <w:rsid w:val="00DE04FD"/>
    <w:rsid w:val="00DE1236"/>
    <w:rsid w:val="00DE17AF"/>
    <w:rsid w:val="00DE24B6"/>
    <w:rsid w:val="00DE254E"/>
    <w:rsid w:val="00DE5688"/>
    <w:rsid w:val="00DE5AF1"/>
    <w:rsid w:val="00DE5E50"/>
    <w:rsid w:val="00DE5F19"/>
    <w:rsid w:val="00DE71DF"/>
    <w:rsid w:val="00DF44DE"/>
    <w:rsid w:val="00DF4AC8"/>
    <w:rsid w:val="00DF5E99"/>
    <w:rsid w:val="00DF6A49"/>
    <w:rsid w:val="00DF6E51"/>
    <w:rsid w:val="00DF7F45"/>
    <w:rsid w:val="00E0075C"/>
    <w:rsid w:val="00E00A8F"/>
    <w:rsid w:val="00E01211"/>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68F2"/>
    <w:rsid w:val="00E37926"/>
    <w:rsid w:val="00E37C17"/>
    <w:rsid w:val="00E44118"/>
    <w:rsid w:val="00E449B9"/>
    <w:rsid w:val="00E4539C"/>
    <w:rsid w:val="00E46FD4"/>
    <w:rsid w:val="00E612CB"/>
    <w:rsid w:val="00E62EE1"/>
    <w:rsid w:val="00E64D8D"/>
    <w:rsid w:val="00E662B6"/>
    <w:rsid w:val="00E67C21"/>
    <w:rsid w:val="00E71176"/>
    <w:rsid w:val="00E71981"/>
    <w:rsid w:val="00E72801"/>
    <w:rsid w:val="00E72C64"/>
    <w:rsid w:val="00E7355F"/>
    <w:rsid w:val="00E7558B"/>
    <w:rsid w:val="00E75FCE"/>
    <w:rsid w:val="00E76A7B"/>
    <w:rsid w:val="00E76B8E"/>
    <w:rsid w:val="00E77563"/>
    <w:rsid w:val="00E83E7F"/>
    <w:rsid w:val="00E84827"/>
    <w:rsid w:val="00E852DA"/>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D7459"/>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63B1"/>
    <w:rsid w:val="00F176C2"/>
    <w:rsid w:val="00F20572"/>
    <w:rsid w:val="00F2079A"/>
    <w:rsid w:val="00F21DB3"/>
    <w:rsid w:val="00F2606F"/>
    <w:rsid w:val="00F26E56"/>
    <w:rsid w:val="00F27087"/>
    <w:rsid w:val="00F27BA5"/>
    <w:rsid w:val="00F302E3"/>
    <w:rsid w:val="00F30405"/>
    <w:rsid w:val="00F31CDC"/>
    <w:rsid w:val="00F33A5D"/>
    <w:rsid w:val="00F352BD"/>
    <w:rsid w:val="00F359D8"/>
    <w:rsid w:val="00F36DE6"/>
    <w:rsid w:val="00F37D87"/>
    <w:rsid w:val="00F37D95"/>
    <w:rsid w:val="00F4011C"/>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3DCC"/>
    <w:rsid w:val="00F7704B"/>
    <w:rsid w:val="00F829EA"/>
    <w:rsid w:val="00F835ED"/>
    <w:rsid w:val="00F85870"/>
    <w:rsid w:val="00F85FE5"/>
    <w:rsid w:val="00F8797F"/>
    <w:rsid w:val="00F90874"/>
    <w:rsid w:val="00F90A52"/>
    <w:rsid w:val="00F90B6D"/>
    <w:rsid w:val="00F91065"/>
    <w:rsid w:val="00F91183"/>
    <w:rsid w:val="00F94E66"/>
    <w:rsid w:val="00FA0A95"/>
    <w:rsid w:val="00FA0C69"/>
    <w:rsid w:val="00FA207D"/>
    <w:rsid w:val="00FA235A"/>
    <w:rsid w:val="00FA6095"/>
    <w:rsid w:val="00FA6202"/>
    <w:rsid w:val="00FA6596"/>
    <w:rsid w:val="00FA6B73"/>
    <w:rsid w:val="00FB06DD"/>
    <w:rsid w:val="00FB1308"/>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286"/>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9B7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ulik@nextprojekt.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ia.tisar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5051</Words>
  <Characters>29806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Tisarová Mária Ing.</cp:lastModifiedBy>
  <cp:revision>6</cp:revision>
  <cp:lastPrinted>2025-08-08T05:03:00Z</cp:lastPrinted>
  <dcterms:created xsi:type="dcterms:W3CDTF">2025-08-12T12:29:00Z</dcterms:created>
  <dcterms:modified xsi:type="dcterms:W3CDTF">2025-08-12T12:32:00Z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