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9E23FD8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A23A16" w:rsidRPr="00A23A16">
        <w:rPr>
          <w:rFonts w:ascii="Arial" w:hAnsi="Arial" w:cs="Arial"/>
          <w:bCs/>
          <w:sz w:val="18"/>
          <w:szCs w:val="18"/>
        </w:rPr>
        <w:t>SPU 308895/2025/</w:t>
      </w:r>
      <w:proofErr w:type="spellStart"/>
      <w:r w:rsidR="00A23A16" w:rsidRPr="00A23A16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19E05BE2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3C208B76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A23A16" w:rsidRPr="00A23A16">
        <w:rPr>
          <w:rFonts w:ascii="Arial" w:hAnsi="Arial" w:cs="Arial"/>
          <w:bCs/>
          <w:sz w:val="18"/>
          <w:szCs w:val="18"/>
        </w:rPr>
        <w:t>spuess98029fec</w:t>
      </w:r>
    </w:p>
    <w:p w14:paraId="47670BC0" w14:textId="77777777" w:rsidR="0028310C" w:rsidRPr="009603DC" w:rsidRDefault="0028310C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50B3906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82698D">
        <w:rPr>
          <w:rFonts w:ascii="Arial" w:hAnsi="Arial" w:cs="Arial"/>
          <w:bCs/>
          <w:sz w:val="18"/>
          <w:szCs w:val="18"/>
        </w:rPr>
        <w:t>Mgr. Jarmila Hagarová</w:t>
      </w:r>
    </w:p>
    <w:p w14:paraId="09FED6C1" w14:textId="589F015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2698D">
        <w:rPr>
          <w:rFonts w:ascii="Arial" w:hAnsi="Arial" w:cs="Arial"/>
          <w:bCs/>
          <w:sz w:val="18"/>
          <w:szCs w:val="18"/>
        </w:rPr>
        <w:t>727 927 467</w:t>
      </w:r>
    </w:p>
    <w:p w14:paraId="12AF05B5" w14:textId="77777777" w:rsidR="00AF4AAD" w:rsidRPr="006F7970" w:rsidRDefault="0060643D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6627B931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8F0EE8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1B2778D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</w:t>
      </w:r>
      <w:r w:rsidR="00A23A16">
        <w:rPr>
          <w:rFonts w:ascii="Arial" w:hAnsi="Arial" w:cs="Arial"/>
          <w:b/>
          <w:u w:val="single"/>
        </w:rPr>
        <w:t xml:space="preserve">výzvě </w:t>
      </w:r>
      <w:r w:rsidR="001B1E61">
        <w:rPr>
          <w:rFonts w:ascii="Arial" w:hAnsi="Arial" w:cs="Arial"/>
          <w:b/>
          <w:u w:val="single"/>
        </w:rPr>
        <w:t xml:space="preserve">k </w:t>
      </w:r>
      <w:r w:rsidR="00A23A16" w:rsidRPr="0097166F">
        <w:rPr>
          <w:rFonts w:ascii="Arial" w:hAnsi="Arial" w:cs="Arial"/>
          <w:b/>
          <w:u w:val="single"/>
        </w:rPr>
        <w:t>č.</w:t>
      </w:r>
      <w:r w:rsidR="00AE3673" w:rsidRPr="0097166F">
        <w:rPr>
          <w:rFonts w:ascii="Arial" w:hAnsi="Arial" w:cs="Arial"/>
          <w:b/>
          <w:u w:val="single"/>
        </w:rPr>
        <w:t xml:space="preserve"> </w:t>
      </w:r>
      <w:proofErr w:type="gramStart"/>
      <w:r w:rsidR="008F0EE8">
        <w:rPr>
          <w:rFonts w:ascii="Arial" w:hAnsi="Arial" w:cs="Arial"/>
          <w:b/>
          <w:u w:val="single"/>
        </w:rPr>
        <w:t>9</w:t>
      </w:r>
      <w:r w:rsidR="00D32C38">
        <w:rPr>
          <w:rFonts w:ascii="Arial" w:hAnsi="Arial" w:cs="Arial"/>
          <w:b/>
          <w:u w:val="single"/>
        </w:rPr>
        <w:t>3</w:t>
      </w:r>
      <w:r w:rsidR="00CC4C01">
        <w:rPr>
          <w:rFonts w:ascii="Arial" w:hAnsi="Arial" w:cs="Arial"/>
          <w:b/>
          <w:u w:val="single"/>
        </w:rPr>
        <w:t> </w:t>
      </w:r>
      <w:r w:rsidR="007657DC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podání</w:t>
      </w:r>
      <w:proofErr w:type="gramEnd"/>
      <w:r w:rsidR="00CC4C01">
        <w:rPr>
          <w:rFonts w:ascii="Arial" w:hAnsi="Arial" w:cs="Arial"/>
          <w:b/>
          <w:u w:val="single"/>
        </w:rPr>
        <w:t xml:space="preserve">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7F889A5F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r w:rsidR="00A23A16" w:rsidRPr="00936B10">
        <w:rPr>
          <w:rFonts w:ascii="Arial" w:hAnsi="Arial" w:cs="Arial"/>
          <w:b/>
          <w:sz w:val="22"/>
          <w:szCs w:val="22"/>
        </w:rPr>
        <w:t>republika</w:t>
      </w:r>
      <w:r w:rsidR="00A23A16">
        <w:rPr>
          <w:rFonts w:ascii="Arial" w:hAnsi="Arial" w:cs="Arial"/>
          <w:b/>
          <w:sz w:val="22"/>
          <w:szCs w:val="22"/>
        </w:rPr>
        <w:t xml:space="preserve"> </w:t>
      </w:r>
      <w:r w:rsidR="00A23A16" w:rsidRPr="00936B10">
        <w:rPr>
          <w:rFonts w:ascii="Arial" w:hAnsi="Arial" w:cs="Arial"/>
          <w:b/>
          <w:sz w:val="22"/>
          <w:szCs w:val="22"/>
        </w:rPr>
        <w:t>– Státní</w:t>
      </w:r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B16B939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82698D">
        <w:rPr>
          <w:rFonts w:ascii="Arial" w:hAnsi="Arial" w:cs="Arial"/>
          <w:sz w:val="22"/>
          <w:szCs w:val="22"/>
        </w:rPr>
        <w:t>Mgr. Jarmila Hagarová</w:t>
      </w:r>
    </w:p>
    <w:p w14:paraId="1BBCAF6A" w14:textId="5EE61043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82698D">
        <w:rPr>
          <w:rFonts w:ascii="Arial" w:hAnsi="Arial" w:cs="Arial"/>
          <w:sz w:val="22"/>
          <w:szCs w:val="22"/>
        </w:rPr>
        <w:t>727 927 467</w:t>
      </w:r>
    </w:p>
    <w:p w14:paraId="0E7D85EF" w14:textId="77777777" w:rsidR="00AF4AAD" w:rsidRPr="006F7970" w:rsidRDefault="000145A3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E163F5">
        <w:rPr>
          <w:rFonts w:ascii="Arial" w:hAnsi="Arial" w:cs="Arial"/>
          <w:sz w:val="22"/>
          <w:szCs w:val="22"/>
        </w:rPr>
        <w:t xml:space="preserve">E-mail: </w:t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7EAEC08E" w14:textId="77777777" w:rsidR="00554652" w:rsidRDefault="00554652" w:rsidP="005546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Předmět objednávky</w:t>
      </w:r>
    </w:p>
    <w:p w14:paraId="111DFECD" w14:textId="77777777" w:rsidR="00554652" w:rsidRPr="00D8669B" w:rsidRDefault="00554652" w:rsidP="00554652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KPÚ objednává zpracování znaleckého posudku pro ocenění pozemku</w:t>
      </w:r>
      <w:r>
        <w:rPr>
          <w:rFonts w:ascii="Arial" w:hAnsi="Arial" w:cs="Arial"/>
          <w:sz w:val="22"/>
          <w:szCs w:val="22"/>
        </w:rPr>
        <w:t xml:space="preserve"> za </w:t>
      </w:r>
      <w:r w:rsidRPr="00D8669B">
        <w:rPr>
          <w:rFonts w:ascii="Arial" w:hAnsi="Arial" w:cs="Arial"/>
          <w:sz w:val="22"/>
          <w:szCs w:val="22"/>
        </w:rPr>
        <w:t>účelem převodu zemědělského pozemku podle § 10 odst. 3 a 4 zákona č. 503/2012 Sb., v platném znění:</w:t>
      </w:r>
    </w:p>
    <w:p w14:paraId="46C4B1A6" w14:textId="77777777" w:rsidR="00554652" w:rsidRPr="00D8669B" w:rsidRDefault="00554652" w:rsidP="0055465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1)</w:t>
      </w:r>
      <w:r w:rsidRPr="00D8669B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02E00978" w14:textId="77777777" w:rsidR="00554652" w:rsidRPr="00D8669B" w:rsidRDefault="00554652" w:rsidP="00554652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a/</w:t>
      </w:r>
      <w:r w:rsidRPr="00D8669B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67D8041A" w14:textId="77777777" w:rsidR="00554652" w:rsidRPr="00D8669B" w:rsidRDefault="00554652" w:rsidP="00554652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b/</w:t>
      </w:r>
      <w:r w:rsidRPr="00D8669B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65224C89" w14:textId="77777777" w:rsidR="00554652" w:rsidRPr="00D8669B" w:rsidRDefault="00554652" w:rsidP="0055465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2)</w:t>
      </w:r>
      <w:r w:rsidRPr="00D8669B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13230622" w14:textId="77777777" w:rsidR="00554652" w:rsidRDefault="00554652" w:rsidP="00554652">
      <w:pPr>
        <w:jc w:val="both"/>
        <w:rPr>
          <w:rFonts w:ascii="Arial" w:hAnsi="Arial" w:cs="Arial"/>
          <w:sz w:val="22"/>
          <w:szCs w:val="22"/>
        </w:rPr>
      </w:pPr>
    </w:p>
    <w:p w14:paraId="68D99B6C" w14:textId="77777777" w:rsidR="00CE2EF4" w:rsidRDefault="00CE2EF4" w:rsidP="00554652">
      <w:pPr>
        <w:jc w:val="both"/>
        <w:rPr>
          <w:rFonts w:ascii="Arial" w:hAnsi="Arial" w:cs="Arial"/>
          <w:sz w:val="22"/>
          <w:szCs w:val="22"/>
        </w:rPr>
      </w:pPr>
    </w:p>
    <w:p w14:paraId="674953E3" w14:textId="77777777" w:rsidR="00CE2EF4" w:rsidRPr="003F40BB" w:rsidRDefault="00CE2EF4" w:rsidP="00554652">
      <w:pPr>
        <w:jc w:val="both"/>
        <w:rPr>
          <w:rFonts w:ascii="Arial" w:hAnsi="Arial" w:cs="Arial"/>
          <w:sz w:val="22"/>
          <w:szCs w:val="22"/>
        </w:rPr>
      </w:pPr>
    </w:p>
    <w:p w14:paraId="5C2693A4" w14:textId="77777777" w:rsidR="00554652" w:rsidRDefault="00554652" w:rsidP="005546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lastRenderedPageBreak/>
        <w:t>Požadované ocenění:</w:t>
      </w:r>
    </w:p>
    <w:p w14:paraId="4EFAD4DE" w14:textId="77777777" w:rsidR="00554652" w:rsidRPr="0082698D" w:rsidRDefault="00554652" w:rsidP="00554652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07C51DC5" w14:textId="77777777" w:rsidR="00554652" w:rsidRPr="0082698D" w:rsidRDefault="00554652" w:rsidP="00554652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82698D">
        <w:rPr>
          <w:rFonts w:ascii="Arial" w:hAnsi="Arial" w:cs="Arial"/>
          <w:sz w:val="22"/>
          <w:szCs w:val="22"/>
        </w:rPr>
        <w:t>určí</w:t>
      </w:r>
      <w:proofErr w:type="gramEnd"/>
      <w:r w:rsidRPr="0082698D">
        <w:rPr>
          <w:rFonts w:ascii="Arial" w:hAnsi="Arial" w:cs="Arial"/>
          <w:sz w:val="22"/>
          <w:szCs w:val="22"/>
        </w:rPr>
        <w:t xml:space="preserve"> i cena zjištěná. </w:t>
      </w:r>
    </w:p>
    <w:p w14:paraId="3013CF3B" w14:textId="77777777" w:rsidR="00554652" w:rsidRPr="0082698D" w:rsidRDefault="00554652" w:rsidP="00554652">
      <w:r w:rsidRPr="0082698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 pozemek nabývá.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750ED944" w14:textId="77777777" w:rsidR="00B25FF4" w:rsidRDefault="00B25FF4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65B39579" w:rsidR="00D85E76" w:rsidRPr="0097166F" w:rsidRDefault="008F0EE8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Ladislav Wágner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29C764F6" w14:textId="77777777" w:rsidR="00B25FF4" w:rsidRDefault="00B25FF4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78880643" w14:textId="77777777" w:rsidR="00B25FF4" w:rsidRDefault="00B25FF4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2A52360" w14:textId="77777777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44AD8F7" w14:textId="30804858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Předměřice nad Labem</w:t>
      </w:r>
      <w:r>
        <w:rPr>
          <w:rFonts w:ascii="Arial" w:hAnsi="Arial" w:cs="Arial"/>
          <w:sz w:val="18"/>
          <w:szCs w:val="18"/>
        </w:rPr>
        <w:tab/>
        <w:t>Předměřice nad Labem</w:t>
      </w:r>
      <w:r>
        <w:rPr>
          <w:rFonts w:ascii="Arial" w:hAnsi="Arial" w:cs="Arial"/>
          <w:sz w:val="18"/>
          <w:szCs w:val="18"/>
        </w:rPr>
        <w:tab/>
      </w:r>
      <w:r w:rsidR="008F0EE8">
        <w:rPr>
          <w:rFonts w:ascii="Arial" w:hAnsi="Arial" w:cs="Arial"/>
          <w:sz w:val="18"/>
          <w:szCs w:val="18"/>
        </w:rPr>
        <w:t>455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</w:r>
      <w:r w:rsidR="00A23A16">
        <w:rPr>
          <w:rFonts w:ascii="Arial" w:hAnsi="Arial" w:cs="Arial"/>
          <w:sz w:val="18"/>
          <w:szCs w:val="18"/>
        </w:rPr>
        <w:t>16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66A751C1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6836D2A8" w14:textId="77777777" w:rsidR="00B25FF4" w:rsidRDefault="00B25FF4" w:rsidP="0060643D">
      <w:pPr>
        <w:jc w:val="both"/>
        <w:rPr>
          <w:rFonts w:ascii="Arial" w:hAnsi="Arial" w:cs="Arial"/>
          <w:sz w:val="22"/>
          <w:szCs w:val="22"/>
        </w:rPr>
      </w:pPr>
    </w:p>
    <w:p w14:paraId="196CD05D" w14:textId="77777777" w:rsidR="00B25FF4" w:rsidRDefault="00B25FF4" w:rsidP="0060643D">
      <w:pPr>
        <w:jc w:val="both"/>
        <w:rPr>
          <w:rFonts w:ascii="Arial" w:hAnsi="Arial" w:cs="Arial"/>
          <w:sz w:val="22"/>
          <w:szCs w:val="22"/>
        </w:rPr>
      </w:pPr>
    </w:p>
    <w:p w14:paraId="4022DA22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1E53F3D8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28CC0F31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62218823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64C3D15D" w14:textId="77777777" w:rsidR="009155AD" w:rsidRPr="0070317D" w:rsidRDefault="009155AD" w:rsidP="009155A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IV. </w:t>
      </w:r>
      <w:r w:rsidRPr="0070317D">
        <w:rPr>
          <w:rFonts w:ascii="Arial" w:hAnsi="Arial" w:cs="Arial"/>
          <w:b/>
          <w:bCs/>
          <w:sz w:val="22"/>
          <w:szCs w:val="22"/>
        </w:rPr>
        <w:t>Součástí znaleckého posudku bude mimo jiné:</w:t>
      </w:r>
    </w:p>
    <w:p w14:paraId="4743C349" w14:textId="77777777" w:rsidR="009155AD" w:rsidRDefault="009155AD" w:rsidP="009155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0DA7B3F2" w14:textId="77777777" w:rsidR="009155AD" w:rsidRDefault="009155AD" w:rsidP="009155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75AEF805" w14:textId="77777777" w:rsidR="009155AD" w:rsidRDefault="009155AD" w:rsidP="009155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 vyhotovená zadavatelem.</w:t>
      </w:r>
    </w:p>
    <w:p w14:paraId="2E1B34C2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50F7DA28" w14:textId="77777777" w:rsidR="009155AD" w:rsidRDefault="009155AD" w:rsidP="008F0EE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8F9A85" w14:textId="376FA41E" w:rsidR="008F0EE8" w:rsidRPr="005D535B" w:rsidRDefault="008F0EE8" w:rsidP="008F0EE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227D030" w14:textId="77777777" w:rsidR="008F0EE8" w:rsidRPr="009B29B6" w:rsidRDefault="008F0EE8" w:rsidP="008F0EE8">
      <w:pPr>
        <w:jc w:val="both"/>
        <w:rPr>
          <w:rFonts w:ascii="Arial" w:hAnsi="Arial" w:cs="Arial"/>
          <w:sz w:val="22"/>
          <w:szCs w:val="22"/>
        </w:rPr>
      </w:pPr>
      <w:r w:rsidRPr="009B29B6">
        <w:rPr>
          <w:rFonts w:ascii="Arial" w:hAnsi="Arial" w:cs="Arial"/>
          <w:sz w:val="22"/>
          <w:szCs w:val="22"/>
        </w:rPr>
        <w:t xml:space="preserve">Objednávka je akceptovaná podáním nabídky. </w:t>
      </w:r>
    </w:p>
    <w:p w14:paraId="6C6A7C2E" w14:textId="77777777" w:rsidR="008F0EE8" w:rsidRDefault="008F0EE8" w:rsidP="008F0EE8">
      <w:pPr>
        <w:jc w:val="both"/>
        <w:rPr>
          <w:rFonts w:ascii="Arial" w:hAnsi="Arial" w:cs="Arial"/>
          <w:sz w:val="22"/>
          <w:szCs w:val="22"/>
        </w:rPr>
      </w:pPr>
    </w:p>
    <w:p w14:paraId="21BF8179" w14:textId="77777777" w:rsidR="009155AD" w:rsidRDefault="009155AD" w:rsidP="008F0EE8">
      <w:pPr>
        <w:jc w:val="both"/>
        <w:rPr>
          <w:rFonts w:ascii="Arial" w:hAnsi="Arial" w:cs="Arial"/>
          <w:sz w:val="22"/>
          <w:szCs w:val="22"/>
        </w:rPr>
      </w:pPr>
    </w:p>
    <w:p w14:paraId="4C2ADA22" w14:textId="28B6E186" w:rsidR="008F0EE8" w:rsidRPr="0070317D" w:rsidRDefault="008F0EE8" w:rsidP="008F0EE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C01F2B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VI. </w:t>
      </w:r>
      <w:r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22FF3A12" w14:textId="77777777" w:rsidR="008F0EE8" w:rsidRPr="008F0EE8" w:rsidRDefault="008F0EE8" w:rsidP="008F0EE8">
      <w:pPr>
        <w:jc w:val="both"/>
        <w:rPr>
          <w:rFonts w:ascii="Arial" w:hAnsi="Arial" w:cs="Arial"/>
          <w:sz w:val="22"/>
          <w:szCs w:val="22"/>
        </w:rPr>
      </w:pPr>
      <w:r w:rsidRPr="008F0EE8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8F0EE8">
        <w:rPr>
          <w:rFonts w:ascii="Arial" w:hAnsi="Arial" w:cs="Arial"/>
          <w:sz w:val="22"/>
          <w:szCs w:val="22"/>
          <w:highlight w:val="yellow"/>
        </w:rPr>
        <w:t>doplní dodavatel</w:t>
      </w:r>
      <w:r w:rsidRPr="008F0EE8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2CA73A0C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70116162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669EA45C" w14:textId="77777777" w:rsidR="00B25FF4" w:rsidRDefault="00B25FF4" w:rsidP="0060643D">
      <w:pPr>
        <w:jc w:val="both"/>
        <w:rPr>
          <w:rFonts w:ascii="Arial" w:hAnsi="Arial" w:cs="Arial"/>
          <w:sz w:val="22"/>
          <w:szCs w:val="22"/>
        </w:rPr>
      </w:pPr>
    </w:p>
    <w:p w14:paraId="78A6B3D5" w14:textId="77777777" w:rsidR="00B25FF4" w:rsidRDefault="00B25FF4" w:rsidP="0060643D">
      <w:pPr>
        <w:jc w:val="both"/>
        <w:rPr>
          <w:rFonts w:ascii="Arial" w:hAnsi="Arial" w:cs="Arial"/>
          <w:sz w:val="22"/>
          <w:szCs w:val="22"/>
        </w:rPr>
      </w:pPr>
    </w:p>
    <w:p w14:paraId="7E129EE0" w14:textId="77777777" w:rsidR="00B25FF4" w:rsidRDefault="00B25FF4" w:rsidP="0060643D">
      <w:pPr>
        <w:jc w:val="both"/>
        <w:rPr>
          <w:rFonts w:ascii="Arial" w:hAnsi="Arial" w:cs="Arial"/>
          <w:sz w:val="22"/>
          <w:szCs w:val="22"/>
        </w:rPr>
      </w:pPr>
    </w:p>
    <w:p w14:paraId="3D4BFC7D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799065" w14:textId="77777777" w:rsidR="009155AD" w:rsidRDefault="009155AD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206C816E" w14:textId="77777777" w:rsidR="009155AD" w:rsidRDefault="009155AD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C172C50" w14:textId="77777777" w:rsidR="008F0EE8" w:rsidRDefault="008F0EE8" w:rsidP="0060643D">
      <w:pPr>
        <w:jc w:val="both"/>
        <w:rPr>
          <w:rFonts w:ascii="Arial" w:hAnsi="Arial" w:cs="Arial"/>
          <w:sz w:val="22"/>
          <w:szCs w:val="22"/>
        </w:rPr>
      </w:pPr>
    </w:p>
    <w:p w14:paraId="198771B5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3B5C00D4" w14:textId="77777777" w:rsidR="009155AD" w:rsidRDefault="009155AD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DE1E14" w14:textId="77777777" w:rsidR="008E3315" w:rsidRDefault="008E3315" w:rsidP="008E331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3E38" w14:textId="77777777" w:rsidR="001945B5" w:rsidRDefault="001945B5" w:rsidP="007B5020">
      <w:r>
        <w:separator/>
      </w:r>
    </w:p>
  </w:endnote>
  <w:endnote w:type="continuationSeparator" w:id="0">
    <w:p w14:paraId="6D6F3B5A" w14:textId="77777777" w:rsidR="001945B5" w:rsidRDefault="001945B5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6C5970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31F4" w14:textId="77777777" w:rsidR="001945B5" w:rsidRDefault="001945B5" w:rsidP="007B5020">
      <w:r>
        <w:separator/>
      </w:r>
    </w:p>
  </w:footnote>
  <w:footnote w:type="continuationSeparator" w:id="0">
    <w:p w14:paraId="5960C663" w14:textId="77777777" w:rsidR="001945B5" w:rsidRDefault="001945B5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4760"/>
    <w:rsid w:val="000101D7"/>
    <w:rsid w:val="000145A3"/>
    <w:rsid w:val="00017EA5"/>
    <w:rsid w:val="0002363A"/>
    <w:rsid w:val="00056AB5"/>
    <w:rsid w:val="000604EF"/>
    <w:rsid w:val="00062129"/>
    <w:rsid w:val="000649D0"/>
    <w:rsid w:val="00067DA8"/>
    <w:rsid w:val="000702EA"/>
    <w:rsid w:val="000822AC"/>
    <w:rsid w:val="00087919"/>
    <w:rsid w:val="000B74A5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30F0D"/>
    <w:rsid w:val="00142928"/>
    <w:rsid w:val="00151AFC"/>
    <w:rsid w:val="00157C5C"/>
    <w:rsid w:val="0016008D"/>
    <w:rsid w:val="00165FEF"/>
    <w:rsid w:val="0016797E"/>
    <w:rsid w:val="001945B5"/>
    <w:rsid w:val="001A5364"/>
    <w:rsid w:val="001B1E61"/>
    <w:rsid w:val="001C0257"/>
    <w:rsid w:val="001C23B5"/>
    <w:rsid w:val="001C7985"/>
    <w:rsid w:val="001D50F1"/>
    <w:rsid w:val="001E3928"/>
    <w:rsid w:val="001F2D69"/>
    <w:rsid w:val="001F34F2"/>
    <w:rsid w:val="001F7D96"/>
    <w:rsid w:val="00223D54"/>
    <w:rsid w:val="00240DE6"/>
    <w:rsid w:val="00247C60"/>
    <w:rsid w:val="00252EF4"/>
    <w:rsid w:val="00255B09"/>
    <w:rsid w:val="00273D55"/>
    <w:rsid w:val="00276435"/>
    <w:rsid w:val="0028310C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13FB7"/>
    <w:rsid w:val="0032172B"/>
    <w:rsid w:val="00326817"/>
    <w:rsid w:val="00342629"/>
    <w:rsid w:val="00343770"/>
    <w:rsid w:val="0036225B"/>
    <w:rsid w:val="00366AA5"/>
    <w:rsid w:val="00366F30"/>
    <w:rsid w:val="00375773"/>
    <w:rsid w:val="0037792C"/>
    <w:rsid w:val="00377E78"/>
    <w:rsid w:val="003870DF"/>
    <w:rsid w:val="0039773C"/>
    <w:rsid w:val="003A2DA8"/>
    <w:rsid w:val="003A7B75"/>
    <w:rsid w:val="003B06E3"/>
    <w:rsid w:val="003B2183"/>
    <w:rsid w:val="003B31C4"/>
    <w:rsid w:val="003D0547"/>
    <w:rsid w:val="003E0946"/>
    <w:rsid w:val="003E0F28"/>
    <w:rsid w:val="003F40BB"/>
    <w:rsid w:val="00405CD4"/>
    <w:rsid w:val="00417878"/>
    <w:rsid w:val="0042006D"/>
    <w:rsid w:val="00422DA3"/>
    <w:rsid w:val="00425BB8"/>
    <w:rsid w:val="004523DA"/>
    <w:rsid w:val="00463719"/>
    <w:rsid w:val="004A4634"/>
    <w:rsid w:val="004B4625"/>
    <w:rsid w:val="004D7214"/>
    <w:rsid w:val="004E244C"/>
    <w:rsid w:val="004F2506"/>
    <w:rsid w:val="004F2B9F"/>
    <w:rsid w:val="00500BCB"/>
    <w:rsid w:val="0051086F"/>
    <w:rsid w:val="00513C59"/>
    <w:rsid w:val="0052104A"/>
    <w:rsid w:val="005467B1"/>
    <w:rsid w:val="00550FF9"/>
    <w:rsid w:val="00554652"/>
    <w:rsid w:val="00574C28"/>
    <w:rsid w:val="005765A4"/>
    <w:rsid w:val="0057733D"/>
    <w:rsid w:val="00577E60"/>
    <w:rsid w:val="00582363"/>
    <w:rsid w:val="005A6DEC"/>
    <w:rsid w:val="005B26C0"/>
    <w:rsid w:val="005B2A69"/>
    <w:rsid w:val="005C53CC"/>
    <w:rsid w:val="005C7B50"/>
    <w:rsid w:val="005D02C2"/>
    <w:rsid w:val="005D535B"/>
    <w:rsid w:val="0060643D"/>
    <w:rsid w:val="0061168E"/>
    <w:rsid w:val="00622DF5"/>
    <w:rsid w:val="00625CD4"/>
    <w:rsid w:val="00627DFB"/>
    <w:rsid w:val="0063097F"/>
    <w:rsid w:val="00635275"/>
    <w:rsid w:val="00635559"/>
    <w:rsid w:val="00670829"/>
    <w:rsid w:val="00675A63"/>
    <w:rsid w:val="00695C38"/>
    <w:rsid w:val="00697394"/>
    <w:rsid w:val="006C5970"/>
    <w:rsid w:val="006F2920"/>
    <w:rsid w:val="0070317D"/>
    <w:rsid w:val="00705D8D"/>
    <w:rsid w:val="00707ADC"/>
    <w:rsid w:val="0071037C"/>
    <w:rsid w:val="00742BC2"/>
    <w:rsid w:val="00750443"/>
    <w:rsid w:val="007657DC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2698D"/>
    <w:rsid w:val="00833644"/>
    <w:rsid w:val="00834C18"/>
    <w:rsid w:val="008537DF"/>
    <w:rsid w:val="008550AC"/>
    <w:rsid w:val="008876F9"/>
    <w:rsid w:val="008A2F89"/>
    <w:rsid w:val="008B0EE4"/>
    <w:rsid w:val="008B1BFF"/>
    <w:rsid w:val="008C2F86"/>
    <w:rsid w:val="008C7863"/>
    <w:rsid w:val="008E3315"/>
    <w:rsid w:val="008E703A"/>
    <w:rsid w:val="008F026D"/>
    <w:rsid w:val="008F0EE8"/>
    <w:rsid w:val="008F5EC8"/>
    <w:rsid w:val="00900BEB"/>
    <w:rsid w:val="00902562"/>
    <w:rsid w:val="009155AD"/>
    <w:rsid w:val="00926FE7"/>
    <w:rsid w:val="00932097"/>
    <w:rsid w:val="009320EA"/>
    <w:rsid w:val="00943CA3"/>
    <w:rsid w:val="0095541F"/>
    <w:rsid w:val="009603DC"/>
    <w:rsid w:val="00964B1E"/>
    <w:rsid w:val="0097166F"/>
    <w:rsid w:val="009727F6"/>
    <w:rsid w:val="009874C6"/>
    <w:rsid w:val="0099240C"/>
    <w:rsid w:val="009A0558"/>
    <w:rsid w:val="009C0ABF"/>
    <w:rsid w:val="009C0D91"/>
    <w:rsid w:val="009C0F6C"/>
    <w:rsid w:val="009C7286"/>
    <w:rsid w:val="009D05AC"/>
    <w:rsid w:val="00A03C47"/>
    <w:rsid w:val="00A050D1"/>
    <w:rsid w:val="00A2115A"/>
    <w:rsid w:val="00A23A16"/>
    <w:rsid w:val="00A26537"/>
    <w:rsid w:val="00A300F2"/>
    <w:rsid w:val="00A31948"/>
    <w:rsid w:val="00A433F7"/>
    <w:rsid w:val="00A657FA"/>
    <w:rsid w:val="00AB158B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AF4AAD"/>
    <w:rsid w:val="00B22C14"/>
    <w:rsid w:val="00B25FF4"/>
    <w:rsid w:val="00B26446"/>
    <w:rsid w:val="00B27982"/>
    <w:rsid w:val="00B30D60"/>
    <w:rsid w:val="00B3214B"/>
    <w:rsid w:val="00B40CDE"/>
    <w:rsid w:val="00B45535"/>
    <w:rsid w:val="00B539C7"/>
    <w:rsid w:val="00B726A9"/>
    <w:rsid w:val="00B8086B"/>
    <w:rsid w:val="00B9151F"/>
    <w:rsid w:val="00BC0939"/>
    <w:rsid w:val="00BD044C"/>
    <w:rsid w:val="00BD1E3F"/>
    <w:rsid w:val="00BD56CE"/>
    <w:rsid w:val="00BD5F4E"/>
    <w:rsid w:val="00BF0750"/>
    <w:rsid w:val="00BF32EB"/>
    <w:rsid w:val="00BF4434"/>
    <w:rsid w:val="00C01F2B"/>
    <w:rsid w:val="00C03BA4"/>
    <w:rsid w:val="00C071BD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D775A"/>
    <w:rsid w:val="00CE2EF4"/>
    <w:rsid w:val="00CF6AFE"/>
    <w:rsid w:val="00D03433"/>
    <w:rsid w:val="00D046B8"/>
    <w:rsid w:val="00D170A9"/>
    <w:rsid w:val="00D173CD"/>
    <w:rsid w:val="00D23AAD"/>
    <w:rsid w:val="00D32C38"/>
    <w:rsid w:val="00D35599"/>
    <w:rsid w:val="00D366E3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23D"/>
    <w:rsid w:val="00E01FB0"/>
    <w:rsid w:val="00E163F5"/>
    <w:rsid w:val="00E30858"/>
    <w:rsid w:val="00E642DD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388B"/>
    <w:rsid w:val="00EF53E5"/>
    <w:rsid w:val="00EF6671"/>
    <w:rsid w:val="00F25D35"/>
    <w:rsid w:val="00F60F97"/>
    <w:rsid w:val="00F623E6"/>
    <w:rsid w:val="00F66E0A"/>
    <w:rsid w:val="00F7033A"/>
    <w:rsid w:val="00FA10A4"/>
    <w:rsid w:val="00FF6D5D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2025-08-07T09:36:00Z</dcterms:created>
  <dcterms:modified xsi:type="dcterms:W3CDTF">2025-08-07T09:36:00Z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