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465E5D76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00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1 k podání nabídek v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 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kategorii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C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1: Údržba HOZ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Liboš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A1975F7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>SPU 294985/2025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/ 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SZ SPU 317988/202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4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0BC6A13F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>spuess98026b39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0AD3B420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P25V00001933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6147C305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https://zakazky.spucr.cz/vz00050927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8D4514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260AA"/>
    <w:rsid w:val="00233C4A"/>
    <w:rsid w:val="0027110F"/>
    <w:rsid w:val="00272721"/>
    <w:rsid w:val="002A5CCD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73C6"/>
    <w:rsid w:val="00EC2D4C"/>
    <w:rsid w:val="00EC63AE"/>
    <w:rsid w:val="00ED3AD9"/>
    <w:rsid w:val="00F03097"/>
    <w:rsid w:val="00F21C42"/>
    <w:rsid w:val="00F52AA7"/>
    <w:rsid w:val="00F57652"/>
    <w:rsid w:val="00F64CD9"/>
    <w:rsid w:val="00F810B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A5CCD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E43E8"/>
    <w:rsid w:val="008A7B44"/>
    <w:rsid w:val="00935597"/>
    <w:rsid w:val="00A404CB"/>
    <w:rsid w:val="00BE60F0"/>
    <w:rsid w:val="00C128EE"/>
    <w:rsid w:val="00CF38A5"/>
    <w:rsid w:val="00DD52EE"/>
    <w:rsid w:val="00DE162C"/>
    <w:rsid w:val="00E4236D"/>
    <w:rsid w:val="00E5592E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9</cp:revision>
  <dcterms:created xsi:type="dcterms:W3CDTF">2025-07-17T09:14:00Z</dcterms:created>
  <dcterms:modified xsi:type="dcterms:W3CDTF">2025-07-21T05:57:00Z</dcterms:modified>
</cp:coreProperties>
</file>