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217" w14:textId="155546A0" w:rsidR="00280D94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DNS4 – Výzva č. 0</w:t>
      </w:r>
      <w:r w:rsidR="008D5F9A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5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– Vytyčení po </w:t>
      </w:r>
      <w:proofErr w:type="spellStart"/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KoPÚ</w:t>
      </w:r>
      <w:proofErr w:type="spellEnd"/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v okrese Tábor 2025 I</w:t>
      </w:r>
      <w:r w:rsidR="008D5F9A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p w14:paraId="14222BBE" w14:textId="6C6C976D" w:rsidR="00280D94" w:rsidRPr="00280D94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D94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Seznam vytyčovaných pozemků s uvedením katastrálního území</w:t>
      </w:r>
    </w:p>
    <w:p w14:paraId="7DF4DCF4" w14:textId="77777777" w:rsidR="00280D94" w:rsidRPr="00D52410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4"/>
        <w:gridCol w:w="983"/>
      </w:tblGrid>
      <w:tr w:rsidR="00D924D6" w:rsidRPr="00F3426C" w14:paraId="3FC189F8" w14:textId="77777777" w:rsidTr="00CA3278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9C9B2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3B9B66DD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53C604C6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B20D9F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D924D6" w:rsidRPr="00F3426C" w14:paraId="212610B8" w14:textId="77777777" w:rsidTr="00CA3278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6B6A6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E29EA0E" w14:textId="77777777" w:rsidR="00D924D6" w:rsidRPr="00072B82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Hlavatce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904D65A" w14:textId="77777777" w:rsidR="00D924D6" w:rsidRPr="00072B82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2206 (pouze hranice s KN 2207)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02E89" w14:textId="77777777" w:rsidR="00D924D6" w:rsidRPr="00072B82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924D6" w:rsidRPr="00F3426C" w14:paraId="2A3E5509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4C5C193E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0441346C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Košice u Soběslavi</w:t>
            </w:r>
          </w:p>
        </w:tc>
        <w:tc>
          <w:tcPr>
            <w:tcW w:w="4954" w:type="dxa"/>
            <w:vAlign w:val="center"/>
          </w:tcPr>
          <w:p w14:paraId="5484BEFE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2019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039FF31D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</w:tr>
      <w:tr w:rsidR="00D924D6" w:rsidRPr="00F3426C" w14:paraId="0FD81142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4510845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23B71C47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4" w:type="dxa"/>
            <w:vAlign w:val="center"/>
          </w:tcPr>
          <w:p w14:paraId="42C4A822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2881, 2882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0D73001D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924D6" w:rsidRPr="00F3426C" w14:paraId="587ADCFE" w14:textId="77777777" w:rsidTr="00CA3278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AD7B5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73D22693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601EBDED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1409, 1194/1, 1202, 1267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915ED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D924D6" w:rsidRPr="00F3426C" w14:paraId="349DD493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C7CE971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5F1486D7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vAlign w:val="center"/>
          </w:tcPr>
          <w:p w14:paraId="3185CA70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1194/3, 1192, 1178, 1173, 1204, 1205, 1206, 1209/1, 1237/1, 1466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74B3E67A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</w:t>
            </w:r>
          </w:p>
        </w:tc>
      </w:tr>
      <w:tr w:rsidR="00D924D6" w:rsidRPr="00F3426C" w14:paraId="1136CCB5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5F0E7CA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5F908CD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CELKEM </w:t>
            </w: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D360D6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</w:tc>
      </w:tr>
      <w:tr w:rsidR="00D924D6" w:rsidRPr="00F3426C" w14:paraId="7CDBC5B0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5802DB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29A3A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Sviny</w:t>
            </w:r>
          </w:p>
        </w:tc>
        <w:tc>
          <w:tcPr>
            <w:tcW w:w="4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93508D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1903, 1904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614E0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924D6" w:rsidRPr="00F3426C" w14:paraId="363A9743" w14:textId="77777777" w:rsidTr="00CA3278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BFBDC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1639D169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43235C3F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1852, 1947, 1932, 1336, 1315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96B215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D924D6" w:rsidRPr="00F3426C" w14:paraId="1655430D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00C9B1B2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6" w:type="dxa"/>
            <w:vAlign w:val="center"/>
          </w:tcPr>
          <w:p w14:paraId="54B2B0A9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663029AC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1816, 1817, 1851, 1835, 1834, 1931, 1917, 1459, 1464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60BB8E77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D924D6" w:rsidRPr="00F3426C" w14:paraId="0A791033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FF9F8B3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vAlign w:val="center"/>
          </w:tcPr>
          <w:p w14:paraId="13C6E6F6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50972F7A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1948, 1854, 1853, 1824, 1675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305396E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D924D6" w:rsidRPr="00F3426C" w14:paraId="3472520E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16F22D5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vAlign w:val="center"/>
          </w:tcPr>
          <w:p w14:paraId="7F9828F4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0B682835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1910, 1828, 1830, 1796, 1795, 1794, 1787, 1346, 1352, 1353, 1377, 1426, 1456, 1458, 1540, 1617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5DB2DA1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</w:t>
            </w:r>
          </w:p>
        </w:tc>
      </w:tr>
      <w:tr w:rsidR="00D924D6" w:rsidRPr="00F3426C" w14:paraId="7502D500" w14:textId="77777777" w:rsidTr="00CA3278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C2B163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81BF5AF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Vlkov nad Lužnicí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AD28CC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</w:tr>
      <w:tr w:rsidR="00D924D6" w:rsidRPr="00F3426C" w14:paraId="548F3394" w14:textId="77777777" w:rsidTr="00CA3278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B2585D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CF4A8E6" w14:textId="77777777" w:rsidR="00D924D6" w:rsidRPr="00F3426C" w:rsidRDefault="00D924D6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00537A" w14:textId="77777777" w:rsidR="00D924D6" w:rsidRPr="00F3426C" w:rsidRDefault="00D924D6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</w:tr>
    </w:tbl>
    <w:p w14:paraId="191C88CF" w14:textId="77777777" w:rsidR="001A2FE5" w:rsidRDefault="001A2FE5"/>
    <w:sectPr w:rsidR="001A2F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221B" w14:textId="77777777" w:rsidR="00280D94" w:rsidRDefault="00280D94" w:rsidP="00280D94">
      <w:pPr>
        <w:spacing w:before="0"/>
      </w:pPr>
      <w:r>
        <w:separator/>
      </w:r>
    </w:p>
  </w:endnote>
  <w:endnote w:type="continuationSeparator" w:id="0">
    <w:p w14:paraId="3BBD2A78" w14:textId="77777777" w:rsidR="00280D94" w:rsidRDefault="00280D94" w:rsidP="00280D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AF83" w14:textId="77777777" w:rsidR="00280D94" w:rsidRDefault="00280D94" w:rsidP="00280D94">
      <w:pPr>
        <w:spacing w:before="0"/>
      </w:pPr>
      <w:r>
        <w:separator/>
      </w:r>
    </w:p>
  </w:footnote>
  <w:footnote w:type="continuationSeparator" w:id="0">
    <w:p w14:paraId="4B4AA2D4" w14:textId="77777777" w:rsidR="00280D94" w:rsidRDefault="00280D94" w:rsidP="00280D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D4D" w14:textId="757E3EDB" w:rsidR="00280D94" w:rsidRPr="00280D94" w:rsidRDefault="00280D94" w:rsidP="00280D94">
    <w:pPr>
      <w:pStyle w:val="Zhlav"/>
      <w:ind w:left="0"/>
      <w:rPr>
        <w:rFonts w:ascii="Arial" w:hAnsi="Arial" w:cs="Arial"/>
      </w:rPr>
    </w:pPr>
    <w:r w:rsidRPr="00280D94">
      <w:rPr>
        <w:rFonts w:ascii="Arial" w:hAnsi="Arial" w:cs="Arial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4"/>
    <w:rsid w:val="00162E39"/>
    <w:rsid w:val="001A2FE5"/>
    <w:rsid w:val="00280D94"/>
    <w:rsid w:val="002D4B89"/>
    <w:rsid w:val="003670D8"/>
    <w:rsid w:val="008D5F9A"/>
    <w:rsid w:val="00D924D6"/>
    <w:rsid w:val="00E52AB0"/>
    <w:rsid w:val="00EF4C40"/>
    <w:rsid w:val="00F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FC1F"/>
  <w15:chartTrackingRefBased/>
  <w15:docId w15:val="{8FBCC8D1-10FE-4377-A650-6469910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D9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customStyle="1" w:styleId="Mkatabulky2">
    <w:name w:val="Mřížka tabulky2"/>
    <w:basedOn w:val="Normlntabulka"/>
    <w:next w:val="Mkatabulky"/>
    <w:uiPriority w:val="39"/>
    <w:rsid w:val="00D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Radka Ing.</dc:creator>
  <cp:keywords/>
  <dc:description/>
  <cp:lastModifiedBy>Vaněčková Radka Ing.</cp:lastModifiedBy>
  <cp:revision>7</cp:revision>
  <dcterms:created xsi:type="dcterms:W3CDTF">2025-04-02T09:31:00Z</dcterms:created>
  <dcterms:modified xsi:type="dcterms:W3CDTF">2025-07-08T12:53:00Z</dcterms:modified>
</cp:coreProperties>
</file>