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D7AB0F7" w:rsidR="00E0086F" w:rsidRPr="00ED6435" w:rsidRDefault="00363BC7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2B871BEE" w14:textId="2B707889" w:rsidR="00E0086F" w:rsidRDefault="00363BC7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1106-2024-521101 ze dne </w:t>
      </w:r>
      <w:r w:rsidR="00052C00">
        <w:rPr>
          <w:rFonts w:cs="Arial"/>
          <w:sz w:val="22"/>
        </w:rPr>
        <w:t>8. 10. 2024</w:t>
      </w:r>
      <w:r w:rsidR="006B5AC0">
        <w:rPr>
          <w:rFonts w:cs="Arial"/>
          <w:sz w:val="22"/>
        </w:rPr>
        <w:t xml:space="preserve"> </w:t>
      </w:r>
      <w:r w:rsidR="00E0086F" w:rsidRPr="00ED6435">
        <w:rPr>
          <w:rFonts w:cs="Arial"/>
          <w:sz w:val="22"/>
        </w:rPr>
        <w:t>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16ECA335" w14:textId="77777777" w:rsidR="006B5AC0" w:rsidRDefault="006B5AC0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564E0222" w14:textId="6580CFDD" w:rsidR="006B5AC0" w:rsidRPr="006B5AC0" w:rsidRDefault="006B5AC0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6B5AC0">
        <w:rPr>
          <w:rFonts w:cs="Arial"/>
          <w:b/>
          <w:bCs/>
          <w:sz w:val="22"/>
        </w:rPr>
        <w:t>Komplexní pozemkové úpravy v k.ú. Opatovice u Hranic</w:t>
      </w:r>
    </w:p>
    <w:p w14:paraId="0B30C94A" w14:textId="77777777" w:rsidR="006B5AC0" w:rsidRPr="00ED6435" w:rsidRDefault="006B5AC0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A24A134" w14:textId="40808D0C" w:rsidR="00B30568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 w:rsidR="00B30568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70DEBAE8" w14:textId="44AE528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4753A">
        <w:rPr>
          <w:rFonts w:ascii="Arial" w:hAnsi="Arial" w:cs="Arial"/>
          <w:b/>
          <w:bCs/>
        </w:rPr>
        <w:t xml:space="preserve">Krajský pozemkový úřad pro </w:t>
      </w:r>
      <w:r w:rsidR="00B30568" w:rsidRPr="0044753A">
        <w:rPr>
          <w:rFonts w:ascii="Arial" w:hAnsi="Arial" w:cs="Arial"/>
          <w:b/>
          <w:bCs/>
          <w:snapToGrid w:val="0"/>
        </w:rPr>
        <w:t>Olomoucký kraj</w:t>
      </w:r>
      <w:r w:rsidRPr="00ED6435">
        <w:rPr>
          <w:rFonts w:ascii="Arial" w:hAnsi="Arial" w:cs="Arial"/>
          <w:snapToGrid w:val="0"/>
        </w:rPr>
        <w:t xml:space="preserve">, </w:t>
      </w:r>
      <w:r w:rsidR="008301D7">
        <w:rPr>
          <w:rFonts w:ascii="Arial" w:hAnsi="Arial" w:cs="Arial"/>
          <w:snapToGrid w:val="0"/>
        </w:rPr>
        <w:t>B</w:t>
      </w:r>
      <w:r w:rsidR="008820B1">
        <w:rPr>
          <w:rFonts w:ascii="Arial" w:hAnsi="Arial" w:cs="Arial"/>
          <w:snapToGrid w:val="0"/>
        </w:rPr>
        <w:t>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5ADD9021" w:rsidR="00E0086F" w:rsidRPr="00ED6435" w:rsidRDefault="00E0086F" w:rsidP="002E5190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E5190">
        <w:rPr>
          <w:rFonts w:ascii="Arial" w:hAnsi="Arial" w:cs="Arial"/>
        </w:rPr>
        <w:tab/>
      </w:r>
      <w:r w:rsidR="002E5190">
        <w:rPr>
          <w:rFonts w:ascii="Arial" w:hAnsi="Arial" w:cs="Arial"/>
        </w:rPr>
        <w:tab/>
        <w:t>J</w:t>
      </w:r>
      <w:r w:rsidR="008820B1">
        <w:rPr>
          <w:rFonts w:ascii="Arial" w:hAnsi="Arial" w:cs="Arial"/>
        </w:rPr>
        <w:t>UDr. Romanem Brnčalem,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81A0216" w:rsidR="00E0086F" w:rsidRPr="00ED6435" w:rsidRDefault="00E0086F" w:rsidP="002E5190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E5190">
        <w:rPr>
          <w:rFonts w:ascii="Arial" w:hAnsi="Arial" w:cs="Arial"/>
        </w:rPr>
        <w:tab/>
        <w:t>JUDr. Romanem Brnčalem, LL.M., ředitelem Krajského pozemkového úřadu pro Olomoucký kraj</w:t>
      </w:r>
    </w:p>
    <w:p w14:paraId="4939C5C6" w14:textId="3CBC4B61" w:rsidR="00E0086F" w:rsidRDefault="00E0086F" w:rsidP="00C026D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C026D1">
        <w:rPr>
          <w:rFonts w:ascii="Arial" w:hAnsi="Arial" w:cs="Arial"/>
          <w:snapToGrid w:val="0"/>
        </w:rPr>
        <w:tab/>
        <w:t>Ing. Renátou Brundovou, vedoucí Pobočky Přerov</w:t>
      </w:r>
    </w:p>
    <w:p w14:paraId="2C2173FE" w14:textId="455862C6" w:rsidR="00C026D1" w:rsidRPr="00ED6435" w:rsidRDefault="00C026D1" w:rsidP="00C026D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Hanou Sieglovou, Pobočka Přerov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CE27A2B" w14:textId="2A385EBA" w:rsidR="00C026D1" w:rsidRDefault="00C026D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 w:rsidR="006D4BFA">
        <w:rPr>
          <w:rFonts w:ascii="Arial" w:hAnsi="Arial" w:cs="Arial"/>
        </w:rPr>
        <w:tab/>
      </w:r>
      <w:r w:rsidR="006D4BFA">
        <w:rPr>
          <w:rFonts w:ascii="Arial" w:hAnsi="Arial" w:cs="Arial"/>
        </w:rPr>
        <w:tab/>
        <w:t>Pobočka Přerov</w:t>
      </w:r>
    </w:p>
    <w:p w14:paraId="6A3F0E3A" w14:textId="383ED22A" w:rsidR="006D4BFA" w:rsidRDefault="006D4BFA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Wurmova 606/2, 750 02 Přerov</w:t>
      </w:r>
    </w:p>
    <w:p w14:paraId="6A638703" w14:textId="3ADB23C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  <w:t>+420 727 957 181</w:t>
      </w:r>
    </w:p>
    <w:p w14:paraId="073F5E87" w14:textId="5779660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8301D7">
        <w:rPr>
          <w:rFonts w:ascii="Arial" w:hAnsi="Arial" w:cs="Arial"/>
          <w:snapToGrid w:val="0"/>
        </w:rPr>
        <w:tab/>
      </w:r>
      <w:r w:rsidR="008301D7">
        <w:rPr>
          <w:rFonts w:ascii="Arial" w:hAnsi="Arial" w:cs="Arial"/>
          <w:snapToGrid w:val="0"/>
        </w:rPr>
        <w:tab/>
      </w:r>
      <w:hyperlink r:id="rId13" w:history="1">
        <w:r w:rsidR="00026D26" w:rsidRPr="002B4DCD">
          <w:rPr>
            <w:rStyle w:val="Hypertextovodkaz"/>
            <w:rFonts w:ascii="Arial" w:hAnsi="Arial" w:cs="Arial"/>
            <w:snapToGrid w:val="0"/>
          </w:rPr>
          <w:t>prerov.pk@spu.gov.cz</w:t>
        </w:r>
      </w:hyperlink>
      <w:r w:rsidR="008301D7">
        <w:rPr>
          <w:rFonts w:ascii="Arial" w:hAnsi="Arial" w:cs="Arial"/>
          <w:snapToGrid w:val="0"/>
        </w:rPr>
        <w:t xml:space="preserve"> </w:t>
      </w:r>
    </w:p>
    <w:p w14:paraId="251A0BC1" w14:textId="637E6A0E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1922DC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1922DC">
        <w:rPr>
          <w:rFonts w:ascii="Arial" w:hAnsi="Arial" w:cs="Arial"/>
        </w:rPr>
        <w:t>a</w:t>
      </w:r>
    </w:p>
    <w:p w14:paraId="60A84729" w14:textId="4711F04F" w:rsidR="00E0086F" w:rsidRDefault="0091765B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1922DC">
        <w:rPr>
          <w:rFonts w:ascii="Arial" w:hAnsi="Arial" w:cs="Arial"/>
        </w:rPr>
        <w:t xml:space="preserve">Společnost právnických osob, které tvoří </w:t>
      </w:r>
    </w:p>
    <w:p w14:paraId="1141B378" w14:textId="11CC1979" w:rsidR="001922DC" w:rsidRPr="00F30954" w:rsidRDefault="00F30954" w:rsidP="001922DC">
      <w:pPr>
        <w:spacing w:before="120" w:after="120" w:line="240" w:lineRule="auto"/>
        <w:ind w:left="567"/>
        <w:jc w:val="both"/>
        <w:rPr>
          <w:rFonts w:ascii="Arial" w:hAnsi="Arial" w:cs="Arial"/>
          <w:b/>
          <w:bCs/>
        </w:rPr>
      </w:pPr>
      <w:r w:rsidRPr="00F30954">
        <w:rPr>
          <w:rFonts w:ascii="Arial" w:hAnsi="Arial" w:cs="Arial"/>
          <w:b/>
          <w:bCs/>
        </w:rPr>
        <w:t>Horageo s.r.o.</w:t>
      </w:r>
      <w:r w:rsidR="00D10405">
        <w:rPr>
          <w:rFonts w:ascii="Arial" w:hAnsi="Arial" w:cs="Arial"/>
          <w:b/>
          <w:bCs/>
        </w:rPr>
        <w:t xml:space="preserve"> (reprezentant sdružení)</w:t>
      </w:r>
    </w:p>
    <w:p w14:paraId="32BEDF50" w14:textId="2634BD8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5601B1">
        <w:rPr>
          <w:rFonts w:ascii="Arial" w:hAnsi="Arial" w:cs="Arial"/>
          <w:bCs/>
        </w:rPr>
        <w:t>Obůrka 315</w:t>
      </w:r>
      <w:r w:rsidRPr="00ED6435">
        <w:rPr>
          <w:rFonts w:ascii="Arial" w:hAnsi="Arial" w:cs="Arial"/>
          <w:snapToGrid w:val="0"/>
        </w:rPr>
        <w:t>,</w:t>
      </w:r>
      <w:r w:rsidR="00EA1A80">
        <w:rPr>
          <w:rFonts w:ascii="Arial" w:hAnsi="Arial" w:cs="Arial"/>
          <w:snapToGrid w:val="0"/>
        </w:rPr>
        <w:t xml:space="preserve"> 678 01 Blansko,</w:t>
      </w:r>
      <w:r w:rsidRPr="00ED6435">
        <w:rPr>
          <w:rFonts w:ascii="Arial" w:hAnsi="Arial" w:cs="Arial"/>
          <w:snapToGrid w:val="0"/>
        </w:rPr>
        <w:t xml:space="preserve"> IČO: </w:t>
      </w:r>
      <w:r w:rsidR="00EA1A80">
        <w:rPr>
          <w:rFonts w:ascii="Arial" w:hAnsi="Arial" w:cs="Arial"/>
          <w:snapToGrid w:val="0"/>
        </w:rPr>
        <w:t>05949416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EA1A80"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 </w:t>
      </w:r>
      <w:r w:rsidR="00EA1A80"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 w:rsidR="00EA1A80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EA1A80">
        <w:rPr>
          <w:rFonts w:ascii="Arial" w:hAnsi="Arial" w:cs="Arial"/>
          <w:snapToGrid w:val="0"/>
        </w:rPr>
        <w:t>99</w:t>
      </w:r>
      <w:r w:rsidR="0082449D">
        <w:rPr>
          <w:rFonts w:ascii="Arial" w:hAnsi="Arial" w:cs="Arial"/>
          <w:snapToGrid w:val="0"/>
        </w:rPr>
        <w:t>118.</w:t>
      </w:r>
    </w:p>
    <w:p w14:paraId="5F89DDB9" w14:textId="0BB32A2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EA7B6C">
        <w:rPr>
          <w:rFonts w:ascii="Arial" w:hAnsi="Arial" w:cs="Arial"/>
          <w:snapToGrid w:val="0"/>
        </w:rPr>
        <w:t>Ing. Janem Raškou, jednatelem</w:t>
      </w:r>
    </w:p>
    <w:p w14:paraId="470BDDFE" w14:textId="4428003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CD57B6">
        <w:rPr>
          <w:rFonts w:ascii="Arial" w:hAnsi="Arial" w:cs="Arial"/>
          <w:bCs/>
        </w:rPr>
        <w:tab/>
      </w:r>
      <w:r w:rsidR="00EA7B6C">
        <w:rPr>
          <w:rFonts w:ascii="Arial" w:hAnsi="Arial" w:cs="Arial"/>
          <w:snapToGrid w:val="0"/>
        </w:rPr>
        <w:t>Ing. Janem Raškou</w:t>
      </w:r>
    </w:p>
    <w:p w14:paraId="2D5046AC" w14:textId="1A96C685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CD57B6">
        <w:rPr>
          <w:rFonts w:ascii="Arial" w:hAnsi="Arial" w:cs="Arial"/>
        </w:rPr>
        <w:tab/>
      </w:r>
      <w:r w:rsidR="00583ECD">
        <w:rPr>
          <w:rFonts w:ascii="Arial" w:hAnsi="Arial" w:cs="Arial"/>
        </w:rPr>
        <w:t>xxxxx</w:t>
      </w:r>
    </w:p>
    <w:p w14:paraId="3E50340C" w14:textId="6FCDF2CE" w:rsidR="005715BF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583ECD">
        <w:rPr>
          <w:rFonts w:ascii="Arial" w:hAnsi="Arial" w:cs="Arial"/>
          <w:snapToGrid w:val="0"/>
        </w:rPr>
        <w:t>xxxxx</w:t>
      </w:r>
    </w:p>
    <w:p w14:paraId="51D1C9C1" w14:textId="59B95203" w:rsidR="00CC78B7" w:rsidRPr="00ED6435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583ECD">
        <w:rPr>
          <w:rFonts w:ascii="Arial" w:hAnsi="Arial" w:cs="Arial"/>
          <w:snapToGrid w:val="0"/>
        </w:rPr>
        <w:t>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5CF80B4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Tel.: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F05093">
        <w:rPr>
          <w:rFonts w:ascii="Arial" w:hAnsi="Arial" w:cs="Arial"/>
          <w:snapToGrid w:val="0"/>
        </w:rPr>
        <w:t>+420 </w:t>
      </w:r>
      <w:r w:rsidR="00583ECD">
        <w:rPr>
          <w:rFonts w:ascii="Arial" w:hAnsi="Arial" w:cs="Arial"/>
          <w:snapToGrid w:val="0"/>
        </w:rPr>
        <w:t>xxxxx</w:t>
      </w:r>
    </w:p>
    <w:p w14:paraId="3A61A83D" w14:textId="0DD631B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583ECD">
        <w:rPr>
          <w:rFonts w:ascii="Arial" w:hAnsi="Arial" w:cs="Arial"/>
          <w:snapToGrid w:val="0"/>
        </w:rPr>
        <w:t>xxxxx</w:t>
      </w:r>
      <w:r w:rsidR="00F224AC">
        <w:rPr>
          <w:rFonts w:ascii="Arial" w:hAnsi="Arial" w:cs="Arial"/>
          <w:snapToGrid w:val="0"/>
        </w:rPr>
        <w:t xml:space="preserve"> </w:t>
      </w:r>
    </w:p>
    <w:p w14:paraId="4F80076C" w14:textId="7DEC60C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F224AC">
        <w:rPr>
          <w:rFonts w:ascii="Arial" w:hAnsi="Arial" w:cs="Arial"/>
          <w:snapToGrid w:val="0"/>
        </w:rPr>
        <w:t>69jg7xi</w:t>
      </w:r>
    </w:p>
    <w:p w14:paraId="7DA99D36" w14:textId="491D33F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.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F224AC">
        <w:rPr>
          <w:rFonts w:ascii="Arial" w:hAnsi="Arial" w:cs="Arial"/>
          <w:snapToGrid w:val="0"/>
        </w:rPr>
        <w:t>Fio banka, a.s.</w:t>
      </w:r>
    </w:p>
    <w:p w14:paraId="6F011ECB" w14:textId="31C18AF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F224AC">
        <w:rPr>
          <w:rFonts w:ascii="Arial" w:hAnsi="Arial" w:cs="Arial"/>
          <w:snapToGrid w:val="0"/>
        </w:rPr>
        <w:t>2701202958/2010</w:t>
      </w:r>
    </w:p>
    <w:p w14:paraId="19074D75" w14:textId="0DB3FC1B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DIČ: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F224AC">
        <w:rPr>
          <w:rFonts w:ascii="Arial" w:hAnsi="Arial" w:cs="Arial"/>
          <w:snapToGrid w:val="0"/>
        </w:rPr>
        <w:t>CZ</w:t>
      </w:r>
      <w:r w:rsidR="00B63254">
        <w:rPr>
          <w:rFonts w:ascii="Arial" w:hAnsi="Arial" w:cs="Arial"/>
          <w:snapToGrid w:val="0"/>
        </w:rPr>
        <w:t>05949416</w:t>
      </w:r>
      <w:r w:rsidR="008A0973">
        <w:rPr>
          <w:rFonts w:ascii="Arial" w:hAnsi="Arial" w:cs="Arial"/>
          <w:snapToGrid w:val="0"/>
        </w:rPr>
        <w:t xml:space="preserve"> – je plátce DPH</w:t>
      </w:r>
    </w:p>
    <w:p w14:paraId="4181146E" w14:textId="34D57357" w:rsidR="00B63254" w:rsidRDefault="00B63254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</w:t>
      </w:r>
    </w:p>
    <w:p w14:paraId="2F634524" w14:textId="7F5CA8BB" w:rsidR="00B63254" w:rsidRDefault="0028476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</w:rPr>
      </w:pPr>
      <w:r w:rsidRPr="00284768">
        <w:rPr>
          <w:rFonts w:ascii="Arial" w:hAnsi="Arial" w:cs="Arial"/>
          <w:b/>
        </w:rPr>
        <w:t>Geodézie Ledeč nad Sázavou s.r.o.</w:t>
      </w:r>
    </w:p>
    <w:p w14:paraId="1A9459BD" w14:textId="588A50C4" w:rsidR="00284768" w:rsidRPr="00ED6435" w:rsidRDefault="00284768" w:rsidP="0028476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2614DD">
        <w:rPr>
          <w:rFonts w:ascii="Arial" w:hAnsi="Arial" w:cs="Arial"/>
        </w:rPr>
        <w:t xml:space="preserve">se sídlem </w:t>
      </w:r>
      <w:r w:rsidR="00A85E7A" w:rsidRPr="002614DD">
        <w:rPr>
          <w:rFonts w:ascii="Arial" w:hAnsi="Arial" w:cs="Arial"/>
        </w:rPr>
        <w:t>Koželská 225</w:t>
      </w:r>
      <w:r w:rsidRPr="002614DD">
        <w:rPr>
          <w:rFonts w:ascii="Arial" w:hAnsi="Arial" w:cs="Arial"/>
        </w:rPr>
        <w:t xml:space="preserve">, </w:t>
      </w:r>
      <w:r w:rsidR="005903EE" w:rsidRPr="002614DD">
        <w:rPr>
          <w:rFonts w:ascii="Arial" w:hAnsi="Arial" w:cs="Arial"/>
        </w:rPr>
        <w:t>584 01 Ledeč nad Sázavou</w:t>
      </w:r>
      <w:r w:rsidRPr="002614DD">
        <w:rPr>
          <w:rFonts w:ascii="Arial" w:hAnsi="Arial" w:cs="Arial"/>
        </w:rPr>
        <w:t xml:space="preserve">, IČO: </w:t>
      </w:r>
      <w:r w:rsidR="00C73872" w:rsidRPr="002614DD">
        <w:rPr>
          <w:rFonts w:ascii="Arial" w:hAnsi="Arial" w:cs="Arial"/>
        </w:rPr>
        <w:t>27493989</w:t>
      </w:r>
      <w:r w:rsidRPr="002614DD">
        <w:rPr>
          <w:rFonts w:ascii="Arial" w:hAnsi="Arial" w:cs="Arial"/>
        </w:rPr>
        <w:t>, zapsaná</w:t>
      </w:r>
      <w:r w:rsidRPr="00ED6435">
        <w:rPr>
          <w:rFonts w:ascii="Arial" w:hAnsi="Arial" w:cs="Arial"/>
          <w:snapToGrid w:val="0"/>
        </w:rPr>
        <w:t xml:space="preserve"> v obchodním rejstříku vedeném u</w:t>
      </w:r>
      <w:r w:rsidR="002614DD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 w:rsidR="004C296A"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4C296A">
        <w:rPr>
          <w:rFonts w:ascii="Arial" w:hAnsi="Arial" w:cs="Arial"/>
          <w:snapToGrid w:val="0"/>
        </w:rPr>
        <w:t>22333</w:t>
      </w:r>
      <w:r>
        <w:rPr>
          <w:rFonts w:ascii="Arial" w:hAnsi="Arial" w:cs="Arial"/>
          <w:snapToGrid w:val="0"/>
        </w:rPr>
        <w:t>.</w:t>
      </w:r>
    </w:p>
    <w:p w14:paraId="48436AB9" w14:textId="57E0AF49" w:rsidR="00284768" w:rsidRPr="00ED6435" w:rsidRDefault="00284768" w:rsidP="00284768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Ing. </w:t>
      </w:r>
      <w:r w:rsidR="004C296A">
        <w:rPr>
          <w:rFonts w:ascii="Arial" w:hAnsi="Arial" w:cs="Arial"/>
          <w:snapToGrid w:val="0"/>
        </w:rPr>
        <w:t>Alešem Tučkem</w:t>
      </w:r>
      <w:r>
        <w:rPr>
          <w:rFonts w:ascii="Arial" w:hAnsi="Arial" w:cs="Arial"/>
          <w:snapToGrid w:val="0"/>
        </w:rPr>
        <w:t>, jednatelem</w:t>
      </w:r>
    </w:p>
    <w:p w14:paraId="5D62047C" w14:textId="7DC982BF" w:rsidR="00284768" w:rsidRPr="00ED6435" w:rsidRDefault="00284768" w:rsidP="0028476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napToGrid w:val="0"/>
        </w:rPr>
        <w:t xml:space="preserve">Ing. </w:t>
      </w:r>
      <w:r w:rsidR="001323FD">
        <w:rPr>
          <w:rFonts w:ascii="Arial" w:hAnsi="Arial" w:cs="Arial"/>
          <w:snapToGrid w:val="0"/>
        </w:rPr>
        <w:t>Alešem Tučkem</w:t>
      </w:r>
    </w:p>
    <w:p w14:paraId="1452FB9D" w14:textId="1EADE1E1" w:rsidR="00284768" w:rsidRDefault="00284768" w:rsidP="0028476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zastoupená: </w:t>
      </w:r>
      <w:r>
        <w:rPr>
          <w:rFonts w:ascii="Arial" w:hAnsi="Arial" w:cs="Arial"/>
        </w:rPr>
        <w:tab/>
      </w:r>
      <w:r w:rsidR="00583ECD">
        <w:rPr>
          <w:rFonts w:ascii="Arial" w:hAnsi="Arial" w:cs="Arial"/>
        </w:rPr>
        <w:t>xxxxx</w:t>
      </w:r>
    </w:p>
    <w:p w14:paraId="628564F2" w14:textId="77777777" w:rsidR="00284768" w:rsidRPr="00ED6435" w:rsidRDefault="00284768" w:rsidP="002847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27E7ECB" w14:textId="4ACBD698" w:rsidR="00284768" w:rsidRPr="00ED6435" w:rsidRDefault="00284768" w:rsidP="002847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ED6435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+420</w:t>
      </w:r>
      <w:r w:rsidR="00291AAC">
        <w:rPr>
          <w:rFonts w:ascii="Arial" w:hAnsi="Arial" w:cs="Arial"/>
          <w:snapToGrid w:val="0"/>
        </w:rPr>
        <w:t> </w:t>
      </w:r>
      <w:r w:rsidR="00583ECD">
        <w:rPr>
          <w:rFonts w:ascii="Arial" w:hAnsi="Arial" w:cs="Arial"/>
          <w:snapToGrid w:val="0"/>
        </w:rPr>
        <w:t>xxxxx</w:t>
      </w:r>
    </w:p>
    <w:p w14:paraId="39D2F448" w14:textId="75401084" w:rsidR="00284768" w:rsidRPr="00ED6435" w:rsidRDefault="00284768" w:rsidP="002847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583ECD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 xml:space="preserve"> </w:t>
      </w:r>
    </w:p>
    <w:p w14:paraId="239D6E2B" w14:textId="77777777" w:rsidR="00FC3416" w:rsidRDefault="00284768" w:rsidP="00FC3416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291AAC">
        <w:rPr>
          <w:rFonts w:ascii="Arial" w:hAnsi="Arial" w:cs="Arial"/>
          <w:snapToGrid w:val="0"/>
        </w:rPr>
        <w:tab/>
        <w:t>3xv</w:t>
      </w:r>
      <w:r w:rsidR="00FC3416">
        <w:rPr>
          <w:rFonts w:ascii="Arial" w:hAnsi="Arial" w:cs="Arial"/>
          <w:snapToGrid w:val="0"/>
        </w:rPr>
        <w:t>742d</w:t>
      </w:r>
    </w:p>
    <w:p w14:paraId="384A6F15" w14:textId="15CF5733" w:rsidR="00284768" w:rsidRPr="00FC3416" w:rsidRDefault="00284768" w:rsidP="00FC3416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FC3416">
        <w:rPr>
          <w:rFonts w:ascii="Arial" w:hAnsi="Arial" w:cs="Arial"/>
          <w:snapToGrid w:val="0"/>
        </w:rPr>
        <w:tab/>
      </w:r>
      <w:r w:rsidR="00FC3416">
        <w:rPr>
          <w:rFonts w:ascii="Arial" w:hAnsi="Arial" w:cs="Arial"/>
          <w:snapToGrid w:val="0"/>
        </w:rPr>
        <w:tab/>
      </w:r>
      <w:r w:rsidR="00FC3416">
        <w:rPr>
          <w:rFonts w:ascii="Arial" w:hAnsi="Arial" w:cs="Arial"/>
          <w:snapToGrid w:val="0"/>
        </w:rPr>
        <w:tab/>
      </w:r>
      <w:r w:rsidR="00FC3416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CZ</w:t>
      </w:r>
      <w:r w:rsidR="00FC3416">
        <w:rPr>
          <w:rFonts w:ascii="Arial" w:hAnsi="Arial" w:cs="Arial"/>
          <w:snapToGrid w:val="0"/>
        </w:rPr>
        <w:t>27493989</w:t>
      </w:r>
      <w:r w:rsidR="008A0973">
        <w:rPr>
          <w:rFonts w:ascii="Arial" w:hAnsi="Arial" w:cs="Arial"/>
          <w:snapToGrid w:val="0"/>
        </w:rPr>
        <w:t xml:space="preserve"> – je plátce DPH</w:t>
      </w:r>
    </w:p>
    <w:p w14:paraId="456E9E19" w14:textId="77777777" w:rsidR="00D41B10" w:rsidRDefault="00D41B10" w:rsidP="00EC1291">
      <w:pPr>
        <w:spacing w:after="120"/>
        <w:ind w:left="567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588"/>
        <w:gridCol w:w="4588"/>
      </w:tblGrid>
      <w:tr w:rsidR="00423BB6" w14:paraId="1FA915E8" w14:textId="77777777" w:rsidTr="00423BB6">
        <w:tc>
          <w:tcPr>
            <w:tcW w:w="4588" w:type="dxa"/>
          </w:tcPr>
          <w:p w14:paraId="7CA7A1C9" w14:textId="2D6FE412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Zastoupení na základě smlouvy o sdružení pro podání společné nabídky na zakázku „Komplexní pozemkové úpravy v k.ú. Opatovice u Hranic“ ze dne 28. 08. 2024 (založena u dokumentace veřejné zakázky): </w:t>
            </w:r>
          </w:p>
        </w:tc>
        <w:tc>
          <w:tcPr>
            <w:tcW w:w="4588" w:type="dxa"/>
          </w:tcPr>
          <w:p w14:paraId="388D5D62" w14:textId="77777777" w:rsidR="00423BB6" w:rsidRPr="00423BB6" w:rsidRDefault="00423BB6" w:rsidP="00B92C7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23BB6">
              <w:rPr>
                <w:rFonts w:ascii="Arial" w:hAnsi="Arial" w:cs="Arial"/>
                <w:sz w:val="22"/>
                <w:szCs w:val="22"/>
              </w:rPr>
              <w:t xml:space="preserve">Ing. Janem Raškou, </w:t>
            </w:r>
          </w:p>
          <w:p w14:paraId="45F6946E" w14:textId="22444016" w:rsidR="00423BB6" w:rsidRPr="00423BB6" w:rsidRDefault="00423BB6" w:rsidP="00B92C7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jednatelem Horageo s.r.o. </w:t>
            </w:r>
          </w:p>
        </w:tc>
      </w:tr>
      <w:tr w:rsidR="00423BB6" w14:paraId="45199A0F" w14:textId="77777777" w:rsidTr="00423BB6">
        <w:tc>
          <w:tcPr>
            <w:tcW w:w="4588" w:type="dxa"/>
          </w:tcPr>
          <w:p w14:paraId="34BA25DF" w14:textId="2F5B4A69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Ve smluvních záležitostech oprávněn jednat: </w:t>
            </w:r>
          </w:p>
        </w:tc>
        <w:tc>
          <w:tcPr>
            <w:tcW w:w="4588" w:type="dxa"/>
          </w:tcPr>
          <w:p w14:paraId="644BA584" w14:textId="5C425D62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Ing. Jan Raška – jednatel Horageo s.r.o. </w:t>
            </w:r>
          </w:p>
        </w:tc>
      </w:tr>
      <w:tr w:rsidR="00423BB6" w14:paraId="6B97153C" w14:textId="77777777" w:rsidTr="00423BB6">
        <w:tc>
          <w:tcPr>
            <w:tcW w:w="4588" w:type="dxa"/>
          </w:tcPr>
          <w:p w14:paraId="02381AE1" w14:textId="79055E20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V technických záležitostech oprávněn jednat: </w:t>
            </w:r>
          </w:p>
        </w:tc>
        <w:tc>
          <w:tcPr>
            <w:tcW w:w="4588" w:type="dxa"/>
          </w:tcPr>
          <w:p w14:paraId="3D6BCCA8" w14:textId="6E18A9B5" w:rsidR="00423BB6" w:rsidRPr="00423BB6" w:rsidRDefault="00583ECD" w:rsidP="00423BB6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423BB6" w14:paraId="1B5EF95C" w14:textId="77777777" w:rsidTr="00423BB6">
        <w:tc>
          <w:tcPr>
            <w:tcW w:w="4588" w:type="dxa"/>
          </w:tcPr>
          <w:p w14:paraId="1E16853A" w14:textId="33173BB1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Výhradní korespondenční adresa: </w:t>
            </w:r>
          </w:p>
        </w:tc>
        <w:tc>
          <w:tcPr>
            <w:tcW w:w="4588" w:type="dxa"/>
          </w:tcPr>
          <w:p w14:paraId="6101C13C" w14:textId="1D59BF2F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Horageo s.r.o., Obůrka 315, 678 01 Blansko </w:t>
            </w:r>
          </w:p>
        </w:tc>
      </w:tr>
      <w:tr w:rsidR="00423BB6" w14:paraId="2448178F" w14:textId="77777777" w:rsidTr="00423BB6">
        <w:tc>
          <w:tcPr>
            <w:tcW w:w="4588" w:type="dxa"/>
          </w:tcPr>
          <w:p w14:paraId="2590FABE" w14:textId="1708254D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Výhradní datová schránka: </w:t>
            </w:r>
          </w:p>
        </w:tc>
        <w:tc>
          <w:tcPr>
            <w:tcW w:w="4588" w:type="dxa"/>
          </w:tcPr>
          <w:p w14:paraId="45F006F7" w14:textId="2E8BA96E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69jg7xi </w:t>
            </w:r>
          </w:p>
        </w:tc>
      </w:tr>
      <w:tr w:rsidR="00423BB6" w14:paraId="45A7A5F8" w14:textId="77777777" w:rsidTr="00423BB6">
        <w:tc>
          <w:tcPr>
            <w:tcW w:w="4588" w:type="dxa"/>
          </w:tcPr>
          <w:p w14:paraId="7CBC9D04" w14:textId="3EEFAC1D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Bankovní spojení </w:t>
            </w:r>
          </w:p>
        </w:tc>
        <w:tc>
          <w:tcPr>
            <w:tcW w:w="4588" w:type="dxa"/>
          </w:tcPr>
          <w:p w14:paraId="6AE09B03" w14:textId="0BAAB57F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Fio banka, a.s. </w:t>
            </w:r>
          </w:p>
        </w:tc>
      </w:tr>
      <w:tr w:rsidR="00423BB6" w14:paraId="79A79C4F" w14:textId="77777777" w:rsidTr="00423BB6">
        <w:tc>
          <w:tcPr>
            <w:tcW w:w="4588" w:type="dxa"/>
          </w:tcPr>
          <w:p w14:paraId="4B96F9E1" w14:textId="2F017E43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Číslo účtu: </w:t>
            </w:r>
          </w:p>
        </w:tc>
        <w:tc>
          <w:tcPr>
            <w:tcW w:w="4588" w:type="dxa"/>
          </w:tcPr>
          <w:p w14:paraId="79FCFDF5" w14:textId="6755A1DC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2701202958/2010 </w:t>
            </w:r>
          </w:p>
        </w:tc>
      </w:tr>
      <w:tr w:rsidR="00423BB6" w14:paraId="7614C3DA" w14:textId="77777777" w:rsidTr="00423BB6">
        <w:tc>
          <w:tcPr>
            <w:tcW w:w="4588" w:type="dxa"/>
          </w:tcPr>
          <w:p w14:paraId="2E2469BA" w14:textId="5B2F66BD" w:rsidR="00423BB6" w:rsidRPr="00423BB6" w:rsidRDefault="00423BB6" w:rsidP="00423BB6">
            <w:pPr>
              <w:spacing w:after="120"/>
              <w:jc w:val="both"/>
              <w:rPr>
                <w:rFonts w:ascii="Arial" w:hAnsi="Arial" w:cs="Arial"/>
              </w:rPr>
            </w:pPr>
            <w:r w:rsidRPr="00423BB6">
              <w:rPr>
                <w:rFonts w:ascii="Arial" w:hAnsi="Arial" w:cs="Arial"/>
              </w:rPr>
              <w:t xml:space="preserve">Osoba odpovědná (úředně oprávněná) za zpracování návrhu KoPÚ: </w:t>
            </w:r>
          </w:p>
        </w:tc>
        <w:tc>
          <w:tcPr>
            <w:tcW w:w="4588" w:type="dxa"/>
          </w:tcPr>
          <w:p w14:paraId="45F8D51E" w14:textId="1B098382" w:rsidR="00423BB6" w:rsidRPr="00423BB6" w:rsidRDefault="00583ECD" w:rsidP="00423BB6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</w:tbl>
    <w:p w14:paraId="5F1D2678" w14:textId="77777777" w:rsidR="00D41B10" w:rsidRDefault="00D41B10" w:rsidP="00EC1291">
      <w:pPr>
        <w:spacing w:after="120"/>
        <w:ind w:left="567"/>
        <w:jc w:val="both"/>
        <w:rPr>
          <w:rFonts w:ascii="Arial" w:hAnsi="Arial" w:cs="Arial"/>
        </w:rPr>
      </w:pPr>
    </w:p>
    <w:p w14:paraId="483330C9" w14:textId="71FBACB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ABCF57C" w14:textId="647C1AAE" w:rsidR="005E55E5" w:rsidRDefault="005E55E5" w:rsidP="005E55E5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1 s</w:t>
      </w:r>
      <w:r w:rsidRPr="008032BE">
        <w:rPr>
          <w:rFonts w:ascii="Arial" w:hAnsi="Arial" w:cs="Arial"/>
          <w:b/>
          <w:bCs/>
          <w:snapToGrid w:val="0"/>
        </w:rPr>
        <w:t>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7E227786" w14:textId="77777777" w:rsidR="005E55E5" w:rsidRDefault="005E55E5" w:rsidP="005E55E5">
      <w:pPr>
        <w:spacing w:after="0"/>
        <w:ind w:left="567"/>
        <w:jc w:val="both"/>
        <w:rPr>
          <w:rFonts w:ascii="Arial" w:hAnsi="Arial" w:cs="Arial"/>
          <w:b/>
        </w:rPr>
      </w:pPr>
    </w:p>
    <w:p w14:paraId="3800FB2F" w14:textId="77777777" w:rsidR="00976BAB" w:rsidRDefault="00976BAB" w:rsidP="005E55E5">
      <w:pPr>
        <w:spacing w:after="0"/>
        <w:jc w:val="center"/>
        <w:rPr>
          <w:rFonts w:ascii="Arial" w:hAnsi="Arial" w:cs="Arial"/>
          <w:b/>
        </w:rPr>
      </w:pPr>
    </w:p>
    <w:p w14:paraId="0B505BF3" w14:textId="3642B405" w:rsidR="005E55E5" w:rsidRDefault="005E55E5" w:rsidP="005E55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I.</w:t>
      </w:r>
    </w:p>
    <w:p w14:paraId="24E42DF4" w14:textId="77777777" w:rsidR="005E55E5" w:rsidRDefault="005E55E5" w:rsidP="005E55E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60C3B7B7" w14:textId="77777777" w:rsidR="005E55E5" w:rsidRPr="000900DF" w:rsidRDefault="005E55E5" w:rsidP="005E55E5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71DF9632" w14:textId="77777777" w:rsidR="00D37AE7" w:rsidRDefault="005E55E5" w:rsidP="00CF7988">
      <w:pPr>
        <w:pStyle w:val="Textkomente"/>
        <w:jc w:val="both"/>
        <w:rPr>
          <w:rFonts w:ascii="Arial" w:hAnsi="Arial" w:cs="Arial"/>
          <w:b/>
          <w:bCs/>
          <w:caps/>
          <w:kern w:val="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95F42">
        <w:rPr>
          <w:rFonts w:ascii="Arial" w:hAnsi="Arial" w:cs="Arial"/>
          <w:sz w:val="22"/>
          <w:szCs w:val="22"/>
        </w:rPr>
        <w:t xml:space="preserve">ředmětem </w:t>
      </w:r>
      <w:r>
        <w:rPr>
          <w:rFonts w:ascii="Arial" w:hAnsi="Arial" w:cs="Arial"/>
          <w:sz w:val="22"/>
          <w:szCs w:val="22"/>
        </w:rPr>
        <w:t xml:space="preserve">dodatku jsou 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>nepodstatné změny závazku ze smlouvy</w:t>
      </w:r>
      <w:r w:rsidRPr="006D196E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, </w:t>
      </w:r>
      <w:r>
        <w:rPr>
          <w:rFonts w:ascii="Arial" w:hAnsi="Arial" w:cs="Arial"/>
          <w:kern w:val="20"/>
          <w:sz w:val="22"/>
          <w:szCs w:val="22"/>
        </w:rPr>
        <w:t>jejichž potřeba vyvstala v průběhu plnění díla, a to</w:t>
      </w:r>
      <w:r w:rsidR="00D37AE7" w:rsidRPr="00D37AE7">
        <w:rPr>
          <w:rFonts w:ascii="Arial" w:hAnsi="Arial" w:cs="Arial"/>
          <w:caps/>
          <w:kern w:val="20"/>
          <w:sz w:val="22"/>
          <w:szCs w:val="22"/>
        </w:rPr>
        <w:t>:</w:t>
      </w:r>
      <w:r w:rsidR="00D37AE7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 </w:t>
      </w:r>
    </w:p>
    <w:p w14:paraId="2991FF97" w14:textId="774812BB" w:rsidR="00D37AE7" w:rsidRPr="00AC340A" w:rsidRDefault="00D37AE7" w:rsidP="00D37AE7">
      <w:pPr>
        <w:pStyle w:val="Textkomente"/>
        <w:ind w:left="284"/>
        <w:rPr>
          <w:rFonts w:ascii="Arial" w:hAnsi="Arial" w:cs="Arial"/>
          <w:b/>
          <w:bCs/>
          <w:kern w:val="20"/>
          <w:sz w:val="22"/>
          <w:szCs w:val="22"/>
        </w:rPr>
      </w:pPr>
      <w:r>
        <w:rPr>
          <w:rFonts w:ascii="Arial" w:hAnsi="Arial" w:cs="Arial"/>
          <w:b/>
          <w:bCs/>
          <w:caps/>
          <w:kern w:val="20"/>
          <w:sz w:val="22"/>
          <w:szCs w:val="22"/>
        </w:rPr>
        <w:t>1.</w:t>
      </w:r>
      <w:r w:rsidRPr="006D196E">
        <w:rPr>
          <w:rFonts w:ascii="Arial" w:hAnsi="Arial" w:cs="Arial"/>
          <w:b/>
          <w:bCs/>
          <w:caps/>
          <w:kern w:val="2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aps/>
          <w:kern w:val="20"/>
          <w:sz w:val="22"/>
          <w:szCs w:val="22"/>
        </w:rPr>
        <w:tab/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>změna hodnoty závazku ze smlouvy – dodatečné služby</w:t>
      </w:r>
      <w:r w:rsidR="00B97CBC">
        <w:rPr>
          <w:rFonts w:ascii="Arial" w:hAnsi="Arial" w:cs="Arial"/>
          <w:b/>
          <w:bCs/>
          <w:kern w:val="20"/>
          <w:sz w:val="22"/>
          <w:szCs w:val="22"/>
        </w:rPr>
        <w:t xml:space="preserve"> a méněpráce</w:t>
      </w:r>
    </w:p>
    <w:p w14:paraId="4C15478B" w14:textId="1127395B" w:rsidR="003261C3" w:rsidRDefault="00D37AE7" w:rsidP="00D37AE7">
      <w:pPr>
        <w:pStyle w:val="Textkomente"/>
        <w:spacing w:line="276" w:lineRule="auto"/>
        <w:ind w:left="284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b/>
          <w:bCs/>
          <w:kern w:val="20"/>
          <w:sz w:val="22"/>
          <w:szCs w:val="22"/>
        </w:rPr>
        <w:t>2.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 xml:space="preserve"> 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ab/>
        <w:t xml:space="preserve">změna termínu </w:t>
      </w:r>
      <w:r>
        <w:rPr>
          <w:rFonts w:ascii="Arial" w:hAnsi="Arial" w:cs="Arial"/>
          <w:b/>
          <w:bCs/>
          <w:kern w:val="20"/>
          <w:sz w:val="22"/>
          <w:szCs w:val="22"/>
        </w:rPr>
        <w:t>dokončení</w:t>
      </w:r>
      <w:r>
        <w:rPr>
          <w:rFonts w:ascii="Arial" w:hAnsi="Arial" w:cs="Arial"/>
          <w:sz w:val="22"/>
          <w:szCs w:val="22"/>
        </w:rPr>
        <w:t xml:space="preserve"> </w:t>
      </w:r>
      <w:r w:rsidRPr="00555087">
        <w:rPr>
          <w:rFonts w:ascii="Arial" w:hAnsi="Arial" w:cs="Arial"/>
          <w:sz w:val="22"/>
          <w:szCs w:val="22"/>
        </w:rPr>
        <w:t>dílčí</w:t>
      </w:r>
      <w:r w:rsidR="00B97CBC">
        <w:rPr>
          <w:rFonts w:ascii="Arial" w:hAnsi="Arial" w:cs="Arial"/>
          <w:sz w:val="22"/>
          <w:szCs w:val="22"/>
        </w:rPr>
        <w:t>ch</w:t>
      </w:r>
      <w:r w:rsidRPr="00555087">
        <w:rPr>
          <w:rFonts w:ascii="Arial" w:hAnsi="Arial" w:cs="Arial"/>
          <w:sz w:val="22"/>
          <w:szCs w:val="22"/>
        </w:rPr>
        <w:t xml:space="preserve"> část</w:t>
      </w:r>
      <w:r w:rsidR="00B97CBC">
        <w:rPr>
          <w:rFonts w:ascii="Arial" w:hAnsi="Arial" w:cs="Arial"/>
          <w:sz w:val="22"/>
          <w:szCs w:val="22"/>
        </w:rPr>
        <w:t>í</w:t>
      </w:r>
    </w:p>
    <w:p w14:paraId="07B3089C" w14:textId="77777777" w:rsidR="00976BAB" w:rsidRPr="00976BAB" w:rsidRDefault="00976BAB" w:rsidP="00976BAB">
      <w:pPr>
        <w:pStyle w:val="Textkomente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570A008E" w14:textId="526F022B" w:rsidR="00B97CBC" w:rsidRPr="00B97CBC" w:rsidRDefault="00B97CBC" w:rsidP="005E55E5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7CBC">
        <w:rPr>
          <w:rFonts w:ascii="Arial" w:hAnsi="Arial" w:cs="Arial"/>
          <w:sz w:val="22"/>
          <w:szCs w:val="22"/>
        </w:rPr>
        <w:t>Ad 1)</w:t>
      </w:r>
      <w:r w:rsidR="00791931">
        <w:rPr>
          <w:rFonts w:ascii="Arial" w:hAnsi="Arial" w:cs="Arial"/>
          <w:sz w:val="22"/>
          <w:szCs w:val="22"/>
        </w:rPr>
        <w:tab/>
      </w:r>
      <w:r w:rsidR="00791931" w:rsidRPr="00CF7988">
        <w:rPr>
          <w:rFonts w:ascii="Arial" w:hAnsi="Arial" w:cs="Arial"/>
          <w:b/>
          <w:bCs/>
          <w:sz w:val="22"/>
          <w:szCs w:val="22"/>
        </w:rPr>
        <w:t xml:space="preserve">Změna </w:t>
      </w:r>
      <w:r w:rsidR="00CF7988" w:rsidRPr="00CF7988">
        <w:rPr>
          <w:rFonts w:ascii="Arial" w:hAnsi="Arial" w:cs="Arial"/>
          <w:b/>
          <w:bCs/>
          <w:sz w:val="22"/>
          <w:szCs w:val="22"/>
        </w:rPr>
        <w:t>hodnoty závazku</w:t>
      </w:r>
      <w:r w:rsidR="00CF7988">
        <w:rPr>
          <w:rFonts w:ascii="Arial" w:hAnsi="Arial" w:cs="Arial"/>
          <w:sz w:val="22"/>
          <w:szCs w:val="22"/>
        </w:rPr>
        <w:t xml:space="preserve"> </w:t>
      </w:r>
      <w:r w:rsidR="00CF7988" w:rsidRPr="00CF7988">
        <w:rPr>
          <w:rFonts w:ascii="Arial" w:hAnsi="Arial" w:cs="Arial"/>
          <w:b/>
          <w:bCs/>
          <w:sz w:val="22"/>
          <w:szCs w:val="22"/>
        </w:rPr>
        <w:t>ze smlouvy</w:t>
      </w:r>
      <w:r w:rsidR="00CF7988">
        <w:rPr>
          <w:rFonts w:ascii="Arial" w:hAnsi="Arial" w:cs="Arial"/>
          <w:sz w:val="22"/>
          <w:szCs w:val="22"/>
        </w:rPr>
        <w:t xml:space="preserve">, ke které dochází změnou </w:t>
      </w:r>
      <w:r w:rsidR="00791931">
        <w:rPr>
          <w:rFonts w:ascii="Arial" w:hAnsi="Arial" w:cs="Arial"/>
          <w:sz w:val="22"/>
          <w:szCs w:val="22"/>
        </w:rPr>
        <w:t>počtu měrných jednotek u</w:t>
      </w:r>
      <w:r w:rsidR="00437C11">
        <w:rPr>
          <w:rFonts w:ascii="Arial" w:hAnsi="Arial" w:cs="Arial"/>
          <w:sz w:val="22"/>
          <w:szCs w:val="22"/>
        </w:rPr>
        <w:t> </w:t>
      </w:r>
      <w:r w:rsidR="00791931">
        <w:rPr>
          <w:rFonts w:ascii="Arial" w:hAnsi="Arial" w:cs="Arial"/>
          <w:sz w:val="22"/>
          <w:szCs w:val="22"/>
        </w:rPr>
        <w:t>níže uvedených dílčích částí</w:t>
      </w:r>
      <w:r w:rsidR="00437C11">
        <w:rPr>
          <w:rFonts w:ascii="Arial" w:hAnsi="Arial" w:cs="Arial"/>
          <w:sz w:val="22"/>
          <w:szCs w:val="22"/>
        </w:rPr>
        <w:t xml:space="preserve"> a hlavního celku</w:t>
      </w:r>
      <w:r w:rsidR="00CF7988">
        <w:rPr>
          <w:rFonts w:ascii="Arial" w:hAnsi="Arial" w:cs="Arial"/>
          <w:sz w:val="22"/>
          <w:szCs w:val="22"/>
        </w:rPr>
        <w:t xml:space="preserve">: </w:t>
      </w:r>
    </w:p>
    <w:p w14:paraId="7570E69C" w14:textId="77777777" w:rsidR="005E55E5" w:rsidRDefault="005E55E5" w:rsidP="005E55E5">
      <w:pPr>
        <w:pStyle w:val="Level2"/>
        <w:numPr>
          <w:ilvl w:val="0"/>
          <w:numId w:val="58"/>
        </w:numPr>
        <w:spacing w:after="0" w:line="276" w:lineRule="auto"/>
        <w:ind w:left="426" w:hanging="284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navýšení počtu MJ</w:t>
      </w:r>
      <w:r>
        <w:rPr>
          <w:rFonts w:ascii="Arial" w:hAnsi="Arial" w:cs="Arial"/>
          <w:szCs w:val="22"/>
          <w:u w:val="single"/>
        </w:rPr>
        <w:t xml:space="preserve">: </w:t>
      </w:r>
    </w:p>
    <w:p w14:paraId="074BF52C" w14:textId="747866BF" w:rsidR="005E55E5" w:rsidRPr="004010CE" w:rsidRDefault="005E55E5" w:rsidP="00FE7AA7">
      <w:pPr>
        <w:pStyle w:val="Level2"/>
        <w:numPr>
          <w:ilvl w:val="0"/>
          <w:numId w:val="59"/>
        </w:numPr>
        <w:tabs>
          <w:tab w:val="left" w:pos="567"/>
        </w:tabs>
        <w:spacing w:after="0" w:line="276" w:lineRule="auto"/>
        <w:ind w:left="1276" w:hanging="992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szCs w:val="22"/>
        </w:rPr>
        <w:t>6.2.</w:t>
      </w:r>
      <w:r w:rsidR="001A018F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="00434E01" w:rsidRPr="00434E01">
        <w:rPr>
          <w:rFonts w:ascii="Arial" w:hAnsi="Arial" w:cs="Arial"/>
          <w:szCs w:val="22"/>
        </w:rPr>
        <w:t>Podrobné měření polohopisu v obvodu KoPÚ v trvalých porostech</w:t>
      </w:r>
      <w:r>
        <w:t xml:space="preserve"> </w:t>
      </w:r>
      <w:r>
        <w:rPr>
          <w:rFonts w:ascii="Arial" w:eastAsia="Arial" w:hAnsi="Arial" w:cs="Arial"/>
        </w:rPr>
        <w:t xml:space="preserve">– původní počet </w:t>
      </w:r>
      <w:r w:rsidR="00434E01">
        <w:rPr>
          <w:rFonts w:ascii="Arial" w:eastAsia="Arial" w:hAnsi="Arial" w:cs="Arial"/>
          <w:b/>
          <w:bCs/>
        </w:rPr>
        <w:t>67</w:t>
      </w:r>
      <w:r>
        <w:rPr>
          <w:rFonts w:ascii="Arial" w:eastAsia="Arial" w:hAnsi="Arial" w:cs="Arial"/>
          <w:b/>
          <w:bCs/>
        </w:rPr>
        <w:t> MJ</w:t>
      </w:r>
      <w:r>
        <w:rPr>
          <w:rFonts w:ascii="Arial" w:eastAsia="Arial" w:hAnsi="Arial" w:cs="Arial"/>
        </w:rPr>
        <w:t xml:space="preserve"> (</w:t>
      </w:r>
      <w:r w:rsidR="00434E01">
        <w:rPr>
          <w:rFonts w:ascii="Arial" w:eastAsia="Arial" w:hAnsi="Arial" w:cs="Arial"/>
        </w:rPr>
        <w:t>ha</w:t>
      </w:r>
      <w:r>
        <w:rPr>
          <w:rFonts w:ascii="Arial" w:eastAsia="Arial" w:hAnsi="Arial" w:cs="Arial"/>
        </w:rPr>
        <w:t xml:space="preserve">) se mění na </w:t>
      </w:r>
      <w:r w:rsidR="004010CE">
        <w:rPr>
          <w:rFonts w:ascii="Arial" w:eastAsia="Arial" w:hAnsi="Arial" w:cs="Arial"/>
          <w:b/>
          <w:bCs/>
        </w:rPr>
        <w:t>92</w:t>
      </w:r>
      <w:r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</w:t>
      </w:r>
    </w:p>
    <w:p w14:paraId="151469C4" w14:textId="00743867" w:rsidR="004010CE" w:rsidRPr="00D322D4" w:rsidRDefault="004010CE" w:rsidP="004010CE">
      <w:pPr>
        <w:pStyle w:val="Level2"/>
        <w:numPr>
          <w:ilvl w:val="0"/>
          <w:numId w:val="59"/>
        </w:numPr>
        <w:tabs>
          <w:tab w:val="left" w:pos="567"/>
        </w:tabs>
        <w:spacing w:after="0" w:line="276" w:lineRule="auto"/>
        <w:ind w:left="1276" w:hanging="992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eastAsia="Arial" w:hAnsi="Arial" w:cs="Arial"/>
        </w:rPr>
        <w:t>6.2.</w:t>
      </w:r>
      <w:r w:rsidR="00D322D4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ab/>
      </w:r>
      <w:r w:rsidR="00D322D4" w:rsidRPr="00D322D4">
        <w:rPr>
          <w:rFonts w:ascii="Arial" w:eastAsia="Arial" w:hAnsi="Arial" w:cs="Arial"/>
        </w:rPr>
        <w:t>Zjišťování hranic pozemků neřešených dle § 2 Zákona</w:t>
      </w:r>
      <w:r w:rsidR="00FE7AA7">
        <w:rPr>
          <w:rFonts w:ascii="Arial" w:eastAsia="Arial" w:hAnsi="Arial" w:cs="Arial"/>
        </w:rPr>
        <w:t xml:space="preserve"> – původní počet </w:t>
      </w:r>
      <w:r w:rsidR="00D322D4">
        <w:rPr>
          <w:rFonts w:ascii="Arial" w:eastAsia="Arial" w:hAnsi="Arial" w:cs="Arial"/>
          <w:b/>
          <w:bCs/>
        </w:rPr>
        <w:t>9</w:t>
      </w:r>
      <w:r w:rsidR="00FE7AA7">
        <w:rPr>
          <w:rFonts w:ascii="Arial" w:eastAsia="Arial" w:hAnsi="Arial" w:cs="Arial"/>
          <w:b/>
          <w:bCs/>
        </w:rPr>
        <w:t> MJ</w:t>
      </w:r>
      <w:r w:rsidR="00FE7AA7">
        <w:rPr>
          <w:rFonts w:ascii="Arial" w:eastAsia="Arial" w:hAnsi="Arial" w:cs="Arial"/>
        </w:rPr>
        <w:t xml:space="preserve"> (</w:t>
      </w:r>
      <w:r w:rsidR="00D322D4">
        <w:rPr>
          <w:rFonts w:ascii="Arial" w:eastAsia="Arial" w:hAnsi="Arial" w:cs="Arial"/>
        </w:rPr>
        <w:t>100 bm</w:t>
      </w:r>
      <w:r w:rsidR="00FE7AA7">
        <w:rPr>
          <w:rFonts w:ascii="Arial" w:eastAsia="Arial" w:hAnsi="Arial" w:cs="Arial"/>
        </w:rPr>
        <w:t xml:space="preserve">) se mění na </w:t>
      </w:r>
      <w:r w:rsidR="00D322D4">
        <w:rPr>
          <w:rFonts w:ascii="Arial" w:eastAsia="Arial" w:hAnsi="Arial" w:cs="Arial"/>
          <w:b/>
          <w:bCs/>
        </w:rPr>
        <w:t>60</w:t>
      </w:r>
      <w:r w:rsidR="00FE7AA7">
        <w:rPr>
          <w:rFonts w:ascii="Arial" w:eastAsia="Arial" w:hAnsi="Arial" w:cs="Arial"/>
          <w:b/>
          <w:bCs/>
        </w:rPr>
        <w:t xml:space="preserve"> MJ</w:t>
      </w:r>
    </w:p>
    <w:p w14:paraId="0FFD6C89" w14:textId="516D34FD" w:rsidR="00D322D4" w:rsidRPr="00A644B6" w:rsidRDefault="00D322D4" w:rsidP="004010CE">
      <w:pPr>
        <w:pStyle w:val="Level2"/>
        <w:numPr>
          <w:ilvl w:val="0"/>
          <w:numId w:val="59"/>
        </w:numPr>
        <w:tabs>
          <w:tab w:val="left" w:pos="567"/>
        </w:tabs>
        <w:spacing w:after="0" w:line="276" w:lineRule="auto"/>
        <w:ind w:left="1276" w:hanging="992"/>
        <w:jc w:val="both"/>
        <w:rPr>
          <w:rFonts w:ascii="Arial" w:hAnsi="Arial" w:cs="Arial"/>
          <w:b/>
          <w:bCs/>
          <w:szCs w:val="22"/>
          <w:u w:val="single"/>
        </w:rPr>
      </w:pPr>
      <w:r w:rsidRPr="00A644B6">
        <w:rPr>
          <w:rFonts w:ascii="Arial" w:eastAsia="Arial" w:hAnsi="Arial" w:cs="Arial"/>
        </w:rPr>
        <w:t>6.2.7</w:t>
      </w:r>
      <w:r w:rsidRPr="00A644B6">
        <w:rPr>
          <w:rFonts w:ascii="Arial" w:eastAsia="Arial" w:hAnsi="Arial" w:cs="Arial"/>
        </w:rPr>
        <w:tab/>
      </w:r>
      <w:r w:rsidR="00A644B6" w:rsidRPr="00A644B6">
        <w:rPr>
          <w:rFonts w:ascii="Arial" w:eastAsia="Arial" w:hAnsi="Arial" w:cs="Arial"/>
        </w:rPr>
        <w:t>Rozbor současného stavu</w:t>
      </w:r>
      <w:r w:rsidR="00A644B6">
        <w:rPr>
          <w:rFonts w:ascii="Arial" w:eastAsia="Arial" w:hAnsi="Arial" w:cs="Arial"/>
          <w:b/>
          <w:bCs/>
        </w:rPr>
        <w:t xml:space="preserve"> </w:t>
      </w:r>
      <w:r w:rsidR="00A644B6">
        <w:rPr>
          <w:rFonts w:ascii="Arial" w:eastAsia="Arial" w:hAnsi="Arial" w:cs="Arial"/>
        </w:rPr>
        <w:t xml:space="preserve">– původní počet </w:t>
      </w:r>
      <w:r w:rsidR="00A644B6">
        <w:rPr>
          <w:rFonts w:ascii="Arial" w:eastAsia="Arial" w:hAnsi="Arial" w:cs="Arial"/>
          <w:b/>
          <w:bCs/>
        </w:rPr>
        <w:t>509 MJ</w:t>
      </w:r>
      <w:r w:rsidR="00A644B6">
        <w:rPr>
          <w:rFonts w:ascii="Arial" w:eastAsia="Arial" w:hAnsi="Arial" w:cs="Arial"/>
        </w:rPr>
        <w:t xml:space="preserve"> (ha) se mění na </w:t>
      </w:r>
      <w:r w:rsidR="00A644B6">
        <w:rPr>
          <w:rFonts w:ascii="Arial" w:eastAsia="Arial" w:hAnsi="Arial" w:cs="Arial"/>
          <w:b/>
          <w:bCs/>
        </w:rPr>
        <w:t>534 MJ</w:t>
      </w:r>
    </w:p>
    <w:p w14:paraId="5F6665A7" w14:textId="40FCE18B" w:rsidR="00A644B6" w:rsidRPr="00183701" w:rsidRDefault="00A644B6" w:rsidP="004010CE">
      <w:pPr>
        <w:pStyle w:val="Level2"/>
        <w:numPr>
          <w:ilvl w:val="0"/>
          <w:numId w:val="59"/>
        </w:numPr>
        <w:tabs>
          <w:tab w:val="left" w:pos="567"/>
        </w:tabs>
        <w:spacing w:after="0" w:line="276" w:lineRule="auto"/>
        <w:ind w:left="1276" w:hanging="992"/>
        <w:jc w:val="both"/>
        <w:rPr>
          <w:rFonts w:ascii="Arial" w:hAnsi="Arial" w:cs="Arial"/>
          <w:b/>
          <w:bCs/>
          <w:szCs w:val="22"/>
          <w:u w:val="single"/>
        </w:rPr>
      </w:pPr>
      <w:r w:rsidRPr="00183701">
        <w:rPr>
          <w:rFonts w:ascii="Arial" w:eastAsia="Arial" w:hAnsi="Arial" w:cs="Arial"/>
        </w:rPr>
        <w:t>6.2.8</w:t>
      </w:r>
      <w:r>
        <w:rPr>
          <w:rFonts w:ascii="Arial" w:eastAsia="Arial" w:hAnsi="Arial" w:cs="Arial"/>
          <w:b/>
          <w:bCs/>
        </w:rPr>
        <w:tab/>
      </w:r>
      <w:r w:rsidR="00183701" w:rsidRPr="00183701">
        <w:rPr>
          <w:rFonts w:ascii="Arial" w:eastAsia="Arial" w:hAnsi="Arial" w:cs="Arial"/>
        </w:rPr>
        <w:t>Dokumentace k soupisu nároků vlastníků pozemků</w:t>
      </w:r>
      <w:r w:rsidR="00183701">
        <w:rPr>
          <w:rFonts w:ascii="Arial" w:eastAsia="Arial" w:hAnsi="Arial" w:cs="Arial"/>
          <w:b/>
          <w:bCs/>
        </w:rPr>
        <w:t xml:space="preserve"> </w:t>
      </w:r>
      <w:r w:rsidR="00183701">
        <w:rPr>
          <w:rFonts w:ascii="Arial" w:eastAsia="Arial" w:hAnsi="Arial" w:cs="Arial"/>
        </w:rPr>
        <w:t xml:space="preserve">– původní počet </w:t>
      </w:r>
      <w:r w:rsidR="00183701">
        <w:rPr>
          <w:rFonts w:ascii="Arial" w:eastAsia="Arial" w:hAnsi="Arial" w:cs="Arial"/>
          <w:b/>
          <w:bCs/>
        </w:rPr>
        <w:t>509 MJ</w:t>
      </w:r>
      <w:r w:rsidR="00183701">
        <w:rPr>
          <w:rFonts w:ascii="Arial" w:eastAsia="Arial" w:hAnsi="Arial" w:cs="Arial"/>
        </w:rPr>
        <w:t xml:space="preserve"> (ha) se</w:t>
      </w:r>
      <w:r w:rsidR="00116E24">
        <w:rPr>
          <w:rFonts w:ascii="Arial" w:eastAsia="Arial" w:hAnsi="Arial" w:cs="Arial"/>
        </w:rPr>
        <w:t> </w:t>
      </w:r>
      <w:r w:rsidR="00183701">
        <w:rPr>
          <w:rFonts w:ascii="Arial" w:eastAsia="Arial" w:hAnsi="Arial" w:cs="Arial"/>
        </w:rPr>
        <w:t xml:space="preserve">mění na </w:t>
      </w:r>
      <w:r w:rsidR="00183701">
        <w:rPr>
          <w:rFonts w:ascii="Arial" w:eastAsia="Arial" w:hAnsi="Arial" w:cs="Arial"/>
          <w:b/>
          <w:bCs/>
        </w:rPr>
        <w:t>534 MJ</w:t>
      </w:r>
    </w:p>
    <w:p w14:paraId="7B65FFB8" w14:textId="214636E4" w:rsidR="00183701" w:rsidRPr="00D22D41" w:rsidRDefault="00183701" w:rsidP="004010CE">
      <w:pPr>
        <w:pStyle w:val="Level2"/>
        <w:numPr>
          <w:ilvl w:val="0"/>
          <w:numId w:val="59"/>
        </w:numPr>
        <w:tabs>
          <w:tab w:val="left" w:pos="567"/>
        </w:tabs>
        <w:spacing w:after="0" w:line="276" w:lineRule="auto"/>
        <w:ind w:left="1276" w:hanging="992"/>
        <w:jc w:val="both"/>
        <w:rPr>
          <w:rFonts w:ascii="Arial" w:hAnsi="Arial" w:cs="Arial"/>
          <w:szCs w:val="22"/>
          <w:u w:val="single"/>
        </w:rPr>
      </w:pPr>
      <w:r w:rsidRPr="00D22D41">
        <w:rPr>
          <w:rFonts w:ascii="Arial" w:eastAsia="Arial" w:hAnsi="Arial" w:cs="Arial"/>
        </w:rPr>
        <w:t>6.3.1</w:t>
      </w:r>
      <w:r w:rsidRPr="00D22D41">
        <w:rPr>
          <w:rFonts w:ascii="Arial" w:eastAsia="Arial" w:hAnsi="Arial" w:cs="Arial"/>
        </w:rPr>
        <w:tab/>
      </w:r>
      <w:r w:rsidR="00D22D41" w:rsidRPr="00D22D41">
        <w:rPr>
          <w:rFonts w:ascii="Arial" w:eastAsia="Arial" w:hAnsi="Arial" w:cs="Arial"/>
        </w:rPr>
        <w:t>Vypracování plánu společných zařízení ("PSZ")</w:t>
      </w:r>
      <w:r w:rsidR="00D22D41">
        <w:rPr>
          <w:rFonts w:ascii="Arial" w:eastAsia="Arial" w:hAnsi="Arial" w:cs="Arial"/>
        </w:rPr>
        <w:t xml:space="preserve"> – původní počet </w:t>
      </w:r>
      <w:r w:rsidR="00D22D41">
        <w:rPr>
          <w:rFonts w:ascii="Arial" w:eastAsia="Arial" w:hAnsi="Arial" w:cs="Arial"/>
          <w:b/>
          <w:bCs/>
        </w:rPr>
        <w:t>509 MJ</w:t>
      </w:r>
      <w:r w:rsidR="00D22D41">
        <w:rPr>
          <w:rFonts w:ascii="Arial" w:eastAsia="Arial" w:hAnsi="Arial" w:cs="Arial"/>
        </w:rPr>
        <w:t xml:space="preserve"> (ha) se mění na </w:t>
      </w:r>
      <w:r w:rsidR="00D22D41">
        <w:rPr>
          <w:rFonts w:ascii="Arial" w:eastAsia="Arial" w:hAnsi="Arial" w:cs="Arial"/>
          <w:b/>
          <w:bCs/>
        </w:rPr>
        <w:t>528 MJ</w:t>
      </w:r>
    </w:p>
    <w:p w14:paraId="31D1F9D6" w14:textId="534DE4C6" w:rsidR="00D22D41" w:rsidRPr="00437C11" w:rsidRDefault="00D22D41" w:rsidP="004010CE">
      <w:pPr>
        <w:pStyle w:val="Level2"/>
        <w:numPr>
          <w:ilvl w:val="0"/>
          <w:numId w:val="59"/>
        </w:numPr>
        <w:tabs>
          <w:tab w:val="left" w:pos="567"/>
        </w:tabs>
        <w:spacing w:after="0" w:line="276" w:lineRule="auto"/>
        <w:ind w:left="1276" w:hanging="992"/>
        <w:jc w:val="both"/>
        <w:rPr>
          <w:rFonts w:ascii="Arial" w:hAnsi="Arial" w:cs="Arial"/>
          <w:szCs w:val="22"/>
          <w:u w:val="single"/>
        </w:rPr>
      </w:pPr>
      <w:r>
        <w:rPr>
          <w:rFonts w:ascii="Arial" w:eastAsia="Arial" w:hAnsi="Arial" w:cs="Arial"/>
        </w:rPr>
        <w:t>6.3.2</w:t>
      </w:r>
      <w:r>
        <w:rPr>
          <w:rFonts w:ascii="Arial" w:eastAsia="Arial" w:hAnsi="Arial" w:cs="Arial"/>
        </w:rPr>
        <w:tab/>
      </w:r>
      <w:r w:rsidR="00437C11" w:rsidRPr="00437C11">
        <w:rPr>
          <w:rFonts w:ascii="Arial" w:eastAsia="Arial" w:hAnsi="Arial" w:cs="Arial"/>
        </w:rPr>
        <w:t>Vypracování návrhu nového uspořádání pozemků k jeho vystavení dle § 11 odst. 1 Zákona</w:t>
      </w:r>
      <w:r w:rsidR="00437C11">
        <w:rPr>
          <w:rFonts w:ascii="Arial" w:eastAsia="Arial" w:hAnsi="Arial" w:cs="Arial"/>
        </w:rPr>
        <w:t xml:space="preserve"> – původní počet </w:t>
      </w:r>
      <w:r w:rsidR="00437C11">
        <w:rPr>
          <w:rFonts w:ascii="Arial" w:eastAsia="Arial" w:hAnsi="Arial" w:cs="Arial"/>
          <w:b/>
          <w:bCs/>
        </w:rPr>
        <w:t>509 MJ</w:t>
      </w:r>
      <w:r w:rsidR="00437C11">
        <w:rPr>
          <w:rFonts w:ascii="Arial" w:eastAsia="Arial" w:hAnsi="Arial" w:cs="Arial"/>
        </w:rPr>
        <w:t xml:space="preserve"> (ha) se mění na </w:t>
      </w:r>
      <w:r w:rsidR="00437C11">
        <w:rPr>
          <w:rFonts w:ascii="Arial" w:eastAsia="Arial" w:hAnsi="Arial" w:cs="Arial"/>
          <w:b/>
          <w:bCs/>
        </w:rPr>
        <w:t>528 MJ</w:t>
      </w:r>
    </w:p>
    <w:p w14:paraId="79D8CF64" w14:textId="518F73B8" w:rsidR="00437C11" w:rsidRPr="00437C11" w:rsidRDefault="00437C11" w:rsidP="004010CE">
      <w:pPr>
        <w:pStyle w:val="Level2"/>
        <w:numPr>
          <w:ilvl w:val="0"/>
          <w:numId w:val="59"/>
        </w:numPr>
        <w:tabs>
          <w:tab w:val="left" w:pos="567"/>
        </w:tabs>
        <w:spacing w:after="0" w:line="276" w:lineRule="auto"/>
        <w:ind w:left="1276" w:hanging="992"/>
        <w:jc w:val="both"/>
        <w:rPr>
          <w:rFonts w:ascii="Arial" w:hAnsi="Arial" w:cs="Arial"/>
          <w:szCs w:val="22"/>
          <w:u w:val="single"/>
        </w:rPr>
      </w:pPr>
      <w:r w:rsidRPr="00437C11">
        <w:rPr>
          <w:rFonts w:ascii="Arial" w:eastAsia="Arial" w:hAnsi="Arial" w:cs="Arial"/>
        </w:rPr>
        <w:t>6.4</w:t>
      </w:r>
      <w:r>
        <w:rPr>
          <w:rFonts w:ascii="Arial" w:eastAsia="Arial" w:hAnsi="Arial" w:cs="Arial"/>
        </w:rPr>
        <w:tab/>
      </w:r>
      <w:r w:rsidR="005D25C7" w:rsidRPr="005D25C7">
        <w:rPr>
          <w:rFonts w:ascii="Arial" w:eastAsia="Arial" w:hAnsi="Arial" w:cs="Arial"/>
        </w:rPr>
        <w:t>Hlavní celek 3 „Mapové dílo“</w:t>
      </w:r>
      <w:r w:rsidR="005D25C7">
        <w:rPr>
          <w:rFonts w:ascii="Arial" w:eastAsia="Arial" w:hAnsi="Arial" w:cs="Arial"/>
        </w:rPr>
        <w:t xml:space="preserve"> – původní počet </w:t>
      </w:r>
      <w:r w:rsidR="005D25C7">
        <w:rPr>
          <w:rFonts w:ascii="Arial" w:eastAsia="Arial" w:hAnsi="Arial" w:cs="Arial"/>
          <w:b/>
          <w:bCs/>
        </w:rPr>
        <w:t>509 MJ</w:t>
      </w:r>
      <w:r w:rsidR="005D25C7">
        <w:rPr>
          <w:rFonts w:ascii="Arial" w:eastAsia="Arial" w:hAnsi="Arial" w:cs="Arial"/>
        </w:rPr>
        <w:t xml:space="preserve"> (ha) se mění na </w:t>
      </w:r>
      <w:r w:rsidR="005D25C7">
        <w:rPr>
          <w:rFonts w:ascii="Arial" w:eastAsia="Arial" w:hAnsi="Arial" w:cs="Arial"/>
          <w:b/>
          <w:bCs/>
        </w:rPr>
        <w:t>534 MJ</w:t>
      </w:r>
    </w:p>
    <w:p w14:paraId="08094E43" w14:textId="77777777" w:rsidR="005E55E5" w:rsidRPr="00976BAB" w:rsidRDefault="005E55E5" w:rsidP="005E55E5">
      <w:pPr>
        <w:pStyle w:val="Level2"/>
        <w:numPr>
          <w:ilvl w:val="0"/>
          <w:numId w:val="0"/>
        </w:numPr>
        <w:spacing w:after="0"/>
        <w:ind w:left="1077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6"/>
        <w:gridCol w:w="4382"/>
        <w:gridCol w:w="633"/>
        <w:gridCol w:w="1183"/>
        <w:gridCol w:w="1303"/>
        <w:gridCol w:w="1417"/>
      </w:tblGrid>
      <w:tr w:rsidR="005E55E5" w14:paraId="643BE5B3" w14:textId="77777777" w:rsidTr="00F77125">
        <w:trPr>
          <w:trHeight w:val="9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D9D9D9"/>
          </w:tcPr>
          <w:p w14:paraId="680C196F" w14:textId="77777777" w:rsidR="005E55E5" w:rsidRDefault="005E55E5" w:rsidP="00F7712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38A0E6" w14:textId="77777777" w:rsidR="005E55E5" w:rsidRDefault="005E55E5" w:rsidP="00F77125">
            <w:pPr>
              <w:rPr>
                <w:rFonts w:ascii="Arial" w:eastAsia="Arial" w:hAnsi="Arial" w:cs="Arial"/>
                <w:b/>
                <w:bCs/>
              </w:rPr>
            </w:pPr>
          </w:p>
          <w:p w14:paraId="1E816EC6" w14:textId="77777777" w:rsidR="005E55E5" w:rsidRDefault="005E55E5" w:rsidP="00F7712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8365E3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9E8AC00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1B637A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 počtu MJ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C4133E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22F5C8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Navýšení ceny v Kč bez DPH </w:t>
            </w:r>
          </w:p>
        </w:tc>
      </w:tr>
      <w:tr w:rsidR="005E55E5" w14:paraId="55AA3C51" w14:textId="77777777" w:rsidTr="00F77125">
        <w:trPr>
          <w:trHeight w:val="359"/>
        </w:trPr>
        <w:tc>
          <w:tcPr>
            <w:tcW w:w="716" w:type="dxa"/>
            <w:shd w:val="clear" w:color="auto" w:fill="D9D9D9"/>
            <w:vAlign w:val="center"/>
          </w:tcPr>
          <w:p w14:paraId="68E80188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4382" w:type="dxa"/>
            <w:shd w:val="clear" w:color="auto" w:fill="D9D9D9"/>
            <w:vAlign w:val="center"/>
          </w:tcPr>
          <w:p w14:paraId="278FA1C3" w14:textId="77777777" w:rsidR="005E55E5" w:rsidRDefault="005E55E5" w:rsidP="00A20809">
            <w:pPr>
              <w:ind w:left="167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 práce</w:t>
            </w:r>
          </w:p>
        </w:tc>
        <w:tc>
          <w:tcPr>
            <w:tcW w:w="633" w:type="dxa"/>
            <w:shd w:val="clear" w:color="auto" w:fill="D9D9D9"/>
          </w:tcPr>
          <w:p w14:paraId="4C3D8A22" w14:textId="77777777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D9D9D9"/>
          </w:tcPr>
          <w:p w14:paraId="6FE92173" w14:textId="77777777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3" w:type="dxa"/>
            <w:shd w:val="clear" w:color="auto" w:fill="D9D9D9"/>
          </w:tcPr>
          <w:p w14:paraId="5DB53695" w14:textId="77777777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D9D9D9"/>
          </w:tcPr>
          <w:p w14:paraId="0BFBCB13" w14:textId="77777777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E55E5" w14:paraId="385C85D2" w14:textId="77777777" w:rsidTr="0005647C">
        <w:tc>
          <w:tcPr>
            <w:tcW w:w="716" w:type="dxa"/>
            <w:vAlign w:val="center"/>
          </w:tcPr>
          <w:p w14:paraId="7ED8D3E7" w14:textId="6D6AA541" w:rsidR="005E55E5" w:rsidRDefault="00475F4D" w:rsidP="00F771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6.2.2</w:t>
            </w:r>
          </w:p>
        </w:tc>
        <w:tc>
          <w:tcPr>
            <w:tcW w:w="4382" w:type="dxa"/>
            <w:vAlign w:val="center"/>
          </w:tcPr>
          <w:p w14:paraId="5F463502" w14:textId="6C9C9675" w:rsidR="005E55E5" w:rsidRDefault="00475F4D" w:rsidP="0005647C">
            <w:pPr>
              <w:spacing w:after="0"/>
              <w:ind w:left="125"/>
              <w:rPr>
                <w:rFonts w:ascii="Arial" w:eastAsia="Arial" w:hAnsi="Arial" w:cs="Arial"/>
              </w:rPr>
            </w:pPr>
            <w:r w:rsidRPr="00434E01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633" w:type="dxa"/>
            <w:vAlign w:val="center"/>
          </w:tcPr>
          <w:p w14:paraId="236C83BE" w14:textId="40E9057F" w:rsidR="005E55E5" w:rsidRDefault="00475F4D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1506C6B9" w14:textId="5A603CC0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A066AA">
              <w:rPr>
                <w:rFonts w:ascii="Arial" w:eastAsia="Arial" w:hAnsi="Arial" w:cs="Arial"/>
              </w:rPr>
              <w:t>5</w:t>
            </w:r>
          </w:p>
        </w:tc>
        <w:tc>
          <w:tcPr>
            <w:tcW w:w="1303" w:type="dxa"/>
            <w:vAlign w:val="center"/>
          </w:tcPr>
          <w:p w14:paraId="4002719C" w14:textId="7D88FD58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</w:t>
            </w:r>
            <w:r w:rsidR="00A066AA">
              <w:rPr>
                <w:rFonts w:ascii="Arial" w:eastAsia="Arial" w:hAnsi="Arial" w:cs="Arial"/>
              </w:rPr>
              <w:t>000</w:t>
            </w:r>
          </w:p>
        </w:tc>
        <w:tc>
          <w:tcPr>
            <w:tcW w:w="1417" w:type="dxa"/>
            <w:vAlign w:val="center"/>
          </w:tcPr>
          <w:p w14:paraId="38CD55AC" w14:textId="080FED95" w:rsidR="005E55E5" w:rsidRDefault="00A066AA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25 000</w:t>
            </w:r>
          </w:p>
        </w:tc>
      </w:tr>
      <w:tr w:rsidR="00475F4D" w14:paraId="3C2CE477" w14:textId="77777777" w:rsidTr="0005647C">
        <w:tc>
          <w:tcPr>
            <w:tcW w:w="716" w:type="dxa"/>
            <w:vAlign w:val="center"/>
          </w:tcPr>
          <w:p w14:paraId="0A2D5668" w14:textId="2366EBBA" w:rsidR="00475F4D" w:rsidRDefault="00A066AA" w:rsidP="00F771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6.2.5</w:t>
            </w:r>
          </w:p>
        </w:tc>
        <w:tc>
          <w:tcPr>
            <w:tcW w:w="4382" w:type="dxa"/>
            <w:vAlign w:val="center"/>
          </w:tcPr>
          <w:p w14:paraId="08589965" w14:textId="5CF0D896" w:rsidR="00475F4D" w:rsidRPr="003B2F24" w:rsidRDefault="00A066AA" w:rsidP="0005647C">
            <w:pPr>
              <w:spacing w:after="0"/>
              <w:ind w:left="125"/>
              <w:rPr>
                <w:rFonts w:ascii="Arial" w:hAnsi="Arial" w:cs="Arial"/>
              </w:rPr>
            </w:pPr>
            <w:r w:rsidRPr="00D322D4">
              <w:rPr>
                <w:rFonts w:ascii="Arial" w:eastAsia="Arial" w:hAnsi="Arial" w:cs="Arial"/>
              </w:rPr>
              <w:t>Zjišťování hranic pozemků neřešených dle § 2 Zákona</w:t>
            </w:r>
          </w:p>
        </w:tc>
        <w:tc>
          <w:tcPr>
            <w:tcW w:w="633" w:type="dxa"/>
            <w:vAlign w:val="center"/>
          </w:tcPr>
          <w:p w14:paraId="4A01615A" w14:textId="1FF5E77B" w:rsidR="00475F4D" w:rsidRDefault="00A066AA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83" w:type="dxa"/>
            <w:vAlign w:val="center"/>
          </w:tcPr>
          <w:p w14:paraId="3200933C" w14:textId="474898E6" w:rsidR="00475F4D" w:rsidRDefault="00E73CED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303" w:type="dxa"/>
            <w:vAlign w:val="center"/>
          </w:tcPr>
          <w:p w14:paraId="5B1D40F5" w14:textId="402CDD1D" w:rsidR="00475F4D" w:rsidRDefault="00E73CED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5 000</w:t>
            </w:r>
          </w:p>
        </w:tc>
        <w:tc>
          <w:tcPr>
            <w:tcW w:w="1417" w:type="dxa"/>
            <w:vAlign w:val="center"/>
          </w:tcPr>
          <w:p w14:paraId="0C51E0E2" w14:textId="7D8A171E" w:rsidR="00475F4D" w:rsidRDefault="00E73CED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255 000</w:t>
            </w:r>
          </w:p>
        </w:tc>
      </w:tr>
      <w:tr w:rsidR="00475F4D" w14:paraId="2557DBC5" w14:textId="77777777" w:rsidTr="0005647C">
        <w:tc>
          <w:tcPr>
            <w:tcW w:w="716" w:type="dxa"/>
            <w:vAlign w:val="center"/>
          </w:tcPr>
          <w:p w14:paraId="032CDB55" w14:textId="2483BE34" w:rsidR="00475F4D" w:rsidRDefault="00E73CED" w:rsidP="00F77125">
            <w:pPr>
              <w:jc w:val="both"/>
              <w:rPr>
                <w:rFonts w:ascii="Arial" w:hAnsi="Arial" w:cs="Arial"/>
              </w:rPr>
            </w:pPr>
            <w:r w:rsidRPr="00A644B6">
              <w:rPr>
                <w:rFonts w:ascii="Arial" w:eastAsia="Arial" w:hAnsi="Arial" w:cs="Arial"/>
              </w:rPr>
              <w:t>6.2.7</w:t>
            </w:r>
          </w:p>
        </w:tc>
        <w:tc>
          <w:tcPr>
            <w:tcW w:w="4382" w:type="dxa"/>
            <w:vAlign w:val="center"/>
          </w:tcPr>
          <w:p w14:paraId="6AE6FA55" w14:textId="130200E3" w:rsidR="00475F4D" w:rsidRPr="003B2F24" w:rsidRDefault="00E73CED" w:rsidP="0005647C">
            <w:pPr>
              <w:spacing w:after="0"/>
              <w:ind w:left="125"/>
              <w:rPr>
                <w:rFonts w:ascii="Arial" w:hAnsi="Arial" w:cs="Arial"/>
              </w:rPr>
            </w:pPr>
            <w:r w:rsidRPr="00A644B6">
              <w:rPr>
                <w:rFonts w:ascii="Arial" w:eastAsia="Arial" w:hAnsi="Arial" w:cs="Arial"/>
              </w:rPr>
              <w:t>Rozbor současného stavu</w:t>
            </w:r>
          </w:p>
        </w:tc>
        <w:tc>
          <w:tcPr>
            <w:tcW w:w="633" w:type="dxa"/>
            <w:vAlign w:val="center"/>
          </w:tcPr>
          <w:p w14:paraId="3A1E8066" w14:textId="7C49C8A5" w:rsidR="00475F4D" w:rsidRDefault="00E73CED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3F309AA7" w14:textId="68164F49" w:rsidR="00475F4D" w:rsidRDefault="00913376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303" w:type="dxa"/>
            <w:vAlign w:val="center"/>
          </w:tcPr>
          <w:p w14:paraId="46A9CB17" w14:textId="36774EC6" w:rsidR="00475F4D" w:rsidRDefault="00913376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1417" w:type="dxa"/>
            <w:vAlign w:val="center"/>
          </w:tcPr>
          <w:p w14:paraId="7AE103B3" w14:textId="6154B8BA" w:rsidR="00475F4D" w:rsidRDefault="00913376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7 500</w:t>
            </w:r>
          </w:p>
        </w:tc>
      </w:tr>
      <w:tr w:rsidR="00475F4D" w14:paraId="2C9D4BA3" w14:textId="77777777" w:rsidTr="0005647C">
        <w:tc>
          <w:tcPr>
            <w:tcW w:w="716" w:type="dxa"/>
            <w:vAlign w:val="center"/>
          </w:tcPr>
          <w:p w14:paraId="7B499B43" w14:textId="7D65F51A" w:rsidR="00475F4D" w:rsidRDefault="00913376" w:rsidP="00F77125">
            <w:pPr>
              <w:jc w:val="both"/>
              <w:rPr>
                <w:rFonts w:ascii="Arial" w:hAnsi="Arial" w:cs="Arial"/>
              </w:rPr>
            </w:pPr>
            <w:r w:rsidRPr="00183701">
              <w:rPr>
                <w:rFonts w:ascii="Arial" w:eastAsia="Arial" w:hAnsi="Arial" w:cs="Arial"/>
              </w:rPr>
              <w:t>6.2.8</w:t>
            </w:r>
          </w:p>
        </w:tc>
        <w:tc>
          <w:tcPr>
            <w:tcW w:w="4382" w:type="dxa"/>
            <w:vAlign w:val="center"/>
          </w:tcPr>
          <w:p w14:paraId="51D66049" w14:textId="7B358E76" w:rsidR="00475F4D" w:rsidRPr="003B2F24" w:rsidRDefault="00913376" w:rsidP="0005647C">
            <w:pPr>
              <w:spacing w:after="0"/>
              <w:ind w:left="125"/>
              <w:rPr>
                <w:rFonts w:ascii="Arial" w:hAnsi="Arial" w:cs="Arial"/>
              </w:rPr>
            </w:pPr>
            <w:r w:rsidRPr="00183701">
              <w:rPr>
                <w:rFonts w:ascii="Arial" w:eastAsia="Arial" w:hAnsi="Arial" w:cs="Arial"/>
              </w:rPr>
              <w:t>Dokumentace k soupisu nároků vlastníků pozemků</w:t>
            </w:r>
          </w:p>
        </w:tc>
        <w:tc>
          <w:tcPr>
            <w:tcW w:w="633" w:type="dxa"/>
            <w:vAlign w:val="center"/>
          </w:tcPr>
          <w:p w14:paraId="2838AF9B" w14:textId="3AD5A0DB" w:rsidR="00475F4D" w:rsidRDefault="00913376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21B5940B" w14:textId="118B3DBC" w:rsidR="00475F4D" w:rsidRDefault="003B02AF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303" w:type="dxa"/>
            <w:vAlign w:val="center"/>
          </w:tcPr>
          <w:p w14:paraId="4DFD2F74" w14:textId="2484C25C" w:rsidR="00475F4D" w:rsidRDefault="003B02AF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1417" w:type="dxa"/>
            <w:vAlign w:val="center"/>
          </w:tcPr>
          <w:p w14:paraId="05125D98" w14:textId="72B0C530" w:rsidR="00475F4D" w:rsidRDefault="003B02AF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8 750</w:t>
            </w:r>
          </w:p>
        </w:tc>
      </w:tr>
      <w:tr w:rsidR="00475F4D" w14:paraId="2B47864F" w14:textId="77777777" w:rsidTr="0005647C">
        <w:tc>
          <w:tcPr>
            <w:tcW w:w="716" w:type="dxa"/>
            <w:vAlign w:val="center"/>
          </w:tcPr>
          <w:p w14:paraId="7A3842DA" w14:textId="1087B84A" w:rsidR="00475F4D" w:rsidRDefault="003B02AF" w:rsidP="00F77125">
            <w:pPr>
              <w:jc w:val="both"/>
              <w:rPr>
                <w:rFonts w:ascii="Arial" w:hAnsi="Arial" w:cs="Arial"/>
              </w:rPr>
            </w:pPr>
            <w:r w:rsidRPr="00D22D41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4382" w:type="dxa"/>
            <w:vAlign w:val="center"/>
          </w:tcPr>
          <w:p w14:paraId="5B69ADF0" w14:textId="46EC4C23" w:rsidR="00475F4D" w:rsidRPr="003B2F24" w:rsidRDefault="003B02AF" w:rsidP="00F77125">
            <w:pPr>
              <w:ind w:left="125"/>
              <w:rPr>
                <w:rFonts w:ascii="Arial" w:hAnsi="Arial" w:cs="Arial"/>
              </w:rPr>
            </w:pPr>
            <w:r w:rsidRPr="00D22D41">
              <w:rPr>
                <w:rFonts w:ascii="Arial" w:eastAsia="Arial" w:hAnsi="Arial" w:cs="Arial"/>
              </w:rPr>
              <w:t>Vypracování plánu společných zařízení ("PSZ")</w:t>
            </w:r>
          </w:p>
        </w:tc>
        <w:tc>
          <w:tcPr>
            <w:tcW w:w="633" w:type="dxa"/>
            <w:vAlign w:val="center"/>
          </w:tcPr>
          <w:p w14:paraId="0042BD10" w14:textId="43621620" w:rsidR="00475F4D" w:rsidRDefault="003B02AF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1B5BBF5E" w14:textId="079F9F89" w:rsidR="00475F4D" w:rsidRDefault="008847DA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303" w:type="dxa"/>
            <w:vAlign w:val="center"/>
          </w:tcPr>
          <w:p w14:paraId="29C9479A" w14:textId="4A20697E" w:rsidR="00475F4D" w:rsidRDefault="008847DA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1 000</w:t>
            </w:r>
          </w:p>
        </w:tc>
        <w:tc>
          <w:tcPr>
            <w:tcW w:w="1417" w:type="dxa"/>
            <w:vAlign w:val="center"/>
          </w:tcPr>
          <w:p w14:paraId="29CCA7A1" w14:textId="2762E90D" w:rsidR="00475F4D" w:rsidRDefault="008847DA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19 000</w:t>
            </w:r>
          </w:p>
        </w:tc>
      </w:tr>
      <w:tr w:rsidR="00475F4D" w14:paraId="36F7988F" w14:textId="77777777" w:rsidTr="0005647C"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441CDA80" w14:textId="4811B32F" w:rsidR="00475F4D" w:rsidRDefault="008847DA" w:rsidP="00F771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vAlign w:val="center"/>
          </w:tcPr>
          <w:p w14:paraId="21F740DC" w14:textId="16605785" w:rsidR="00475F4D" w:rsidRPr="003B2F24" w:rsidRDefault="008847DA" w:rsidP="0005647C">
            <w:pPr>
              <w:spacing w:after="0"/>
              <w:ind w:left="125"/>
              <w:rPr>
                <w:rFonts w:ascii="Arial" w:hAnsi="Arial" w:cs="Arial"/>
              </w:rPr>
            </w:pPr>
            <w:r w:rsidRPr="00437C11">
              <w:rPr>
                <w:rFonts w:ascii="Arial" w:eastAsia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5800207" w14:textId="33DD8268" w:rsidR="00475F4D" w:rsidRDefault="008847DA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3ADA92AC" w14:textId="6B317D71" w:rsidR="00475F4D" w:rsidRDefault="008847DA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E3998F0" w14:textId="1CD8AF2A" w:rsidR="00475F4D" w:rsidRDefault="00A20809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AD21D4" w14:textId="5CABCE31" w:rsidR="00475F4D" w:rsidRDefault="00A20809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24 700</w:t>
            </w:r>
          </w:p>
        </w:tc>
      </w:tr>
      <w:tr w:rsidR="00A20809" w14:paraId="216D27E1" w14:textId="77777777" w:rsidTr="0005647C"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79E29A1A" w14:textId="5399DEC6" w:rsidR="00A20809" w:rsidRDefault="00A20809" w:rsidP="00A2080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4382" w:type="dxa"/>
            <w:shd w:val="clear" w:color="auto" w:fill="D9D9D9" w:themeFill="background1" w:themeFillShade="D9"/>
            <w:vAlign w:val="center"/>
          </w:tcPr>
          <w:p w14:paraId="053ED27B" w14:textId="1EDBD61E" w:rsidR="00A20809" w:rsidRPr="00437C11" w:rsidRDefault="00A20809" w:rsidP="00A20809">
            <w:pPr>
              <w:ind w:left="1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Mapové dílo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61D760D" w14:textId="18EA69B2" w:rsidR="00A20809" w:rsidRDefault="00A20809" w:rsidP="00A2080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4346A17F" w14:textId="13703CEA" w:rsidR="00A20809" w:rsidRDefault="00AF12B9" w:rsidP="00A2080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07AE57A3" w14:textId="45AEAACC" w:rsidR="00A20809" w:rsidRDefault="00AF12B9" w:rsidP="00A2080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664BB2B" w14:textId="2B80F197" w:rsidR="00A20809" w:rsidRDefault="00AF12B9" w:rsidP="00A2080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8 750</w:t>
            </w:r>
          </w:p>
        </w:tc>
      </w:tr>
    </w:tbl>
    <w:p w14:paraId="2D7639AE" w14:textId="77777777" w:rsidR="00976BAB" w:rsidRDefault="00976BAB" w:rsidP="005E55E5">
      <w:pPr>
        <w:rPr>
          <w:rFonts w:ascii="Arial" w:hAnsi="Arial" w:cs="Arial"/>
        </w:rPr>
      </w:pPr>
    </w:p>
    <w:p w14:paraId="565E2F7B" w14:textId="38FF1931" w:rsidR="005E55E5" w:rsidRDefault="005E55E5" w:rsidP="005E55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Hodnota změn činí </w:t>
      </w:r>
      <w:r w:rsidR="00976BAB">
        <w:rPr>
          <w:rFonts w:ascii="Arial" w:hAnsi="Arial" w:cs="Arial"/>
        </w:rPr>
        <w:t>348 700</w:t>
      </w:r>
      <w:r>
        <w:rPr>
          <w:rFonts w:ascii="Arial" w:hAnsi="Arial" w:cs="Arial"/>
        </w:rPr>
        <w:t xml:space="preserve"> Kč bez DPH, o tuto částku bude celková cena díla navýšena. </w:t>
      </w:r>
    </w:p>
    <w:p w14:paraId="76506662" w14:textId="77777777" w:rsidR="005E55E5" w:rsidRDefault="005E55E5" w:rsidP="005E55E5">
      <w:pPr>
        <w:pStyle w:val="Odstavecseseznamem"/>
        <w:numPr>
          <w:ilvl w:val="0"/>
          <w:numId w:val="58"/>
        </w:numPr>
        <w:spacing w:line="276" w:lineRule="auto"/>
        <w:ind w:left="426" w:hanging="284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snížení počtu MJ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0574C29A" w14:textId="77853A5B" w:rsidR="005E55E5" w:rsidRDefault="005E55E5" w:rsidP="00085B7B">
      <w:pPr>
        <w:pStyle w:val="Odstavecseseznamem"/>
        <w:numPr>
          <w:ilvl w:val="0"/>
          <w:numId w:val="60"/>
        </w:numPr>
        <w:tabs>
          <w:tab w:val="left" w:pos="567"/>
        </w:tabs>
        <w:spacing w:line="276" w:lineRule="auto"/>
        <w:ind w:left="1276" w:hanging="992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 xml:space="preserve">6.2.4 </w:t>
      </w:r>
      <w:r>
        <w:rPr>
          <w:rFonts w:ascii="Arial" w:eastAsia="Arial" w:hAnsi="Arial" w:cs="Arial"/>
        </w:rPr>
        <w:tab/>
      </w:r>
      <w:r w:rsidR="00085B7B" w:rsidRPr="00085B7B">
        <w:rPr>
          <w:rFonts w:ascii="Arial" w:eastAsia="Arial" w:hAnsi="Arial" w:cs="Arial"/>
        </w:rPr>
        <w:t>Zjišťování hranic obvodu KoPÚ, geometrické plány pro stanovení obvodu KoPÚ, předepsaná stabilizace dle vyhlášky č. 357/2013 Sb.</w:t>
      </w:r>
      <w:r>
        <w:rPr>
          <w:rFonts w:ascii="Arial" w:eastAsia="Arial" w:hAnsi="Arial" w:cs="Arial"/>
        </w:rPr>
        <w:t xml:space="preserve"> – původní počet </w:t>
      </w:r>
      <w:r w:rsidR="00BE7435">
        <w:rPr>
          <w:rFonts w:ascii="Arial" w:eastAsia="Arial" w:hAnsi="Arial" w:cs="Arial"/>
          <w:b/>
          <w:bCs/>
        </w:rPr>
        <w:t>174</w:t>
      </w:r>
      <w:r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(100 bm) se mění na </w:t>
      </w:r>
      <w:r w:rsidR="00BE7435">
        <w:rPr>
          <w:rFonts w:ascii="Arial" w:eastAsia="Arial" w:hAnsi="Arial" w:cs="Arial"/>
          <w:b/>
          <w:bCs/>
        </w:rPr>
        <w:t>160</w:t>
      </w:r>
      <w:r>
        <w:rPr>
          <w:rFonts w:ascii="Arial" w:eastAsia="Arial" w:hAnsi="Arial" w:cs="Arial"/>
          <w:b/>
          <w:bCs/>
        </w:rPr>
        <w:t> MJ</w:t>
      </w: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6"/>
        <w:gridCol w:w="4308"/>
        <w:gridCol w:w="638"/>
        <w:gridCol w:w="1196"/>
        <w:gridCol w:w="1259"/>
        <w:gridCol w:w="1403"/>
      </w:tblGrid>
      <w:tr w:rsidR="005E55E5" w14:paraId="5918549A" w14:textId="77777777" w:rsidTr="00BE7435">
        <w:trPr>
          <w:trHeight w:val="91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D9D9D9"/>
          </w:tcPr>
          <w:p w14:paraId="7FE257A3" w14:textId="77777777" w:rsidR="005E55E5" w:rsidRDefault="005E55E5" w:rsidP="00F7712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08" w:type="dxa"/>
            <w:tcBorders>
              <w:bottom w:val="single" w:sz="4" w:space="0" w:color="auto"/>
            </w:tcBorders>
            <w:shd w:val="clear" w:color="auto" w:fill="D9D9D9"/>
          </w:tcPr>
          <w:p w14:paraId="29490D71" w14:textId="77777777" w:rsidR="005E55E5" w:rsidRDefault="005E55E5" w:rsidP="00F77125">
            <w:pPr>
              <w:rPr>
                <w:rFonts w:ascii="Arial" w:eastAsia="Arial" w:hAnsi="Arial" w:cs="Arial"/>
                <w:b/>
                <w:bCs/>
              </w:rPr>
            </w:pPr>
          </w:p>
          <w:p w14:paraId="729570F4" w14:textId="77777777" w:rsidR="005E55E5" w:rsidRDefault="005E55E5" w:rsidP="00F7712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D9D9D9"/>
          </w:tcPr>
          <w:p w14:paraId="6A1B36BA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10F619A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D9D9D9"/>
          </w:tcPr>
          <w:p w14:paraId="3620173B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/>
          </w:tcPr>
          <w:p w14:paraId="0827F473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D9D9D9"/>
          </w:tcPr>
          <w:p w14:paraId="7FD99439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5E55E5" w14:paraId="3284A3D5" w14:textId="77777777" w:rsidTr="00BE7435">
        <w:trPr>
          <w:trHeight w:val="359"/>
        </w:trPr>
        <w:tc>
          <w:tcPr>
            <w:tcW w:w="706" w:type="dxa"/>
            <w:shd w:val="clear" w:color="auto" w:fill="D9D9D9"/>
            <w:vAlign w:val="center"/>
          </w:tcPr>
          <w:p w14:paraId="15728891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4308" w:type="dxa"/>
            <w:shd w:val="clear" w:color="auto" w:fill="D9D9D9"/>
            <w:vAlign w:val="center"/>
          </w:tcPr>
          <w:p w14:paraId="65EDD660" w14:textId="77777777" w:rsidR="005E55E5" w:rsidRDefault="005E55E5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 práce</w:t>
            </w:r>
          </w:p>
        </w:tc>
        <w:tc>
          <w:tcPr>
            <w:tcW w:w="638" w:type="dxa"/>
            <w:shd w:val="clear" w:color="auto" w:fill="D9D9D9"/>
          </w:tcPr>
          <w:p w14:paraId="70460773" w14:textId="77777777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6" w:type="dxa"/>
            <w:shd w:val="clear" w:color="auto" w:fill="D9D9D9"/>
          </w:tcPr>
          <w:p w14:paraId="4998BA2B" w14:textId="77777777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9" w:type="dxa"/>
            <w:shd w:val="clear" w:color="auto" w:fill="D9D9D9"/>
          </w:tcPr>
          <w:p w14:paraId="032AD2F9" w14:textId="77777777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shd w:val="clear" w:color="auto" w:fill="D9D9D9"/>
          </w:tcPr>
          <w:p w14:paraId="1CEC5BA6" w14:textId="77777777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E55E5" w14:paraId="0DCB2428" w14:textId="77777777" w:rsidTr="00BE7435">
        <w:tc>
          <w:tcPr>
            <w:tcW w:w="706" w:type="dxa"/>
          </w:tcPr>
          <w:p w14:paraId="258DF986" w14:textId="77777777" w:rsidR="005E55E5" w:rsidRDefault="005E55E5" w:rsidP="00F771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6.2.4</w:t>
            </w:r>
          </w:p>
        </w:tc>
        <w:tc>
          <w:tcPr>
            <w:tcW w:w="4308" w:type="dxa"/>
          </w:tcPr>
          <w:p w14:paraId="52AA46AC" w14:textId="76DE5C97" w:rsidR="005E55E5" w:rsidRDefault="00ED22C6" w:rsidP="00F77125">
            <w:pPr>
              <w:ind w:left="155"/>
              <w:rPr>
                <w:rFonts w:ascii="Arial" w:eastAsia="Arial" w:hAnsi="Arial" w:cs="Arial"/>
              </w:rPr>
            </w:pPr>
            <w:r w:rsidRPr="00085B7B">
              <w:rPr>
                <w:rFonts w:ascii="Arial" w:eastAsia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38" w:type="dxa"/>
            <w:vAlign w:val="center"/>
          </w:tcPr>
          <w:p w14:paraId="696608C7" w14:textId="77777777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96" w:type="dxa"/>
            <w:vAlign w:val="center"/>
          </w:tcPr>
          <w:p w14:paraId="0A6BA166" w14:textId="352FC040" w:rsidR="005E55E5" w:rsidRDefault="00ED22C6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259" w:type="dxa"/>
            <w:vAlign w:val="center"/>
          </w:tcPr>
          <w:p w14:paraId="5E1B7722" w14:textId="2F2126A3" w:rsidR="005E55E5" w:rsidRDefault="005E55E5" w:rsidP="00F771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</w:t>
            </w:r>
            <w:r w:rsidR="00ED22C6">
              <w:rPr>
                <w:rFonts w:ascii="Arial" w:eastAsia="Arial" w:hAnsi="Arial" w:cs="Arial"/>
              </w:rPr>
              <w:t>500</w:t>
            </w:r>
          </w:p>
        </w:tc>
        <w:tc>
          <w:tcPr>
            <w:tcW w:w="1403" w:type="dxa"/>
            <w:vAlign w:val="center"/>
          </w:tcPr>
          <w:p w14:paraId="5EB62C37" w14:textId="16637A09" w:rsidR="005E55E5" w:rsidRDefault="00787EAB" w:rsidP="00F7712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35 000</w:t>
            </w:r>
          </w:p>
        </w:tc>
      </w:tr>
    </w:tbl>
    <w:p w14:paraId="04991B93" w14:textId="77777777" w:rsidR="005E55E5" w:rsidRDefault="005E55E5" w:rsidP="005E55E5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00C3919A" w14:textId="7CA0EC10" w:rsidR="005E55E5" w:rsidRDefault="005E55E5" w:rsidP="005E55E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Hodnota změn činí </w:t>
      </w:r>
      <w:r w:rsidR="00787EAB">
        <w:rPr>
          <w:rFonts w:ascii="Arial" w:hAnsi="Arial" w:cs="Arial"/>
        </w:rPr>
        <w:t>35 000</w:t>
      </w:r>
      <w:r>
        <w:rPr>
          <w:rFonts w:ascii="Arial" w:hAnsi="Arial" w:cs="Arial"/>
        </w:rPr>
        <w:t xml:space="preserve"> Kč bez DPH, o tuto částku bude celková cena díla snížena.</w:t>
      </w:r>
    </w:p>
    <w:p w14:paraId="69B56116" w14:textId="77777777" w:rsidR="005E55E5" w:rsidRDefault="005E55E5" w:rsidP="005E55E5">
      <w:pPr>
        <w:spacing w:after="0"/>
        <w:rPr>
          <w:rFonts w:ascii="Arial" w:hAnsi="Arial" w:cs="Arial"/>
          <w:b/>
          <w:bCs/>
        </w:rPr>
      </w:pPr>
    </w:p>
    <w:p w14:paraId="6E5A8645" w14:textId="62B07132" w:rsidR="005E55E5" w:rsidRDefault="005E55E5" w:rsidP="005E55E5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všech změnách </w:t>
      </w:r>
      <w:r w:rsidR="00787EAB">
        <w:rPr>
          <w:rFonts w:ascii="Arial" w:hAnsi="Arial" w:cs="Arial"/>
          <w:b/>
          <w:bCs/>
        </w:rPr>
        <w:t>navýší</w:t>
      </w:r>
      <w:r>
        <w:rPr>
          <w:rFonts w:ascii="Arial" w:hAnsi="Arial" w:cs="Arial"/>
          <w:b/>
          <w:bCs/>
        </w:rPr>
        <w:t xml:space="preserve"> o </w:t>
      </w:r>
      <w:r w:rsidR="00787EAB">
        <w:rPr>
          <w:rFonts w:ascii="Arial" w:hAnsi="Arial" w:cs="Arial"/>
          <w:b/>
          <w:bCs/>
        </w:rPr>
        <w:t>313 700</w:t>
      </w:r>
      <w:r w:rsidRPr="00AA3F7B">
        <w:rPr>
          <w:rFonts w:ascii="Arial" w:hAnsi="Arial" w:cs="Arial"/>
          <w:b/>
          <w:bCs/>
        </w:rPr>
        <w:t xml:space="preserve"> Kč bez DPH.</w:t>
      </w:r>
    </w:p>
    <w:p w14:paraId="21DE0559" w14:textId="77777777" w:rsidR="005E55E5" w:rsidRDefault="005E55E5" w:rsidP="005E55E5">
      <w:pPr>
        <w:spacing w:after="0"/>
        <w:rPr>
          <w:rFonts w:ascii="Arial" w:hAnsi="Arial" w:cs="Arial"/>
          <w:lang w:val="fr-FR"/>
        </w:rPr>
      </w:pPr>
    </w:p>
    <w:p w14:paraId="16E1FCD8" w14:textId="77777777" w:rsidR="00D03845" w:rsidRPr="00D97086" w:rsidRDefault="00D03845" w:rsidP="00D03845">
      <w:pPr>
        <w:rPr>
          <w:rFonts w:ascii="Arial" w:hAnsi="Arial" w:cs="Arial"/>
          <w:b/>
          <w:bCs/>
          <w:u w:val="single"/>
        </w:rPr>
      </w:pPr>
      <w:r w:rsidRPr="00D97086">
        <w:rPr>
          <w:rFonts w:ascii="Arial" w:hAnsi="Arial" w:cs="Arial"/>
          <w:b/>
          <w:bCs/>
          <w:u w:val="single"/>
        </w:rPr>
        <w:t>Odůvodnění:</w:t>
      </w:r>
    </w:p>
    <w:p w14:paraId="51A43C4D" w14:textId="367BC732" w:rsidR="00D20B01" w:rsidRPr="00822159" w:rsidRDefault="00D20B01" w:rsidP="00822159">
      <w:pPr>
        <w:spacing w:after="0"/>
        <w:jc w:val="both"/>
        <w:rPr>
          <w:rFonts w:ascii="Arial" w:eastAsia="Arial" w:hAnsi="Arial" w:cs="Arial"/>
        </w:rPr>
      </w:pPr>
      <w:r w:rsidRPr="00822159">
        <w:rPr>
          <w:rFonts w:ascii="Arial" w:eastAsia="Arial" w:hAnsi="Arial" w:cs="Arial"/>
        </w:rPr>
        <w:t xml:space="preserve">Změna počtu měrných jednotek </w:t>
      </w:r>
      <w:r w:rsidRPr="00D20B01">
        <w:rPr>
          <w:rFonts w:ascii="Arial" w:eastAsia="Arial" w:hAnsi="Arial" w:cs="Arial"/>
        </w:rPr>
        <w:t>souvisí se změnou obvodu komplexní pozemkové úpravy v k.ú Opatovice u Hranic. Po</w:t>
      </w:r>
      <w:r w:rsidRPr="00822159">
        <w:rPr>
          <w:rFonts w:ascii="Arial" w:eastAsia="Arial" w:hAnsi="Arial" w:cs="Arial"/>
        </w:rPr>
        <w:t xml:space="preserve"> </w:t>
      </w:r>
      <w:r w:rsidRPr="00D20B01">
        <w:rPr>
          <w:rFonts w:ascii="Arial" w:eastAsia="Arial" w:hAnsi="Arial" w:cs="Arial"/>
        </w:rPr>
        <w:t>zaměření skutečného stavu z</w:t>
      </w:r>
      <w:r w:rsidR="002B79CA">
        <w:rPr>
          <w:rFonts w:ascii="Arial" w:eastAsia="Arial" w:hAnsi="Arial" w:cs="Arial"/>
        </w:rPr>
        <w:t>hotovitelem</w:t>
      </w:r>
      <w:r w:rsidRPr="00D20B01">
        <w:rPr>
          <w:rFonts w:ascii="Arial" w:eastAsia="Arial" w:hAnsi="Arial" w:cs="Arial"/>
        </w:rPr>
        <w:t xml:space="preserve"> bylo zjištěno, že katastrální mapa (KMD) vykazuje značný</w:t>
      </w:r>
      <w:r w:rsidRPr="00822159">
        <w:rPr>
          <w:rFonts w:ascii="Arial" w:eastAsia="Arial" w:hAnsi="Arial" w:cs="Arial"/>
        </w:rPr>
        <w:t xml:space="preserve"> </w:t>
      </w:r>
      <w:r w:rsidRPr="00D20B01">
        <w:rPr>
          <w:rFonts w:ascii="Arial" w:eastAsia="Arial" w:hAnsi="Arial" w:cs="Arial"/>
        </w:rPr>
        <w:t xml:space="preserve">posun, místy až 10 m, </w:t>
      </w:r>
      <w:r w:rsidR="00822159" w:rsidRPr="00822159">
        <w:rPr>
          <w:rFonts w:ascii="Arial" w:eastAsia="Arial" w:hAnsi="Arial" w:cs="Arial"/>
        </w:rPr>
        <w:t>o</w:t>
      </w:r>
      <w:r w:rsidRPr="00D20B01">
        <w:rPr>
          <w:rFonts w:ascii="Arial" w:eastAsia="Arial" w:hAnsi="Arial" w:cs="Arial"/>
        </w:rPr>
        <w:t>proti skutečnosti. Tento posun vznikl historicky již při vyhotovení mapy</w:t>
      </w:r>
      <w:r w:rsidR="00822159" w:rsidRPr="00822159">
        <w:rPr>
          <w:rFonts w:ascii="Arial" w:eastAsia="Arial" w:hAnsi="Arial" w:cs="Arial"/>
        </w:rPr>
        <w:t xml:space="preserve"> </w:t>
      </w:r>
      <w:r w:rsidRPr="00D20B01">
        <w:rPr>
          <w:rFonts w:ascii="Arial" w:eastAsia="Arial" w:hAnsi="Arial" w:cs="Arial"/>
        </w:rPr>
        <w:t>stabilního katastru. Zavedení dvojích souřadnic na obvodu KoPÚ by neřešilo problém při vyhotovení</w:t>
      </w:r>
      <w:r w:rsidR="00822159" w:rsidRPr="00822159">
        <w:rPr>
          <w:rFonts w:ascii="Arial" w:eastAsia="Arial" w:hAnsi="Arial" w:cs="Arial"/>
        </w:rPr>
        <w:t xml:space="preserve"> </w:t>
      </w:r>
      <w:r w:rsidRPr="00D20B01">
        <w:rPr>
          <w:rFonts w:ascii="Arial" w:eastAsia="Arial" w:hAnsi="Arial" w:cs="Arial"/>
        </w:rPr>
        <w:t xml:space="preserve">nárokových listů a dalších etap. KoPÚ by </w:t>
      </w:r>
      <w:r w:rsidR="00822159" w:rsidRPr="00822159">
        <w:rPr>
          <w:rFonts w:ascii="Arial" w:eastAsia="Arial" w:hAnsi="Arial" w:cs="Arial"/>
        </w:rPr>
        <w:t xml:space="preserve">nebyly </w:t>
      </w:r>
      <w:r w:rsidRPr="00D20B01">
        <w:rPr>
          <w:rFonts w:ascii="Arial" w:eastAsia="Arial" w:hAnsi="Arial" w:cs="Arial"/>
        </w:rPr>
        <w:t>dokonč</w:t>
      </w:r>
      <w:r w:rsidR="00822159" w:rsidRPr="00822159">
        <w:rPr>
          <w:rFonts w:ascii="Arial" w:eastAsia="Arial" w:hAnsi="Arial" w:cs="Arial"/>
        </w:rPr>
        <w:t>eny</w:t>
      </w:r>
      <w:r w:rsidRPr="00D20B01">
        <w:rPr>
          <w:rFonts w:ascii="Arial" w:eastAsia="Arial" w:hAnsi="Arial" w:cs="Arial"/>
        </w:rPr>
        <w:t xml:space="preserve"> dle platné legislativy.</w:t>
      </w:r>
    </w:p>
    <w:p w14:paraId="1FDE2AF6" w14:textId="77777777" w:rsidR="00822159" w:rsidRPr="00D20B01" w:rsidRDefault="00822159" w:rsidP="00822159">
      <w:pPr>
        <w:spacing w:after="0"/>
        <w:jc w:val="both"/>
        <w:rPr>
          <w:rFonts w:ascii="Arial" w:eastAsia="Arial" w:hAnsi="Arial" w:cs="Arial"/>
        </w:rPr>
      </w:pPr>
    </w:p>
    <w:p w14:paraId="78F46EE2" w14:textId="341E30A9" w:rsidR="00D20B01" w:rsidRPr="00822159" w:rsidRDefault="00571B2D" w:rsidP="00822159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Zjištěný stav bude </w:t>
      </w:r>
      <w:r w:rsidR="00D20B01" w:rsidRPr="00D20B01">
        <w:rPr>
          <w:rFonts w:ascii="Arial" w:eastAsia="Arial" w:hAnsi="Arial" w:cs="Arial"/>
        </w:rPr>
        <w:t>řeš</w:t>
      </w:r>
      <w:r>
        <w:rPr>
          <w:rFonts w:ascii="Arial" w:eastAsia="Arial" w:hAnsi="Arial" w:cs="Arial"/>
        </w:rPr>
        <w:t>en</w:t>
      </w:r>
      <w:r w:rsidR="00D20B01" w:rsidRPr="00D20B01">
        <w:rPr>
          <w:rFonts w:ascii="Arial" w:eastAsia="Arial" w:hAnsi="Arial" w:cs="Arial"/>
        </w:rPr>
        <w:t xml:space="preserve"> rozšířením obvodu KoPÚ o lokalitu Nad Jabloncem a dále o lokalitu Osilná, kde by</w:t>
      </w:r>
      <w:r w:rsidR="00B66F6A">
        <w:rPr>
          <w:rFonts w:ascii="Arial" w:eastAsia="Arial" w:hAnsi="Arial" w:cs="Arial"/>
        </w:rPr>
        <w:t xml:space="preserve"> </w:t>
      </w:r>
      <w:r w:rsidR="00D20B01" w:rsidRPr="00D20B01">
        <w:rPr>
          <w:rFonts w:ascii="Arial" w:eastAsia="Arial" w:hAnsi="Arial" w:cs="Arial"/>
        </w:rPr>
        <w:t xml:space="preserve">obvod KoPÚ tvořila katastrální hranice s k.ú. Ústí. </w:t>
      </w:r>
      <w:r w:rsidR="00B97E79">
        <w:rPr>
          <w:rFonts w:ascii="Arial" w:eastAsia="Arial" w:hAnsi="Arial" w:cs="Arial"/>
        </w:rPr>
        <w:t xml:space="preserve">Bude se jednat </w:t>
      </w:r>
      <w:r w:rsidR="00D20B01" w:rsidRPr="00D20B01">
        <w:rPr>
          <w:rFonts w:ascii="Arial" w:eastAsia="Arial" w:hAnsi="Arial" w:cs="Arial"/>
        </w:rPr>
        <w:t>o pozemky (lesy s drobnou držbou),</w:t>
      </w:r>
      <w:r w:rsidR="00822159" w:rsidRPr="00822159">
        <w:rPr>
          <w:rFonts w:ascii="Arial" w:eastAsia="Arial" w:hAnsi="Arial" w:cs="Arial"/>
        </w:rPr>
        <w:t xml:space="preserve"> </w:t>
      </w:r>
      <w:r w:rsidR="00D20B01" w:rsidRPr="00D20B01">
        <w:rPr>
          <w:rFonts w:ascii="Arial" w:eastAsia="Arial" w:hAnsi="Arial" w:cs="Arial"/>
        </w:rPr>
        <w:t>které budou řešeny jako neřešené dle § 2 zákona č. 139/2002 Sb., o pozemkových úpravách a</w:t>
      </w:r>
      <w:r w:rsidR="00822159" w:rsidRPr="00822159">
        <w:rPr>
          <w:rFonts w:ascii="Arial" w:eastAsia="Arial" w:hAnsi="Arial" w:cs="Arial"/>
        </w:rPr>
        <w:t xml:space="preserve"> </w:t>
      </w:r>
      <w:r w:rsidR="00D20B01" w:rsidRPr="00822159">
        <w:rPr>
          <w:rFonts w:ascii="Arial" w:eastAsia="Arial" w:hAnsi="Arial" w:cs="Arial"/>
        </w:rPr>
        <w:t>pozemkových úřadech.</w:t>
      </w:r>
      <w:r w:rsidR="000F3EE5">
        <w:rPr>
          <w:rFonts w:ascii="Arial" w:eastAsia="Arial" w:hAnsi="Arial" w:cs="Arial"/>
        </w:rPr>
        <w:t xml:space="preserve"> Toto řešení </w:t>
      </w:r>
      <w:r w:rsidR="004305DF">
        <w:rPr>
          <w:rFonts w:ascii="Arial" w:eastAsia="Arial" w:hAnsi="Arial" w:cs="Arial"/>
        </w:rPr>
        <w:t xml:space="preserve">bylo navrženo Katastrálním úřadem pro Olomoucký kraj, Katastrálním pracovištěm Hranice. </w:t>
      </w:r>
    </w:p>
    <w:p w14:paraId="6DC95660" w14:textId="77777777" w:rsidR="00D20B01" w:rsidRDefault="00D20B01" w:rsidP="00D03845">
      <w:pPr>
        <w:spacing w:after="0"/>
        <w:rPr>
          <w:rFonts w:ascii="Arial" w:eastAsia="Arial" w:hAnsi="Arial" w:cs="Arial"/>
          <w:highlight w:val="yellow"/>
        </w:rPr>
      </w:pPr>
    </w:p>
    <w:p w14:paraId="68742D5A" w14:textId="77777777" w:rsidR="00D43393" w:rsidRDefault="00D43393" w:rsidP="00D43393">
      <w:pPr>
        <w:ind w:left="705" w:hanging="705"/>
        <w:jc w:val="both"/>
        <w:rPr>
          <w:rFonts w:ascii="Arial" w:hAnsi="Arial" w:cs="Arial"/>
        </w:rPr>
      </w:pPr>
    </w:p>
    <w:p w14:paraId="1710BF5E" w14:textId="20057DDB" w:rsidR="00D43393" w:rsidRDefault="00D43393" w:rsidP="00D43393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Ad 2)</w:t>
      </w:r>
      <w:r w:rsidRPr="00791C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116E24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dokončení</w:t>
      </w:r>
      <w:r w:rsidRPr="00AC2266">
        <w:rPr>
          <w:rFonts w:ascii="Arial" w:hAnsi="Arial" w:cs="Arial"/>
          <w:b/>
          <w:bCs/>
        </w:rPr>
        <w:t xml:space="preserve"> </w:t>
      </w:r>
      <w:r w:rsidR="00116E24" w:rsidRPr="00116E24">
        <w:rPr>
          <w:rFonts w:ascii="Arial" w:hAnsi="Arial" w:cs="Arial"/>
        </w:rPr>
        <w:t xml:space="preserve">níže uvedených </w:t>
      </w:r>
      <w:r w:rsidRPr="00116E24">
        <w:rPr>
          <w:rFonts w:ascii="Arial" w:hAnsi="Arial" w:cs="Arial"/>
        </w:rPr>
        <w:t>dílčí</w:t>
      </w:r>
      <w:r w:rsidR="00116E24" w:rsidRPr="00116E24">
        <w:rPr>
          <w:rFonts w:ascii="Arial" w:hAnsi="Arial" w:cs="Arial"/>
        </w:rPr>
        <w:t>ch</w:t>
      </w:r>
      <w:r w:rsidRPr="00116E24">
        <w:rPr>
          <w:rFonts w:ascii="Arial" w:hAnsi="Arial" w:cs="Arial"/>
        </w:rPr>
        <w:t xml:space="preserve"> část</w:t>
      </w:r>
      <w:r w:rsidR="00116E24" w:rsidRPr="00116E24">
        <w:rPr>
          <w:rFonts w:ascii="Arial" w:hAnsi="Arial" w:cs="Arial"/>
        </w:rPr>
        <w:t>í</w:t>
      </w:r>
      <w:r w:rsidR="00116E24">
        <w:rPr>
          <w:rFonts w:ascii="Arial" w:hAnsi="Arial" w:cs="Arial"/>
        </w:rPr>
        <w:t>:</w:t>
      </w:r>
      <w:r w:rsidRPr="00AC2266">
        <w:rPr>
          <w:rFonts w:ascii="Arial" w:hAnsi="Arial" w:cs="Arial"/>
          <w:b/>
          <w:bCs/>
        </w:rPr>
        <w:t xml:space="preserve">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D43393" w14:paraId="764F2201" w14:textId="77777777" w:rsidTr="00F77125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33E4" w14:textId="77777777" w:rsidR="00D43393" w:rsidRDefault="00D43393" w:rsidP="00F7712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9B40" w14:textId="77777777" w:rsidR="00D43393" w:rsidRPr="000D0486" w:rsidRDefault="00D43393" w:rsidP="00F77125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D5F8" w14:textId="77777777" w:rsidR="00D43393" w:rsidRPr="000D0486" w:rsidRDefault="00D43393" w:rsidP="00F77125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A5E44" w14:textId="77777777" w:rsidR="00D43393" w:rsidRPr="000D0486" w:rsidRDefault="00D43393" w:rsidP="00F77125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D43393" w14:paraId="784D45D6" w14:textId="77777777" w:rsidTr="00E022AA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6F42" w14:textId="2FEFFCE1" w:rsidR="00D43393" w:rsidRPr="00902FEB" w:rsidRDefault="00D43393" w:rsidP="00F77125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6.</w:t>
            </w:r>
            <w:r w:rsidR="0014633D">
              <w:rPr>
                <w:rFonts w:ascii="Arial" w:hAnsi="Arial" w:cs="Arial"/>
                <w:sz w:val="22"/>
                <w:szCs w:val="22"/>
              </w:rPr>
              <w:t>2</w:t>
            </w:r>
            <w:r w:rsidRPr="000D1125">
              <w:rPr>
                <w:rFonts w:ascii="Arial" w:hAnsi="Arial" w:cs="Arial"/>
                <w:sz w:val="22"/>
                <w:szCs w:val="22"/>
              </w:rPr>
              <w:t>.</w:t>
            </w:r>
            <w:r w:rsidR="0014633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0A3A" w14:textId="55979630" w:rsidR="00D43393" w:rsidRPr="00902FEB" w:rsidRDefault="00E022AA" w:rsidP="00F77125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22AA">
              <w:rPr>
                <w:rFonts w:ascii="Arial" w:hAnsi="Arial" w:cs="Arial"/>
                <w:sz w:val="22"/>
                <w:szCs w:val="22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FEFB" w14:textId="661976C6" w:rsidR="00D43393" w:rsidRPr="00133809" w:rsidRDefault="00E022AA" w:rsidP="00F77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F54F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 10. 2025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A797" w14:textId="2B976572" w:rsidR="00D43393" w:rsidRPr="00E022AA" w:rsidRDefault="00E022AA" w:rsidP="00F77125">
            <w:pPr>
              <w:jc w:val="center"/>
              <w:rPr>
                <w:rFonts w:ascii="Arial" w:hAnsi="Arial" w:cs="Arial"/>
                <w:b/>
                <w:bCs/>
              </w:rPr>
            </w:pPr>
            <w:r w:rsidRPr="00E022AA">
              <w:rPr>
                <w:rFonts w:ascii="Arial" w:hAnsi="Arial" w:cs="Arial"/>
                <w:b/>
                <w:bCs/>
              </w:rPr>
              <w:t>28. 2. 202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022AA" w14:paraId="63C29BBA" w14:textId="77777777" w:rsidTr="00F77125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B221" w14:textId="2F8F77C9" w:rsidR="00E022AA" w:rsidRPr="000D1125" w:rsidRDefault="00E022AA" w:rsidP="00F77125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6.2.5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6532" w14:textId="4720F2F7" w:rsidR="00E022AA" w:rsidRPr="00E022AA" w:rsidRDefault="00E022AA" w:rsidP="00F77125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22AA">
              <w:rPr>
                <w:rFonts w:ascii="Arial" w:hAnsi="Arial" w:cs="Arial"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F466" w14:textId="4F27ACAB" w:rsidR="00E022AA" w:rsidRDefault="00E022AA" w:rsidP="00F77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F54F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 10. 2025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C099" w14:textId="3D05BBA5" w:rsidR="00E022AA" w:rsidRPr="00E022AA" w:rsidRDefault="00E022AA" w:rsidP="00F77125">
            <w:pPr>
              <w:jc w:val="center"/>
              <w:rPr>
                <w:rFonts w:ascii="Arial" w:hAnsi="Arial" w:cs="Arial"/>
                <w:b/>
                <w:bCs/>
              </w:rPr>
            </w:pPr>
            <w:r w:rsidRPr="00E022AA">
              <w:rPr>
                <w:rFonts w:ascii="Arial" w:hAnsi="Arial" w:cs="Arial"/>
                <w:b/>
                <w:bCs/>
              </w:rPr>
              <w:t>28. 2. 202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477D17DB" w14:textId="77777777" w:rsidR="00D43393" w:rsidRDefault="00D43393" w:rsidP="00D43393">
      <w:pPr>
        <w:ind w:left="705" w:hanging="705"/>
        <w:rPr>
          <w:rFonts w:ascii="Arial" w:hAnsi="Arial" w:cs="Arial"/>
        </w:rPr>
      </w:pPr>
    </w:p>
    <w:p w14:paraId="0ACC8E27" w14:textId="77777777" w:rsidR="005E55E5" w:rsidRPr="00D97086" w:rsidRDefault="005E55E5" w:rsidP="005E55E5">
      <w:pPr>
        <w:rPr>
          <w:rFonts w:ascii="Arial" w:hAnsi="Arial" w:cs="Arial"/>
          <w:b/>
          <w:bCs/>
          <w:u w:val="single"/>
        </w:rPr>
      </w:pPr>
      <w:r w:rsidRPr="00D97086">
        <w:rPr>
          <w:rFonts w:ascii="Arial" w:hAnsi="Arial" w:cs="Arial"/>
          <w:b/>
          <w:bCs/>
          <w:u w:val="single"/>
        </w:rPr>
        <w:t>Odůvodnění:</w:t>
      </w:r>
    </w:p>
    <w:p w14:paraId="2611C4CB" w14:textId="1D6FEFB8" w:rsidR="005E55E5" w:rsidRDefault="001A7B44" w:rsidP="001A7B44">
      <w:pPr>
        <w:pStyle w:val="Level2"/>
        <w:numPr>
          <w:ilvl w:val="0"/>
          <w:numId w:val="0"/>
        </w:numPr>
        <w:jc w:val="both"/>
        <w:rPr>
          <w:rFonts w:ascii="Arial" w:eastAsia="Arial" w:hAnsi="Arial" w:cs="Arial"/>
          <w:szCs w:val="22"/>
        </w:rPr>
      </w:pPr>
      <w:r w:rsidRPr="001A7B44">
        <w:rPr>
          <w:rFonts w:ascii="Arial" w:eastAsia="Arial" w:hAnsi="Arial" w:cs="Arial"/>
        </w:rPr>
        <w:t>Změny termín</w:t>
      </w:r>
      <w:r>
        <w:rPr>
          <w:rFonts w:ascii="Arial" w:eastAsia="Arial" w:hAnsi="Arial" w:cs="Arial"/>
        </w:rPr>
        <w:t>ů</w:t>
      </w:r>
      <w:r w:rsidRPr="001A7B44">
        <w:rPr>
          <w:rFonts w:ascii="Arial" w:eastAsia="Arial" w:hAnsi="Arial" w:cs="Arial"/>
        </w:rPr>
        <w:t xml:space="preserve"> jsou z důvodu zvýšené časové náročnosti jednotlivých etap a přípravy nových </w:t>
      </w:r>
      <w:r w:rsidRPr="001A7B44">
        <w:rPr>
          <w:rFonts w:ascii="Arial" w:eastAsia="Arial" w:hAnsi="Arial" w:cs="Arial"/>
          <w:szCs w:val="22"/>
        </w:rPr>
        <w:t>podkladů ke zjišťování průběhu hranic souvisejících se změnou obvodu KoPÚ.</w:t>
      </w:r>
    </w:p>
    <w:p w14:paraId="48ABE185" w14:textId="77777777" w:rsidR="00E538BB" w:rsidRDefault="00E538BB" w:rsidP="006E7AAC">
      <w:pPr>
        <w:rPr>
          <w:rFonts w:ascii="Arial" w:hAnsi="Arial" w:cs="Arial"/>
        </w:rPr>
      </w:pPr>
    </w:p>
    <w:p w14:paraId="34793102" w14:textId="0A67BC35" w:rsidR="006E7AAC" w:rsidRDefault="006E7AAC" w:rsidP="006E7AAC">
      <w:pPr>
        <w:rPr>
          <w:rFonts w:ascii="Arial" w:hAnsi="Arial" w:cs="Arial"/>
          <w:bCs/>
        </w:rPr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720B3EE8" w14:textId="77777777" w:rsidR="006E7AAC" w:rsidRDefault="006E7AAC" w:rsidP="005E55E5">
      <w:pPr>
        <w:pStyle w:val="Level2"/>
        <w:numPr>
          <w:ilvl w:val="0"/>
          <w:numId w:val="0"/>
        </w:numPr>
        <w:spacing w:after="0"/>
        <w:jc w:val="both"/>
        <w:rPr>
          <w:rFonts w:ascii="Arial" w:eastAsia="Arial" w:hAnsi="Arial" w:cs="Arial"/>
          <w:szCs w:val="22"/>
        </w:rPr>
      </w:pPr>
    </w:p>
    <w:p w14:paraId="063A716F" w14:textId="77777777" w:rsidR="006E7AAC" w:rsidRDefault="006E7AAC" w:rsidP="006E7AAC">
      <w:pPr>
        <w:jc w:val="both"/>
        <w:rPr>
          <w:rFonts w:ascii="Arial" w:hAnsi="Arial" w:cs="Arial"/>
        </w:rPr>
      </w:pPr>
      <w:r w:rsidRPr="00AC0839">
        <w:rPr>
          <w:rFonts w:ascii="Arial" w:hAnsi="Arial" w:cs="Arial"/>
          <w:bCs/>
        </w:rPr>
        <w:t xml:space="preserve">Dodatek je uzavřen v souladu s ust. § 222 odst. </w:t>
      </w:r>
      <w:r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zákona č. 134/2016 Sb., o zadávání veřejných zakázek, ve znění pozdějších předpisů. </w:t>
      </w:r>
      <w:r>
        <w:rPr>
          <w:rFonts w:ascii="Arial" w:hAnsi="Arial" w:cs="Arial"/>
          <w:bCs/>
        </w:rPr>
        <w:t>Provedené z</w:t>
      </w:r>
      <w:r w:rsidRPr="00AC0839">
        <w:rPr>
          <w:rFonts w:ascii="Arial" w:hAnsi="Arial" w:cs="Arial"/>
          <w:bCs/>
        </w:rPr>
        <w:t>měny závazku</w:t>
      </w:r>
      <w:r>
        <w:rPr>
          <w:rFonts w:ascii="Arial" w:hAnsi="Arial" w:cs="Arial"/>
          <w:bCs/>
        </w:rPr>
        <w:t xml:space="preserve"> ze smlouvy</w:t>
      </w:r>
      <w:r w:rsidRPr="00AC08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jsou změnami nepodstatnými, jejichž potřeba vznikla v důsledku okolností, které zadavatel jednající s náležitou péčí nemohl předvídat a </w:t>
      </w:r>
      <w:r w:rsidRPr="00AC0839">
        <w:rPr>
          <w:rFonts w:ascii="Arial" w:hAnsi="Arial" w:cs="Arial"/>
          <w:bCs/>
        </w:rPr>
        <w:t>nemění celkovou povahu veřejné zakázky</w:t>
      </w:r>
      <w:r>
        <w:rPr>
          <w:rFonts w:ascii="Arial" w:hAnsi="Arial" w:cs="Arial"/>
          <w:bCs/>
        </w:rPr>
        <w:t>. Cenový nárůst nepřesáhne 30 % původní hodnoty závazku.</w:t>
      </w:r>
    </w:p>
    <w:p w14:paraId="73E81B26" w14:textId="77777777" w:rsidR="00E538BB" w:rsidRDefault="00E538BB" w:rsidP="005E55E5">
      <w:pPr>
        <w:spacing w:before="240" w:after="120"/>
        <w:jc w:val="center"/>
        <w:rPr>
          <w:rFonts w:ascii="Arial" w:hAnsi="Arial" w:cs="Arial"/>
          <w:b/>
        </w:rPr>
      </w:pPr>
    </w:p>
    <w:p w14:paraId="0A8E0538" w14:textId="1A56181F" w:rsidR="005E55E5" w:rsidRDefault="005E55E5" w:rsidP="005E55E5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056ADC16" w14:textId="77777777" w:rsidR="005E55E5" w:rsidRDefault="005E55E5" w:rsidP="005E55E5">
      <w:pPr>
        <w:pStyle w:val="Level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Cena díla</w:t>
      </w:r>
    </w:p>
    <w:p w14:paraId="6F89E7F2" w14:textId="77777777" w:rsidR="005E55E5" w:rsidRPr="00297859" w:rsidRDefault="005E55E5" w:rsidP="005E55E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8941259" w14:textId="32E33EAB" w:rsidR="005E55E5" w:rsidRPr="00ED6435" w:rsidRDefault="005E55E5" w:rsidP="005E55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Vzhledem k výše uvedeným změnám </w:t>
      </w:r>
      <w:r w:rsidRPr="00B273AF">
        <w:rPr>
          <w:rFonts w:ascii="Arial" w:hAnsi="Arial" w:cs="Arial"/>
          <w:b/>
          <w:bCs/>
          <w:szCs w:val="22"/>
        </w:rPr>
        <w:t>se</w:t>
      </w:r>
      <w:r>
        <w:rPr>
          <w:rFonts w:ascii="Arial" w:hAnsi="Arial" w:cs="Arial"/>
          <w:szCs w:val="22"/>
        </w:rPr>
        <w:t xml:space="preserve"> </w:t>
      </w:r>
      <w:r w:rsidRPr="00B273AF">
        <w:rPr>
          <w:rFonts w:ascii="Arial" w:hAnsi="Arial" w:cs="Arial"/>
          <w:b/>
          <w:bCs/>
          <w:szCs w:val="22"/>
        </w:rPr>
        <w:t xml:space="preserve">cena za </w:t>
      </w:r>
      <w:r w:rsidRPr="00B273AF">
        <w:rPr>
          <w:rFonts w:ascii="Arial" w:hAnsi="Arial" w:cs="Arial"/>
          <w:szCs w:val="22"/>
        </w:rPr>
        <w:t>řádné a včasné</w:t>
      </w:r>
      <w:r w:rsidRPr="00B273AF">
        <w:rPr>
          <w:rFonts w:ascii="Arial" w:hAnsi="Arial" w:cs="Arial"/>
          <w:b/>
          <w:bCs/>
          <w:szCs w:val="22"/>
        </w:rPr>
        <w:t xml:space="preserve"> provedení díla</w:t>
      </w:r>
      <w:r w:rsidRPr="00ED643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uvedená v Čl. 3 Cena díla, odst. 3.1 Smlouvy, mění takto: </w:t>
      </w:r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E55E5" w:rsidRPr="00C62699" w14:paraId="4F69B337" w14:textId="77777777" w:rsidTr="00F7712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954F" w14:textId="77777777" w:rsidR="005E55E5" w:rsidRPr="00C62699" w:rsidRDefault="005E55E5" w:rsidP="00F7712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BB48" w14:textId="2062C1C9" w:rsidR="005E55E5" w:rsidRPr="00F37196" w:rsidRDefault="00E77D2A" w:rsidP="00F7712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1 654 100</w:t>
            </w:r>
            <w:r w:rsidR="005E55E5">
              <w:rPr>
                <w:rFonts w:ascii="Arial" w:hAnsi="Arial" w:cs="Arial"/>
                <w:snapToGrid w:val="0"/>
              </w:rPr>
              <w:t>,00</w:t>
            </w:r>
            <w:r w:rsidR="005E55E5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5E55E5" w:rsidRPr="00C62699" w14:paraId="047009C6" w14:textId="77777777" w:rsidTr="00F7712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1AB3" w14:textId="77777777" w:rsidR="005E55E5" w:rsidRPr="00C62699" w:rsidRDefault="005E55E5" w:rsidP="00F7712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714" w14:textId="136D5AE3" w:rsidR="005E55E5" w:rsidRPr="00F37196" w:rsidRDefault="00E77D2A" w:rsidP="00F7712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1 475 050,00</w:t>
            </w:r>
            <w:r w:rsidR="005E55E5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5E55E5" w:rsidRPr="00C62699" w14:paraId="075971DA" w14:textId="77777777" w:rsidTr="00F7712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AA8D" w14:textId="77777777" w:rsidR="005E55E5" w:rsidRPr="00C62699" w:rsidRDefault="005E55E5" w:rsidP="00F7712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C7D8" w14:textId="695B695B" w:rsidR="005E55E5" w:rsidRPr="00F37196" w:rsidRDefault="005E55E5" w:rsidP="00F7712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F37196">
              <w:rPr>
                <w:rFonts w:ascii="Arial" w:hAnsi="Arial" w:cs="Arial"/>
              </w:rPr>
              <w:t xml:space="preserve">   </w:t>
            </w:r>
            <w:r w:rsidR="00E77D2A">
              <w:rPr>
                <w:rFonts w:ascii="Arial" w:hAnsi="Arial" w:cs="Arial"/>
              </w:rPr>
              <w:t>186 900,00</w:t>
            </w:r>
            <w:r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5E55E5" w:rsidRPr="00C62699" w14:paraId="572A84E6" w14:textId="77777777" w:rsidTr="00F7712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17D82" w14:textId="77777777" w:rsidR="005E55E5" w:rsidRPr="00C62699" w:rsidRDefault="005E55E5" w:rsidP="00F7712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E89860" w14:textId="104836C1" w:rsidR="005E55E5" w:rsidRPr="00F37196" w:rsidRDefault="00E77D2A" w:rsidP="00F7712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3 316 050,00</w:t>
            </w:r>
            <w:r w:rsidR="005E55E5"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5E55E5" w:rsidRPr="00ED6435" w14:paraId="446926F9" w14:textId="77777777" w:rsidTr="00F7712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4639" w14:textId="77777777" w:rsidR="005E55E5" w:rsidRPr="00C62699" w:rsidRDefault="005E55E5" w:rsidP="00F7712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A3F1" w14:textId="2611BE45" w:rsidR="005E55E5" w:rsidRPr="00F37196" w:rsidRDefault="005E55E5" w:rsidP="00F7712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F37196">
              <w:rPr>
                <w:rFonts w:ascii="Arial" w:hAnsi="Arial" w:cs="Arial"/>
              </w:rPr>
              <w:t xml:space="preserve">   </w:t>
            </w:r>
            <w:r w:rsidR="00E77D2A">
              <w:rPr>
                <w:rFonts w:ascii="Arial" w:hAnsi="Arial" w:cs="Arial"/>
              </w:rPr>
              <w:t>696 370,50</w:t>
            </w:r>
            <w:r w:rsidRPr="00F37196">
              <w:rPr>
                <w:rFonts w:ascii="Arial" w:hAnsi="Arial" w:cs="Arial"/>
              </w:rPr>
              <w:t xml:space="preserve"> Kč</w:t>
            </w:r>
          </w:p>
        </w:tc>
      </w:tr>
      <w:tr w:rsidR="005E55E5" w:rsidRPr="00ED6435" w14:paraId="7E623F7A" w14:textId="77777777" w:rsidTr="00F77125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8F0CE" w14:textId="77777777" w:rsidR="005E55E5" w:rsidRPr="00ED6435" w:rsidRDefault="005E55E5" w:rsidP="00F7712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0ADA37" w14:textId="29738665" w:rsidR="005E55E5" w:rsidRPr="00F37196" w:rsidRDefault="00E77D2A" w:rsidP="00F7712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4 012 420,50</w:t>
            </w:r>
            <w:r w:rsidR="005E55E5" w:rsidRPr="00F37196">
              <w:rPr>
                <w:rFonts w:ascii="Arial" w:hAnsi="Arial" w:cs="Arial"/>
              </w:rPr>
              <w:t xml:space="preserve"> Kč</w:t>
            </w:r>
          </w:p>
        </w:tc>
      </w:tr>
    </w:tbl>
    <w:p w14:paraId="1A2A20CF" w14:textId="77777777" w:rsidR="005E55E5" w:rsidRDefault="005E55E5" w:rsidP="005E55E5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>
        <w:rPr>
          <w:rFonts w:ascii="Arial" w:hAnsi="Arial" w:cs="Arial"/>
          <w:szCs w:val="22"/>
        </w:rPr>
        <w:t xml:space="preserve">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39A3B925" w14:textId="77777777" w:rsidR="00E538BB" w:rsidRDefault="00E538BB" w:rsidP="005E55E5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</w:p>
    <w:p w14:paraId="5D3977D8" w14:textId="77777777" w:rsidR="005E55E5" w:rsidRDefault="005E55E5" w:rsidP="005E55E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00B780B9" w14:textId="77777777" w:rsidR="005E55E5" w:rsidRDefault="005E55E5" w:rsidP="005E55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III.</w:t>
      </w:r>
    </w:p>
    <w:p w14:paraId="1AD1F839" w14:textId="77777777" w:rsidR="005E55E5" w:rsidRPr="00ED6435" w:rsidRDefault="005E55E5" w:rsidP="005E55E5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Závěrečná ustanovení</w:t>
      </w:r>
    </w:p>
    <w:p w14:paraId="042C7356" w14:textId="77777777" w:rsidR="005E55E5" w:rsidRPr="008A7CE1" w:rsidRDefault="005E55E5" w:rsidP="005E55E5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385153F1" w14:textId="3CA6E772" w:rsidR="005E55E5" w:rsidRDefault="005E55E5" w:rsidP="005E55E5">
      <w:pPr>
        <w:pStyle w:val="Level1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V ostatních bodech se smlouva o dílo, č. objednatele: 1</w:t>
      </w:r>
      <w:r w:rsidR="00B7192C">
        <w:rPr>
          <w:rFonts w:ascii="Arial" w:hAnsi="Arial" w:cs="Arial"/>
          <w:b w:val="0"/>
          <w:bCs w:val="0"/>
          <w:caps w:val="0"/>
          <w:snapToGrid w:val="0"/>
          <w:szCs w:val="22"/>
        </w:rPr>
        <w:t>106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-202</w:t>
      </w:r>
      <w:r w:rsidR="00B7192C">
        <w:rPr>
          <w:rFonts w:ascii="Arial" w:hAnsi="Arial" w:cs="Arial"/>
          <w:b w:val="0"/>
          <w:bCs w:val="0"/>
          <w:caps w:val="0"/>
          <w:snapToGrid w:val="0"/>
          <w:szCs w:val="22"/>
        </w:rPr>
        <w:t>4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-521101 a č. zhotovitele: </w:t>
      </w:r>
      <w:r w:rsidR="00B7192C" w:rsidRPr="00B7192C">
        <w:rPr>
          <w:rFonts w:ascii="Arial" w:hAnsi="Arial" w:cs="Arial"/>
          <w:b w:val="0"/>
          <w:bCs w:val="0"/>
          <w:caps w:val="0"/>
          <w:snapToGrid w:val="0"/>
          <w:szCs w:val="22"/>
        </w:rPr>
        <w:t>035/2024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uzavřená dne </w:t>
      </w:r>
      <w:r w:rsidR="00B7192C">
        <w:rPr>
          <w:rFonts w:ascii="Arial" w:hAnsi="Arial" w:cs="Arial"/>
          <w:b w:val="0"/>
          <w:bCs w:val="0"/>
          <w:caps w:val="0"/>
          <w:snapToGrid w:val="0"/>
          <w:szCs w:val="22"/>
        </w:rPr>
        <w:t>8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 1</w:t>
      </w:r>
      <w:r w:rsidR="00B7192C">
        <w:rPr>
          <w:rFonts w:ascii="Arial" w:hAnsi="Arial" w:cs="Arial"/>
          <w:b w:val="0"/>
          <w:bCs w:val="0"/>
          <w:caps w:val="0"/>
          <w:snapToGrid w:val="0"/>
          <w:szCs w:val="22"/>
        </w:rPr>
        <w:t>0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 202</w:t>
      </w:r>
      <w:r w:rsidR="00B7192C">
        <w:rPr>
          <w:rFonts w:ascii="Arial" w:hAnsi="Arial" w:cs="Arial"/>
          <w:b w:val="0"/>
          <w:bCs w:val="0"/>
          <w:caps w:val="0"/>
          <w:snapToGrid w:val="0"/>
          <w:szCs w:val="22"/>
        </w:rPr>
        <w:t>4</w:t>
      </w: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nemění.</w:t>
      </w:r>
    </w:p>
    <w:p w14:paraId="14F54EE5" w14:textId="642D706D" w:rsidR="00DB137C" w:rsidRDefault="005E55E5" w:rsidP="005E55E5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</w:t>
      </w:r>
      <w:r w:rsidR="00DB137C"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t</w:t>
      </w:r>
      <w:r w:rsid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ento dodatek</w:t>
      </w:r>
      <w:r w:rsidR="00374D35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, a to </w:t>
      </w:r>
      <w:r w:rsidR="00DB137C"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prostřednictvím registru smluv. Smluvní strany se dále dohodly, že t</w:t>
      </w:r>
      <w:r w:rsidR="00374D35">
        <w:rPr>
          <w:rFonts w:ascii="Arial" w:hAnsi="Arial" w:cs="Arial"/>
          <w:b w:val="0"/>
          <w:bCs w:val="0"/>
          <w:caps w:val="0"/>
          <w:snapToGrid w:val="0"/>
          <w:szCs w:val="22"/>
        </w:rPr>
        <w:t>ento dodatek z</w:t>
      </w:r>
      <w:r w:rsidR="00DB137C" w:rsidRPr="00DB137C">
        <w:rPr>
          <w:rFonts w:ascii="Arial" w:hAnsi="Arial" w:cs="Arial"/>
          <w:b w:val="0"/>
          <w:bCs w:val="0"/>
          <w:caps w:val="0"/>
          <w:snapToGrid w:val="0"/>
          <w:szCs w:val="22"/>
        </w:rPr>
        <w:t>ašle správci registru smluv k uveřejnění prostřednictvím registru smluv Objednatel.</w:t>
      </w:r>
    </w:p>
    <w:p w14:paraId="6D4AFF92" w14:textId="77777777" w:rsidR="005E55E5" w:rsidRPr="008A7CE1" w:rsidRDefault="005E55E5" w:rsidP="005E55E5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Dodatek nabývá platnosti dnem podpisu Smluvních stran a účinnosti dnem jeho uveřejnění v registru smluv dle § 6 odst. 1 ZRS. </w:t>
      </w:r>
    </w:p>
    <w:p w14:paraId="713B7DCB" w14:textId="77777777" w:rsidR="005E55E5" w:rsidRPr="008A7CE1" w:rsidRDefault="005E55E5" w:rsidP="005E55E5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Nedílnou součástí tohoto dodatku je příloha č. 1: Položkový výkaz činností.</w:t>
      </w:r>
    </w:p>
    <w:p w14:paraId="1255DB65" w14:textId="77777777" w:rsidR="005E55E5" w:rsidRDefault="005E55E5" w:rsidP="005E55E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5415E2E" w14:textId="77777777" w:rsidR="00E538BB" w:rsidRDefault="00E538BB" w:rsidP="005E55E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42C678B" w14:textId="77777777" w:rsidR="00E538BB" w:rsidRPr="008A7CE1" w:rsidRDefault="00E538BB" w:rsidP="005E55E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2CE74E8" w14:textId="77777777" w:rsidR="005E55E5" w:rsidRPr="00ED6435" w:rsidRDefault="005E55E5" w:rsidP="005E55E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>
        <w:rPr>
          <w:rFonts w:ascii="Arial" w:hAnsi="Arial" w:cs="Arial"/>
          <w:b/>
        </w:rPr>
        <w:t xml:space="preserve">ento dodatek </w:t>
      </w:r>
      <w:r w:rsidRPr="00ED6435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45679922" w14:textId="77777777" w:rsidR="005E55E5" w:rsidRPr="00ED6435" w:rsidRDefault="005E55E5" w:rsidP="005E55E5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533C9D9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F4A98">
        <w:rPr>
          <w:rFonts w:ascii="Arial" w:eastAsia="Times New Roman" w:hAnsi="Arial" w:cs="Arial"/>
          <w:b/>
          <w:lang w:eastAsia="cs-CZ"/>
        </w:rPr>
        <w:t>Horageo s.r.o.</w:t>
      </w:r>
    </w:p>
    <w:p w14:paraId="6337E4F8" w14:textId="7062CBD6" w:rsidR="00CF0412" w:rsidRPr="00CF0412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F0412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2DB552F" w14:textId="1B421F9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F0412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1F4A98">
        <w:rPr>
          <w:rFonts w:ascii="Arial" w:eastAsia="Times New Roman" w:hAnsi="Arial" w:cs="Arial"/>
          <w:bCs/>
          <w:lang w:eastAsia="cs-CZ"/>
        </w:rPr>
        <w:t xml:space="preserve"> Blansko</w:t>
      </w:r>
    </w:p>
    <w:p w14:paraId="435FBFFE" w14:textId="1B7FDDCC" w:rsidR="002B735B" w:rsidRPr="00ED6435" w:rsidRDefault="004F4DE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4511F2">
        <w:rPr>
          <w:rFonts w:ascii="Arial" w:eastAsia="Times New Roman" w:hAnsi="Arial" w:cs="Arial"/>
          <w:bCs/>
          <w:lang w:eastAsia="cs-CZ"/>
        </w:rPr>
        <w:t>30. 6. 2025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511F2">
        <w:rPr>
          <w:rFonts w:ascii="Arial" w:eastAsia="Times New Roman" w:hAnsi="Arial" w:cs="Arial"/>
          <w:bCs/>
          <w:lang w:eastAsia="cs-CZ"/>
        </w:rPr>
        <w:t>28. 6. 2025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9549FD" w14:textId="77777777" w:rsidR="00CF0412" w:rsidRPr="00ED6435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12A294" w14:textId="77777777" w:rsidR="00A92482" w:rsidRPr="00ED6435" w:rsidRDefault="00A9248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05338873" w:rsidR="002B735B" w:rsidRPr="00ED6435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1F4A98">
        <w:rPr>
          <w:rFonts w:ascii="Arial" w:eastAsia="Times New Roman" w:hAnsi="Arial" w:cs="Arial"/>
          <w:bCs/>
          <w:lang w:eastAsia="cs-CZ"/>
        </w:rPr>
        <w:t>Ing. Jan Raška</w:t>
      </w:r>
    </w:p>
    <w:p w14:paraId="340842AD" w14:textId="11A5101A" w:rsidR="002B735B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1F4A98">
        <w:rPr>
          <w:rFonts w:ascii="Arial" w:eastAsia="Times New Roman" w:hAnsi="Arial" w:cs="Arial"/>
          <w:bCs/>
          <w:lang w:eastAsia="cs-CZ"/>
        </w:rPr>
        <w:t>jednatel Horageo s.r.o.</w:t>
      </w:r>
    </w:p>
    <w:p w14:paraId="4F7AF3A7" w14:textId="1899FFBE" w:rsidR="00CF0412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4D0EADA9" w14:textId="77777777" w:rsidR="00026D26" w:rsidRDefault="00026D2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70B702" w14:textId="77777777" w:rsidR="00026D26" w:rsidRDefault="00026D2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34E4E9" w14:textId="77777777" w:rsidR="00026D26" w:rsidRDefault="00026D2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BABDBDF" w14:textId="7616468C" w:rsidR="00026D26" w:rsidRDefault="00026D2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z. Ing. Helena Chromčáková</w:t>
      </w:r>
    </w:p>
    <w:p w14:paraId="61E8FE2F" w14:textId="45173739" w:rsidR="00026D26" w:rsidRDefault="00026D2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zástupkyně ředitele Krajského pozemkového úřadu</w:t>
      </w:r>
    </w:p>
    <w:p w14:paraId="0CDBD548" w14:textId="309A03D6" w:rsidR="00026D26" w:rsidRPr="00ED6435" w:rsidRDefault="00026D2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3D3AE081" w14:textId="0122FDEF" w:rsidR="00B3745E" w:rsidRDefault="00B3745E" w:rsidP="004913BE">
      <w:pPr>
        <w:spacing w:line="240" w:lineRule="auto"/>
        <w:rPr>
          <w:rFonts w:ascii="Arial" w:hAnsi="Arial" w:cs="Arial"/>
          <w:b/>
          <w:u w:val="single"/>
        </w:rPr>
      </w:pPr>
    </w:p>
    <w:p w14:paraId="2D0E7026" w14:textId="77777777" w:rsidR="00742728" w:rsidRDefault="00742728" w:rsidP="004913BE">
      <w:pPr>
        <w:spacing w:line="240" w:lineRule="auto"/>
        <w:rPr>
          <w:rFonts w:ascii="Arial" w:hAnsi="Arial" w:cs="Arial"/>
          <w:b/>
          <w:u w:val="single"/>
        </w:rPr>
      </w:pPr>
    </w:p>
    <w:p w14:paraId="45CCF130" w14:textId="77777777" w:rsidR="00742728" w:rsidRDefault="00742728" w:rsidP="004913BE">
      <w:pPr>
        <w:spacing w:line="240" w:lineRule="auto"/>
        <w:rPr>
          <w:rFonts w:ascii="Arial" w:hAnsi="Arial" w:cs="Arial"/>
          <w:b/>
          <w:u w:val="single"/>
        </w:rPr>
      </w:pPr>
    </w:p>
    <w:p w14:paraId="57AF1841" w14:textId="77777777" w:rsidR="00742728" w:rsidRDefault="00742728" w:rsidP="004913BE">
      <w:pPr>
        <w:spacing w:line="240" w:lineRule="auto"/>
        <w:rPr>
          <w:rFonts w:ascii="Arial" w:hAnsi="Arial" w:cs="Arial"/>
          <w:b/>
          <w:u w:val="single"/>
        </w:rPr>
      </w:pPr>
    </w:p>
    <w:sectPr w:rsidR="00742728" w:rsidSect="0005647C">
      <w:headerReference w:type="default" r:id="rId14"/>
      <w:footerReference w:type="default" r:id="rId15"/>
      <w:headerReference w:type="first" r:id="rId16"/>
      <w:pgSz w:w="11907" w:h="16839" w:code="9"/>
      <w:pgMar w:top="1276" w:right="1077" w:bottom="127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4C6F" w14:textId="77777777" w:rsidR="00CC333D" w:rsidRDefault="00CC333D" w:rsidP="007936E4">
      <w:pPr>
        <w:spacing w:after="0"/>
      </w:pPr>
      <w:r>
        <w:separator/>
      </w:r>
    </w:p>
  </w:endnote>
  <w:endnote w:type="continuationSeparator" w:id="0">
    <w:p w14:paraId="3AD31A4E" w14:textId="77777777" w:rsidR="00CC333D" w:rsidRDefault="00CC333D" w:rsidP="007936E4">
      <w:pPr>
        <w:spacing w:after="0"/>
      </w:pPr>
      <w:r>
        <w:continuationSeparator/>
      </w:r>
    </w:p>
  </w:endnote>
  <w:endnote w:type="continuationNotice" w:id="1">
    <w:p w14:paraId="079BF9D3" w14:textId="77777777" w:rsidR="00CC333D" w:rsidRDefault="00CC333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CB9E" w14:textId="77777777" w:rsidR="00CC333D" w:rsidRDefault="00CC333D" w:rsidP="007936E4">
      <w:pPr>
        <w:spacing w:after="0"/>
      </w:pPr>
      <w:r>
        <w:separator/>
      </w:r>
    </w:p>
  </w:footnote>
  <w:footnote w:type="continuationSeparator" w:id="0">
    <w:p w14:paraId="6BAE80F8" w14:textId="77777777" w:rsidR="00CC333D" w:rsidRDefault="00CC333D" w:rsidP="007936E4">
      <w:pPr>
        <w:spacing w:after="0"/>
      </w:pPr>
      <w:r>
        <w:continuationSeparator/>
      </w:r>
    </w:p>
  </w:footnote>
  <w:footnote w:type="continuationNotice" w:id="1">
    <w:p w14:paraId="4BE852B3" w14:textId="77777777" w:rsidR="00CC333D" w:rsidRDefault="00CC333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A0CE9C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84156C">
      <w:rPr>
        <w:szCs w:val="16"/>
      </w:rPr>
      <w:t>v k.ú. Opatovice u Hranic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B7C0" w14:textId="3B69123F" w:rsidR="00FA0CEB" w:rsidRDefault="006332C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830336" w:rsidRPr="00830336">
      <w:rPr>
        <w:rFonts w:cs="Arial"/>
        <w:szCs w:val="16"/>
        <w:lang w:val="fr-FR" w:eastAsia="cs-CZ"/>
      </w:rPr>
      <w:t>spudms00000015710302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DB4562" w:rsidRPr="00850BAF">
      <w:rPr>
        <w:rFonts w:cs="Arial"/>
        <w:szCs w:val="16"/>
        <w:lang w:val="fr-FR" w:eastAsia="cs-CZ"/>
      </w:rPr>
      <w:t>1106-2024-521101</w:t>
    </w:r>
    <w:r w:rsidR="00FA0CEB">
      <w:rPr>
        <w:rFonts w:cs="Arial"/>
        <w:szCs w:val="16"/>
        <w:lang w:val="fr-FR" w:eastAsia="cs-CZ"/>
      </w:rPr>
      <w:tab/>
    </w:r>
    <w:r w:rsidR="00FA0CEB">
      <w:rPr>
        <w:rFonts w:cs="Arial"/>
        <w:szCs w:val="16"/>
        <w:lang w:val="fr-FR" w:eastAsia="cs-CZ"/>
      </w:rPr>
      <w:tab/>
    </w:r>
  </w:p>
  <w:p w14:paraId="5EB20BA7" w14:textId="05CBDC83" w:rsidR="00043079" w:rsidRPr="001D4BED" w:rsidRDefault="00FA0CE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2E7431">
      <w:rPr>
        <w:rFonts w:cs="Arial"/>
        <w:szCs w:val="16"/>
        <w:lang w:val="fr-FR" w:eastAsia="cs-CZ"/>
      </w:rPr>
      <w:t xml:space="preserve"> </w:t>
    </w:r>
    <w:r w:rsidR="00160CB5" w:rsidRPr="00160CB5">
      <w:rPr>
        <w:rFonts w:cs="Arial"/>
        <w:szCs w:val="16"/>
        <w:lang w:val="fr-FR" w:eastAsia="cs-CZ"/>
      </w:rPr>
      <w:t>035/2024</w:t>
    </w:r>
  </w:p>
  <w:p w14:paraId="6F75F815" w14:textId="4D12236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853A47">
      <w:rPr>
        <w:rFonts w:cs="Arial"/>
        <w:szCs w:val="16"/>
        <w:lang w:val="fr-FR" w:eastAsia="cs-CZ"/>
      </w:rPr>
      <w:t xml:space="preserve">v k.ú. </w:t>
    </w:r>
    <w:r w:rsidR="00B30568">
      <w:rPr>
        <w:rFonts w:cs="Arial"/>
        <w:szCs w:val="16"/>
        <w:lang w:val="fr-FR" w:eastAsia="cs-CZ"/>
      </w:rPr>
      <w:t>Opatovice u Hranic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4"/>
  </w:num>
  <w:num w:numId="2" w16cid:durableId="1532572628">
    <w:abstractNumId w:val="40"/>
  </w:num>
  <w:num w:numId="3" w16cid:durableId="2107381581">
    <w:abstractNumId w:val="20"/>
  </w:num>
  <w:num w:numId="4" w16cid:durableId="376590071">
    <w:abstractNumId w:val="24"/>
  </w:num>
  <w:num w:numId="5" w16cid:durableId="907034161">
    <w:abstractNumId w:val="37"/>
  </w:num>
  <w:num w:numId="6" w16cid:durableId="2001225391">
    <w:abstractNumId w:val="11"/>
  </w:num>
  <w:num w:numId="7" w16cid:durableId="1251088131">
    <w:abstractNumId w:val="27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3"/>
  </w:num>
  <w:num w:numId="12" w16cid:durableId="1639145949">
    <w:abstractNumId w:val="21"/>
  </w:num>
  <w:num w:numId="13" w16cid:durableId="713506796">
    <w:abstractNumId w:val="42"/>
  </w:num>
  <w:num w:numId="14" w16cid:durableId="684092465">
    <w:abstractNumId w:val="33"/>
  </w:num>
  <w:num w:numId="15" w16cid:durableId="1864975807">
    <w:abstractNumId w:val="14"/>
  </w:num>
  <w:num w:numId="16" w16cid:durableId="982346941">
    <w:abstractNumId w:val="28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3"/>
  </w:num>
  <w:num w:numId="19" w16cid:durableId="1742673720">
    <w:abstractNumId w:val="39"/>
  </w:num>
  <w:num w:numId="20" w16cid:durableId="2104715768">
    <w:abstractNumId w:val="31"/>
  </w:num>
  <w:num w:numId="21" w16cid:durableId="1538272932">
    <w:abstractNumId w:val="13"/>
  </w:num>
  <w:num w:numId="22" w16cid:durableId="18384207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9"/>
  </w:num>
  <w:num w:numId="37" w16cid:durableId="768548920">
    <w:abstractNumId w:val="8"/>
  </w:num>
  <w:num w:numId="38" w16cid:durableId="1852328353">
    <w:abstractNumId w:val="22"/>
  </w:num>
  <w:num w:numId="39" w16cid:durableId="1565943629">
    <w:abstractNumId w:val="18"/>
  </w:num>
  <w:num w:numId="40" w16cid:durableId="1550454410">
    <w:abstractNumId w:val="25"/>
  </w:num>
  <w:num w:numId="41" w16cid:durableId="505943286">
    <w:abstractNumId w:val="2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1"/>
  </w:num>
  <w:num w:numId="45" w16cid:durableId="866913175">
    <w:abstractNumId w:val="32"/>
  </w:num>
  <w:num w:numId="46" w16cid:durableId="1530990176">
    <w:abstractNumId w:val="29"/>
  </w:num>
  <w:num w:numId="47" w16cid:durableId="223417196">
    <w:abstractNumId w:val="3"/>
  </w:num>
  <w:num w:numId="48" w16cid:durableId="83235064">
    <w:abstractNumId w:val="9"/>
  </w:num>
  <w:num w:numId="49" w16cid:durableId="9752622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8"/>
  </w:num>
  <w:num w:numId="51" w16cid:durableId="612437958">
    <w:abstractNumId w:val="26"/>
  </w:num>
  <w:num w:numId="52" w16cid:durableId="1669749533">
    <w:abstractNumId w:val="36"/>
  </w:num>
  <w:num w:numId="53" w16cid:durableId="1086534754">
    <w:abstractNumId w:val="10"/>
  </w:num>
  <w:num w:numId="54" w16cid:durableId="1626159790">
    <w:abstractNumId w:val="12"/>
  </w:num>
  <w:num w:numId="55" w16cid:durableId="2117558074">
    <w:abstractNumId w:val="4"/>
  </w:num>
  <w:num w:numId="56" w16cid:durableId="878708565">
    <w:abstractNumId w:val="17"/>
  </w:num>
  <w:num w:numId="57" w16cid:durableId="1909610784">
    <w:abstractNumId w:val="41"/>
  </w:num>
  <w:num w:numId="58" w16cid:durableId="1858494279">
    <w:abstractNumId w:val="30"/>
  </w:num>
  <w:num w:numId="59" w16cid:durableId="1898709751">
    <w:abstractNumId w:val="7"/>
  </w:num>
  <w:num w:numId="60" w16cid:durableId="1774129204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D26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C67"/>
    <w:rsid w:val="00050FA0"/>
    <w:rsid w:val="000514AB"/>
    <w:rsid w:val="00051DEB"/>
    <w:rsid w:val="00052027"/>
    <w:rsid w:val="00052C00"/>
    <w:rsid w:val="0005310A"/>
    <w:rsid w:val="00054FA7"/>
    <w:rsid w:val="00055348"/>
    <w:rsid w:val="00055462"/>
    <w:rsid w:val="00055649"/>
    <w:rsid w:val="000556BC"/>
    <w:rsid w:val="000557B4"/>
    <w:rsid w:val="0005647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5B7B"/>
    <w:rsid w:val="000862BF"/>
    <w:rsid w:val="000863F6"/>
    <w:rsid w:val="0008656A"/>
    <w:rsid w:val="00090891"/>
    <w:rsid w:val="00090C0A"/>
    <w:rsid w:val="00091BF3"/>
    <w:rsid w:val="00091D71"/>
    <w:rsid w:val="00092449"/>
    <w:rsid w:val="0009253E"/>
    <w:rsid w:val="000925E7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535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5F3F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3EE5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E24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BA4"/>
    <w:rsid w:val="001313B9"/>
    <w:rsid w:val="0013226B"/>
    <w:rsid w:val="001323FD"/>
    <w:rsid w:val="00132C75"/>
    <w:rsid w:val="00132CCF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33D"/>
    <w:rsid w:val="00146BD7"/>
    <w:rsid w:val="00147595"/>
    <w:rsid w:val="001500FF"/>
    <w:rsid w:val="001501D9"/>
    <w:rsid w:val="00150A54"/>
    <w:rsid w:val="00151E68"/>
    <w:rsid w:val="00151E7E"/>
    <w:rsid w:val="00151F38"/>
    <w:rsid w:val="001520DB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CB5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34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701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22DC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18F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A7B44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2CC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A98"/>
    <w:rsid w:val="001F4E64"/>
    <w:rsid w:val="001F4F49"/>
    <w:rsid w:val="001F54FD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A56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14DD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4768"/>
    <w:rsid w:val="0028504E"/>
    <w:rsid w:val="00286400"/>
    <w:rsid w:val="00291113"/>
    <w:rsid w:val="0029164A"/>
    <w:rsid w:val="00291AAC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EAF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A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90"/>
    <w:rsid w:val="002E5D8D"/>
    <w:rsid w:val="002E6659"/>
    <w:rsid w:val="002E6B1D"/>
    <w:rsid w:val="002E6B79"/>
    <w:rsid w:val="002E7431"/>
    <w:rsid w:val="002E7B9B"/>
    <w:rsid w:val="002F012F"/>
    <w:rsid w:val="002F0A03"/>
    <w:rsid w:val="002F1900"/>
    <w:rsid w:val="002F20B9"/>
    <w:rsid w:val="002F2620"/>
    <w:rsid w:val="002F291C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1C3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58B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57A79"/>
    <w:rsid w:val="00360010"/>
    <w:rsid w:val="00360A36"/>
    <w:rsid w:val="0036140B"/>
    <w:rsid w:val="003614EB"/>
    <w:rsid w:val="00361507"/>
    <w:rsid w:val="003623C2"/>
    <w:rsid w:val="00362587"/>
    <w:rsid w:val="00362A0D"/>
    <w:rsid w:val="0036302A"/>
    <w:rsid w:val="0036315A"/>
    <w:rsid w:val="0036335F"/>
    <w:rsid w:val="00363385"/>
    <w:rsid w:val="00363483"/>
    <w:rsid w:val="00363BC7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35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2B41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2AF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3AEA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049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3F7167"/>
    <w:rsid w:val="00400364"/>
    <w:rsid w:val="00400CE8"/>
    <w:rsid w:val="00400F3F"/>
    <w:rsid w:val="00400F6F"/>
    <w:rsid w:val="0040105F"/>
    <w:rsid w:val="004010CE"/>
    <w:rsid w:val="0040187F"/>
    <w:rsid w:val="00401952"/>
    <w:rsid w:val="00402168"/>
    <w:rsid w:val="00402863"/>
    <w:rsid w:val="00403357"/>
    <w:rsid w:val="004035A5"/>
    <w:rsid w:val="00403B13"/>
    <w:rsid w:val="00404486"/>
    <w:rsid w:val="0040495D"/>
    <w:rsid w:val="00404FB1"/>
    <w:rsid w:val="004051C8"/>
    <w:rsid w:val="004073F4"/>
    <w:rsid w:val="004076BB"/>
    <w:rsid w:val="00410CEA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59BD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3BB6"/>
    <w:rsid w:val="004252ED"/>
    <w:rsid w:val="00425A0F"/>
    <w:rsid w:val="00426469"/>
    <w:rsid w:val="004271AB"/>
    <w:rsid w:val="00427861"/>
    <w:rsid w:val="004278DF"/>
    <w:rsid w:val="00427ABE"/>
    <w:rsid w:val="004305DF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4E01"/>
    <w:rsid w:val="00435696"/>
    <w:rsid w:val="004362E3"/>
    <w:rsid w:val="00437C11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53A"/>
    <w:rsid w:val="00447F54"/>
    <w:rsid w:val="00450440"/>
    <w:rsid w:val="00450EA4"/>
    <w:rsid w:val="004511F2"/>
    <w:rsid w:val="00451EB1"/>
    <w:rsid w:val="00454051"/>
    <w:rsid w:val="00454100"/>
    <w:rsid w:val="004545C4"/>
    <w:rsid w:val="00454A69"/>
    <w:rsid w:val="00454B55"/>
    <w:rsid w:val="00454C2E"/>
    <w:rsid w:val="00455427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5F4D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3BE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9A3"/>
    <w:rsid w:val="004964CA"/>
    <w:rsid w:val="0049654A"/>
    <w:rsid w:val="00497BA8"/>
    <w:rsid w:val="00497BE2"/>
    <w:rsid w:val="004A004B"/>
    <w:rsid w:val="004A0B51"/>
    <w:rsid w:val="004A13C8"/>
    <w:rsid w:val="004A1DA5"/>
    <w:rsid w:val="004A1DA9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19E"/>
    <w:rsid w:val="004C03EE"/>
    <w:rsid w:val="004C0532"/>
    <w:rsid w:val="004C0917"/>
    <w:rsid w:val="004C190E"/>
    <w:rsid w:val="004C1C50"/>
    <w:rsid w:val="004C1C56"/>
    <w:rsid w:val="004C1EF3"/>
    <w:rsid w:val="004C296A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EC2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4DE8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9DC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1B1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2D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ECD"/>
    <w:rsid w:val="00584713"/>
    <w:rsid w:val="0058513B"/>
    <w:rsid w:val="0058516F"/>
    <w:rsid w:val="0058538D"/>
    <w:rsid w:val="0058550D"/>
    <w:rsid w:val="0058565F"/>
    <w:rsid w:val="00586673"/>
    <w:rsid w:val="00586931"/>
    <w:rsid w:val="00586BF7"/>
    <w:rsid w:val="00586EF4"/>
    <w:rsid w:val="00587C99"/>
    <w:rsid w:val="005903EE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5C7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5E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764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2CC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395"/>
    <w:rsid w:val="00650B73"/>
    <w:rsid w:val="00650F73"/>
    <w:rsid w:val="0065130A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6D93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5AC0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78"/>
    <w:rsid w:val="006C56D0"/>
    <w:rsid w:val="006C637B"/>
    <w:rsid w:val="006C7BBC"/>
    <w:rsid w:val="006D1648"/>
    <w:rsid w:val="006D186A"/>
    <w:rsid w:val="006D1923"/>
    <w:rsid w:val="006D1B7B"/>
    <w:rsid w:val="006D30DD"/>
    <w:rsid w:val="006D36B0"/>
    <w:rsid w:val="006D4BFA"/>
    <w:rsid w:val="006D5515"/>
    <w:rsid w:val="006D579F"/>
    <w:rsid w:val="006D64E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4C1E"/>
    <w:rsid w:val="006E65CF"/>
    <w:rsid w:val="006E71B1"/>
    <w:rsid w:val="006E7601"/>
    <w:rsid w:val="006E761D"/>
    <w:rsid w:val="006E7AAC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5B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728"/>
    <w:rsid w:val="00742AB4"/>
    <w:rsid w:val="007430C5"/>
    <w:rsid w:val="007447B4"/>
    <w:rsid w:val="007450A5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7EAB"/>
    <w:rsid w:val="00790A74"/>
    <w:rsid w:val="00790B4F"/>
    <w:rsid w:val="00791617"/>
    <w:rsid w:val="00791931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941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59"/>
    <w:rsid w:val="00822189"/>
    <w:rsid w:val="00823082"/>
    <w:rsid w:val="008237C8"/>
    <w:rsid w:val="0082383C"/>
    <w:rsid w:val="008239D6"/>
    <w:rsid w:val="00823A6C"/>
    <w:rsid w:val="0082403C"/>
    <w:rsid w:val="008243FE"/>
    <w:rsid w:val="0082449D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1D7"/>
    <w:rsid w:val="00830273"/>
    <w:rsid w:val="00830336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56C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BAF"/>
    <w:rsid w:val="00850D47"/>
    <w:rsid w:val="008512C3"/>
    <w:rsid w:val="00851D6E"/>
    <w:rsid w:val="008522D0"/>
    <w:rsid w:val="008527FF"/>
    <w:rsid w:val="00853097"/>
    <w:rsid w:val="00853376"/>
    <w:rsid w:val="00853A47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20B1"/>
    <w:rsid w:val="008831F4"/>
    <w:rsid w:val="00883B09"/>
    <w:rsid w:val="008847DA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973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376"/>
    <w:rsid w:val="009139FE"/>
    <w:rsid w:val="00914C54"/>
    <w:rsid w:val="00915FFC"/>
    <w:rsid w:val="00916E37"/>
    <w:rsid w:val="0091765B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13C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6BA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25"/>
    <w:rsid w:val="00A055CA"/>
    <w:rsid w:val="00A05FFA"/>
    <w:rsid w:val="00A066A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0809"/>
    <w:rsid w:val="00A21469"/>
    <w:rsid w:val="00A22349"/>
    <w:rsid w:val="00A22BB4"/>
    <w:rsid w:val="00A238BE"/>
    <w:rsid w:val="00A25D5D"/>
    <w:rsid w:val="00A26B27"/>
    <w:rsid w:val="00A26D12"/>
    <w:rsid w:val="00A30589"/>
    <w:rsid w:val="00A30800"/>
    <w:rsid w:val="00A3084C"/>
    <w:rsid w:val="00A30942"/>
    <w:rsid w:val="00A318C1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4B6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E7A"/>
    <w:rsid w:val="00A85F2D"/>
    <w:rsid w:val="00A873A5"/>
    <w:rsid w:val="00A87A6E"/>
    <w:rsid w:val="00A904A4"/>
    <w:rsid w:val="00A905CC"/>
    <w:rsid w:val="00A92482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1631"/>
    <w:rsid w:val="00AB217C"/>
    <w:rsid w:val="00AB39DE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12B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206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68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254"/>
    <w:rsid w:val="00B63AC7"/>
    <w:rsid w:val="00B64EAB"/>
    <w:rsid w:val="00B66F6A"/>
    <w:rsid w:val="00B66FB1"/>
    <w:rsid w:val="00B67221"/>
    <w:rsid w:val="00B67F90"/>
    <w:rsid w:val="00B70A10"/>
    <w:rsid w:val="00B714A6"/>
    <w:rsid w:val="00B7192C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2C70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97CBC"/>
    <w:rsid w:val="00B97E79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934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435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6D1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572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872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333D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7B6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2FD"/>
    <w:rsid w:val="00CE5C12"/>
    <w:rsid w:val="00CE62D7"/>
    <w:rsid w:val="00CE68E6"/>
    <w:rsid w:val="00CE7A84"/>
    <w:rsid w:val="00CE7A91"/>
    <w:rsid w:val="00CE7B15"/>
    <w:rsid w:val="00CE7D2E"/>
    <w:rsid w:val="00CF0412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988"/>
    <w:rsid w:val="00CF7E55"/>
    <w:rsid w:val="00D00847"/>
    <w:rsid w:val="00D00FF7"/>
    <w:rsid w:val="00D014C4"/>
    <w:rsid w:val="00D01D2D"/>
    <w:rsid w:val="00D03715"/>
    <w:rsid w:val="00D03784"/>
    <w:rsid w:val="00D03845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405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0B01"/>
    <w:rsid w:val="00D21D89"/>
    <w:rsid w:val="00D22353"/>
    <w:rsid w:val="00D22546"/>
    <w:rsid w:val="00D2290F"/>
    <w:rsid w:val="00D22BB2"/>
    <w:rsid w:val="00D22D41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2D4"/>
    <w:rsid w:val="00D327AD"/>
    <w:rsid w:val="00D3281B"/>
    <w:rsid w:val="00D3281C"/>
    <w:rsid w:val="00D328BE"/>
    <w:rsid w:val="00D33027"/>
    <w:rsid w:val="00D3334C"/>
    <w:rsid w:val="00D337A8"/>
    <w:rsid w:val="00D338D0"/>
    <w:rsid w:val="00D34059"/>
    <w:rsid w:val="00D34197"/>
    <w:rsid w:val="00D34E1D"/>
    <w:rsid w:val="00D35E54"/>
    <w:rsid w:val="00D3674F"/>
    <w:rsid w:val="00D378C1"/>
    <w:rsid w:val="00D37AE7"/>
    <w:rsid w:val="00D408C1"/>
    <w:rsid w:val="00D40B72"/>
    <w:rsid w:val="00D40DAE"/>
    <w:rsid w:val="00D41B10"/>
    <w:rsid w:val="00D41C00"/>
    <w:rsid w:val="00D41CF2"/>
    <w:rsid w:val="00D41DE4"/>
    <w:rsid w:val="00D425B3"/>
    <w:rsid w:val="00D4260E"/>
    <w:rsid w:val="00D42D95"/>
    <w:rsid w:val="00D42EA8"/>
    <w:rsid w:val="00D43393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696"/>
    <w:rsid w:val="00D63236"/>
    <w:rsid w:val="00D63DDE"/>
    <w:rsid w:val="00D63E05"/>
    <w:rsid w:val="00D6438F"/>
    <w:rsid w:val="00D64773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C31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1D20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37C"/>
    <w:rsid w:val="00DB2376"/>
    <w:rsid w:val="00DB2542"/>
    <w:rsid w:val="00DB2B42"/>
    <w:rsid w:val="00DB3172"/>
    <w:rsid w:val="00DB3E5B"/>
    <w:rsid w:val="00DB4562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2AA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CB5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AEB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8BB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3CED"/>
    <w:rsid w:val="00E74541"/>
    <w:rsid w:val="00E75049"/>
    <w:rsid w:val="00E75270"/>
    <w:rsid w:val="00E7558F"/>
    <w:rsid w:val="00E757CC"/>
    <w:rsid w:val="00E764E3"/>
    <w:rsid w:val="00E774CF"/>
    <w:rsid w:val="00E77CC5"/>
    <w:rsid w:val="00E77D2A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A80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A7B6C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2C6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476D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2F8"/>
    <w:rsid w:val="00EF662E"/>
    <w:rsid w:val="00EF69CC"/>
    <w:rsid w:val="00EF7F19"/>
    <w:rsid w:val="00EF7FE5"/>
    <w:rsid w:val="00F0057F"/>
    <w:rsid w:val="00F00929"/>
    <w:rsid w:val="00F00B40"/>
    <w:rsid w:val="00F010A4"/>
    <w:rsid w:val="00F0202E"/>
    <w:rsid w:val="00F0348F"/>
    <w:rsid w:val="00F040F4"/>
    <w:rsid w:val="00F05093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4AC"/>
    <w:rsid w:val="00F227A3"/>
    <w:rsid w:val="00F22D6F"/>
    <w:rsid w:val="00F23169"/>
    <w:rsid w:val="00F241DF"/>
    <w:rsid w:val="00F249A4"/>
    <w:rsid w:val="00F263F4"/>
    <w:rsid w:val="00F26545"/>
    <w:rsid w:val="00F27578"/>
    <w:rsid w:val="00F277EA"/>
    <w:rsid w:val="00F3041C"/>
    <w:rsid w:val="00F30953"/>
    <w:rsid w:val="00F30954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CEB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416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5FCD"/>
    <w:rsid w:val="00FE7AA7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1F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511F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511F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410CEA"/>
    <w:rPr>
      <w:rFonts w:ascii="Segoe UI" w:hAnsi="Segoe UI" w:cs="Segoe UI" w:hint="default"/>
      <w:b/>
      <w:bCs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4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1382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178</cp:revision>
  <cp:lastPrinted>2025-06-27T09:28:00Z</cp:lastPrinted>
  <dcterms:created xsi:type="dcterms:W3CDTF">2024-02-19T14:45:00Z</dcterms:created>
  <dcterms:modified xsi:type="dcterms:W3CDTF">2025-06-30T08:14:00Z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