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0001702D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č.1 </w:t>
      </w:r>
    </w:p>
    <w:p w14:paraId="48D7F0B0" w14:textId="746F35CC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0D0382" w:rsidRPr="000D0382">
        <w:rPr>
          <w:rFonts w:ascii="Arial" w:eastAsia="Times New Roman" w:hAnsi="Arial" w:cs="Arial"/>
          <w:b/>
          <w:sz w:val="28"/>
          <w:szCs w:val="28"/>
          <w:lang w:val="cs-CZ"/>
        </w:rPr>
        <w:t>309-2024-523203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1024/11a,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 xml:space="preserve">náměstí T. G. Masaryka 2957/9a,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52539878" w14:textId="147FECB0" w:rsidR="009811B9" w:rsidRDefault="00B026F0" w:rsidP="009811B9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oprávněna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B6291F">
        <w:rPr>
          <w:rFonts w:ascii="Arial" w:eastAsia="Lucida Sans Unicode" w:hAnsi="Arial" w:cs="Arial"/>
          <w:lang w:val="cs-CZ"/>
        </w:rPr>
        <w:t xml:space="preserve"> </w:t>
      </w:r>
      <w:r w:rsidR="009811B9" w:rsidRPr="009811B9">
        <w:rPr>
          <w:rFonts w:ascii="Arial" w:eastAsia="Lucida Sans Unicode" w:hAnsi="Arial" w:cs="Arial"/>
          <w:lang w:val="cs-CZ"/>
        </w:rPr>
        <w:t xml:space="preserve">Ing. Mária Tisarová, Pobočka Břeclav </w:t>
      </w:r>
    </w:p>
    <w:p w14:paraId="4AF6A5FB" w14:textId="568C5198" w:rsidR="00B026F0" w:rsidRPr="00B026F0" w:rsidRDefault="00B026F0" w:rsidP="009811B9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>technických záležitostech oprávněn</w:t>
      </w:r>
      <w:r w:rsidR="008742A1">
        <w:rPr>
          <w:rFonts w:ascii="Arial" w:eastAsia="Lucida Sans Unicode" w:hAnsi="Arial" w:cs="Arial"/>
          <w:snapToGrid w:val="0"/>
          <w:lang w:val="cs-CZ"/>
        </w:rPr>
        <w:t>a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jednat:  </w:t>
      </w:r>
      <w:r w:rsidR="00C35461" w:rsidRPr="00C35461">
        <w:rPr>
          <w:rFonts w:ascii="Arial" w:eastAsia="Lucida Sans Unicode" w:hAnsi="Arial" w:cs="Arial"/>
          <w:snapToGrid w:val="0"/>
          <w:lang w:val="cs-CZ"/>
        </w:rPr>
        <w:t>Ing. Pavla Rýpalová, odborný rada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2957/9a,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7924F40A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C35461" w:rsidRPr="00C35461">
        <w:rPr>
          <w:rFonts w:ascii="Arial" w:eastAsia="Calibri" w:hAnsi="Arial" w:cs="Arial"/>
          <w:b/>
          <w:bCs/>
          <w:lang w:val="cs-CZ"/>
        </w:rPr>
        <w:t>EKOS T, spol. s r.o.</w:t>
      </w:r>
    </w:p>
    <w:p w14:paraId="4FA6FFB9" w14:textId="47FCCC33" w:rsidR="001351A8" w:rsidRDefault="001351A8" w:rsidP="008C5ED8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8C5ED8" w:rsidRPr="008C5ED8">
        <w:rPr>
          <w:rFonts w:ascii="Arial" w:hAnsi="Arial" w:cs="Arial"/>
          <w:lang w:val="cs-CZ"/>
        </w:rPr>
        <w:t>Bezručova</w:t>
      </w:r>
      <w:r w:rsidR="008C5ED8">
        <w:rPr>
          <w:rFonts w:ascii="Arial" w:hAnsi="Arial" w:cs="Arial"/>
          <w:lang w:val="cs-CZ"/>
        </w:rPr>
        <w:t xml:space="preserve"> </w:t>
      </w:r>
      <w:r w:rsidR="008C5ED8" w:rsidRPr="008C5ED8">
        <w:rPr>
          <w:rFonts w:ascii="Arial" w:hAnsi="Arial" w:cs="Arial"/>
          <w:lang w:val="cs-CZ"/>
        </w:rPr>
        <w:t>68</w:t>
      </w:r>
      <w:r w:rsidR="00F60F51" w:rsidRPr="001351A8">
        <w:rPr>
          <w:rFonts w:ascii="Arial" w:hAnsi="Arial" w:cs="Arial"/>
          <w:lang w:val="cs-CZ"/>
        </w:rPr>
        <w:t xml:space="preserve">, </w:t>
      </w:r>
      <w:r w:rsidR="008C5ED8" w:rsidRPr="008C5ED8">
        <w:rPr>
          <w:rFonts w:ascii="Arial" w:hAnsi="Arial" w:cs="Arial"/>
          <w:lang w:val="cs-CZ"/>
        </w:rPr>
        <w:t>674 01 Třebíč</w:t>
      </w:r>
    </w:p>
    <w:p w14:paraId="1DF7634C" w14:textId="27897788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9E1768" w:rsidRPr="009E1768">
        <w:rPr>
          <w:rFonts w:ascii="Arial" w:hAnsi="Arial" w:cs="Arial"/>
          <w:snapToGrid w:val="0"/>
          <w:lang w:val="cs-CZ"/>
        </w:rPr>
        <w:t>Ing. Alešem Tůmou, jednatelem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787982B3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 xml:space="preserve">Ing. </w:t>
      </w:r>
      <w:r w:rsidR="009E1768">
        <w:rPr>
          <w:rFonts w:ascii="Arial" w:eastAsia="Calibri" w:hAnsi="Arial" w:cs="Arial"/>
          <w:lang w:val="cs-CZ"/>
        </w:rPr>
        <w:t>Aleš Tůma</w:t>
      </w:r>
      <w:r w:rsidRPr="001351A8">
        <w:rPr>
          <w:rFonts w:ascii="Arial" w:eastAsia="Calibri" w:hAnsi="Arial" w:cs="Arial"/>
          <w:lang w:val="cs-CZ"/>
        </w:rPr>
        <w:t xml:space="preserve"> jednatel</w:t>
      </w:r>
    </w:p>
    <w:p w14:paraId="0F8288AD" w14:textId="72C26B25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r w:rsidR="0060190F">
        <w:rPr>
          <w:rFonts w:ascii="Arial" w:eastAsia="Calibri" w:hAnsi="Arial" w:cs="Arial"/>
          <w:lang w:val="cs-CZ"/>
        </w:rPr>
        <w:t>xxxxxxxxxxxxxxxxxxxxxxxx</w:t>
      </w:r>
    </w:p>
    <w:p w14:paraId="157ACB61" w14:textId="3A4BB210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</w:t>
      </w:r>
    </w:p>
    <w:p w14:paraId="614199B2" w14:textId="77777777" w:rsidR="00166F24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="00166F24" w:rsidRPr="00166F24">
        <w:rPr>
          <w:rFonts w:ascii="Arial" w:eastAsia="Calibri" w:hAnsi="Arial" w:cs="Arial"/>
          <w:lang w:val="cs-CZ"/>
        </w:rPr>
        <w:t xml:space="preserve">1521409359/0800 </w:t>
      </w:r>
    </w:p>
    <w:p w14:paraId="7D341F7F" w14:textId="16F095EF" w:rsidR="009100FB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="00166F24" w:rsidRPr="00166F24">
        <w:rPr>
          <w:rFonts w:ascii="Arial" w:hAnsi="Arial" w:cs="Arial"/>
          <w:lang w:val="cs-CZ"/>
        </w:rPr>
        <w:t xml:space="preserve">63470985, </w:t>
      </w:r>
      <w:r>
        <w:rPr>
          <w:rFonts w:ascii="Arial" w:hAnsi="Arial" w:cs="Arial"/>
          <w:lang w:val="cs-CZ"/>
        </w:rPr>
        <w:t xml:space="preserve">/ </w:t>
      </w:r>
      <w:r w:rsidRPr="001351A8">
        <w:rPr>
          <w:rFonts w:ascii="Arial" w:eastAsia="Calibri" w:hAnsi="Arial" w:cs="Arial"/>
          <w:lang w:val="cs-CZ"/>
        </w:rPr>
        <w:t>CZ</w:t>
      </w:r>
      <w:r w:rsidR="00166F24" w:rsidRPr="008742A1">
        <w:rPr>
          <w:lang w:val="cs-CZ"/>
        </w:rPr>
        <w:t xml:space="preserve"> </w:t>
      </w:r>
      <w:r w:rsidR="00166F24" w:rsidRPr="00166F24">
        <w:rPr>
          <w:rFonts w:ascii="Arial" w:eastAsia="Calibri" w:hAnsi="Arial" w:cs="Arial"/>
          <w:lang w:val="cs-CZ"/>
        </w:rPr>
        <w:t>63470985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29298639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</w:t>
      </w:r>
      <w:r w:rsidR="00D27609">
        <w:rPr>
          <w:rFonts w:ascii="Arial" w:hAnsi="Arial" w:cs="Arial"/>
          <w:color w:val="000000"/>
          <w:lang w:val="cs-CZ" w:eastAsia="en-US"/>
        </w:rPr>
        <w:t>O</w:t>
      </w:r>
      <w:r w:rsidRPr="00E850EF">
        <w:rPr>
          <w:rFonts w:ascii="Arial" w:hAnsi="Arial" w:cs="Arial"/>
          <w:color w:val="000000"/>
          <w:lang w:val="cs-CZ" w:eastAsia="en-US"/>
        </w:rPr>
        <w:t>S v Brně, oddíl C</w:t>
      </w:r>
      <w:r w:rsidR="00D27609">
        <w:rPr>
          <w:rFonts w:ascii="Arial" w:hAnsi="Arial" w:cs="Arial"/>
          <w:color w:val="000000"/>
          <w:lang w:val="cs-CZ" w:eastAsia="en-US"/>
        </w:rPr>
        <w:t xml:space="preserve"> 19</w:t>
      </w:r>
      <w:r w:rsidRPr="00E850EF">
        <w:rPr>
          <w:rFonts w:ascii="Arial" w:hAnsi="Arial" w:cs="Arial"/>
          <w:color w:val="000000"/>
          <w:lang w:val="cs-CZ" w:eastAsia="en-US"/>
        </w:rPr>
        <w:t xml:space="preserve">, vložka </w:t>
      </w:r>
      <w:r w:rsidR="00D27609">
        <w:rPr>
          <w:rFonts w:ascii="Arial" w:hAnsi="Arial" w:cs="Arial"/>
          <w:color w:val="000000"/>
          <w:lang w:val="cs-CZ" w:eastAsia="en-US"/>
        </w:rPr>
        <w:t>972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53CEAAF6" w14:textId="77777777" w:rsidR="001268CA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2E2B1A3F" w14:textId="77777777" w:rsidR="008E3F2E" w:rsidRPr="00484439" w:rsidRDefault="008E3F2E" w:rsidP="005160F8">
      <w:pPr>
        <w:pStyle w:val="Nadpis1"/>
        <w:numPr>
          <w:ilvl w:val="0"/>
          <w:numId w:val="14"/>
        </w:numPr>
        <w:spacing w:line="256" w:lineRule="auto"/>
        <w:ind w:left="0" w:firstLine="0"/>
        <w:rPr>
          <w:rFonts w:cs="Arial"/>
          <w:sz w:val="22"/>
          <w:szCs w:val="22"/>
        </w:rPr>
      </w:pPr>
    </w:p>
    <w:p w14:paraId="5B004C47" w14:textId="77777777" w:rsidR="00DC5D01" w:rsidRDefault="00DC5D01" w:rsidP="00403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6084D35B" w14:textId="2BF19FFC" w:rsidR="00B03B63" w:rsidRDefault="00B03B63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B03B63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>dmětem dodatku č.1 ke Smlouvě jsou:</w:t>
      </w:r>
    </w:p>
    <w:p w14:paraId="2DFC9178" w14:textId="77777777" w:rsidR="00BF7CD5" w:rsidRDefault="00BF7CD5" w:rsidP="00BF7CD5">
      <w:pPr>
        <w:pStyle w:val="Level1"/>
        <w:keepNext w:val="0"/>
        <w:numPr>
          <w:ilvl w:val="3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72D03">
        <w:rPr>
          <w:rFonts w:ascii="Arial" w:hAnsi="Arial" w:cs="Arial"/>
          <w:b w:val="0"/>
          <w:bCs w:val="0"/>
          <w:caps w:val="0"/>
          <w:szCs w:val="22"/>
        </w:rPr>
        <w:t>personální změny na straně objednatele</w:t>
      </w:r>
    </w:p>
    <w:p w14:paraId="4D65747F" w14:textId="585CB9A2" w:rsidR="00BF7CD5" w:rsidRPr="00BF7CD5" w:rsidRDefault="00360C44" w:rsidP="00BF7CD5">
      <w:pPr>
        <w:pStyle w:val="Odstavecseseznamem"/>
        <w:numPr>
          <w:ilvl w:val="0"/>
          <w:numId w:val="18"/>
        </w:numPr>
        <w:spacing w:after="0"/>
        <w:ind w:left="284" w:hanging="284"/>
        <w:rPr>
          <w:lang w:val="cs-CZ"/>
        </w:rPr>
      </w:pPr>
      <w:r>
        <w:rPr>
          <w:rFonts w:ascii="Arial" w:hAnsi="Arial" w:cs="Arial"/>
          <w:lang w:val="cs-CZ"/>
        </w:rPr>
        <w:t>snížení počtu měrných jednotek</w:t>
      </w:r>
    </w:p>
    <w:p w14:paraId="14D44234" w14:textId="77777777" w:rsidR="00BF7CD5" w:rsidRDefault="00BF7CD5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00FA2944" w14:textId="6A993295" w:rsidR="00B03B63" w:rsidRPr="00B03B63" w:rsidRDefault="00B03B63" w:rsidP="008B36E9">
      <w:pPr>
        <w:pStyle w:val="Nadpis1"/>
        <w:ind w:left="0" w:firstLine="0"/>
      </w:pPr>
    </w:p>
    <w:p w14:paraId="3C484FBF" w14:textId="77777777" w:rsidR="00DC3118" w:rsidRDefault="00DC3118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7D44E470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  <w:r w:rsidRPr="00047C2C">
        <w:rPr>
          <w:rFonts w:ascii="Arial" w:eastAsia="Times New Roman" w:hAnsi="Arial" w:cs="Arial"/>
          <w:lang w:val="cs-CZ"/>
        </w:rPr>
        <w:t>S účinností ke dni 1. 11. 2024 se novým vedoucím Pobočky Břeclav se stal Ing. et Ing. Luděk Drápal, MBA. Z těchto důvodů došlo k úpravě údajů na straně objednatele</w:t>
      </w:r>
      <w:r>
        <w:rPr>
          <w:rFonts w:ascii="Arial" w:eastAsia="Times New Roman" w:hAnsi="Arial" w:cs="Arial"/>
          <w:lang w:val="cs-CZ"/>
        </w:rPr>
        <w:t>.</w:t>
      </w:r>
    </w:p>
    <w:p w14:paraId="32EF4621" w14:textId="77777777" w:rsidR="00047C2C" w:rsidRDefault="00047C2C" w:rsidP="00DC5D0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val="cs-CZ"/>
        </w:rPr>
      </w:pPr>
    </w:p>
    <w:p w14:paraId="72DDA1E1" w14:textId="5DB26F69" w:rsidR="00167D4E" w:rsidRDefault="009F4D84" w:rsidP="009F4D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9F4D84">
        <w:rPr>
          <w:rFonts w:ascii="Arial" w:hAnsi="Arial" w:cs="Arial"/>
          <w:lang w:val="cs-CZ"/>
        </w:rPr>
        <w:t>Smluvn</w:t>
      </w:r>
      <w:r>
        <w:rPr>
          <w:rFonts w:ascii="Arial" w:hAnsi="Arial" w:cs="Arial"/>
          <w:lang w:val="cs-CZ"/>
        </w:rPr>
        <w:t>í</w:t>
      </w:r>
      <w:r w:rsidRPr="009F4D84">
        <w:rPr>
          <w:rFonts w:ascii="Arial" w:hAnsi="Arial" w:cs="Arial"/>
          <w:lang w:val="cs-CZ"/>
        </w:rPr>
        <w:t xml:space="preserve"> strany se dohodly na snížení počtu měrných jednotek u fakturačn</w:t>
      </w:r>
      <w:r w:rsidR="00D578A7">
        <w:rPr>
          <w:rFonts w:ascii="Arial" w:hAnsi="Arial" w:cs="Arial"/>
          <w:lang w:val="cs-CZ"/>
        </w:rPr>
        <w:t>ího</w:t>
      </w:r>
      <w:r w:rsidRPr="009F4D84">
        <w:rPr>
          <w:rFonts w:ascii="Arial" w:hAnsi="Arial" w:cs="Arial"/>
          <w:lang w:val="cs-CZ"/>
        </w:rPr>
        <w:t xml:space="preserve"> celk</w:t>
      </w:r>
      <w:r w:rsidR="00D578A7">
        <w:rPr>
          <w:rFonts w:ascii="Arial" w:hAnsi="Arial" w:cs="Arial"/>
          <w:lang w:val="cs-CZ"/>
        </w:rPr>
        <w:t>u</w:t>
      </w:r>
      <w:r w:rsidRPr="009F4D84">
        <w:rPr>
          <w:rFonts w:ascii="Arial" w:hAnsi="Arial" w:cs="Arial"/>
          <w:lang w:val="cs-CZ"/>
        </w:rPr>
        <w:t xml:space="preserve"> 6.3.</w:t>
      </w:r>
      <w:r w:rsidR="00797FA4">
        <w:rPr>
          <w:rFonts w:ascii="Arial" w:hAnsi="Arial" w:cs="Arial"/>
          <w:lang w:val="cs-CZ"/>
        </w:rPr>
        <w:t>5</w:t>
      </w:r>
      <w:r w:rsidRPr="009F4D84">
        <w:rPr>
          <w:rFonts w:ascii="Arial" w:hAnsi="Arial" w:cs="Arial"/>
          <w:lang w:val="cs-CZ"/>
        </w:rPr>
        <w:t>.i) Aktualizace návrhu po ukončení odvolacího řízení</w:t>
      </w:r>
      <w:r w:rsidR="00832EDA">
        <w:rPr>
          <w:rFonts w:ascii="Arial" w:hAnsi="Arial" w:cs="Arial"/>
          <w:lang w:val="cs-CZ"/>
        </w:rPr>
        <w:t xml:space="preserve"> do 10 ha</w:t>
      </w:r>
      <w:r w:rsidRPr="009F4D84">
        <w:rPr>
          <w:rFonts w:ascii="Arial" w:hAnsi="Arial" w:cs="Arial"/>
          <w:lang w:val="cs-CZ"/>
        </w:rPr>
        <w:t xml:space="preserve">. Zhotovitel ukončil práce na JPÚ, správní řízení bylo ukončeno ke dni </w:t>
      </w:r>
      <w:r w:rsidR="00BF7708">
        <w:rPr>
          <w:rFonts w:ascii="Arial" w:hAnsi="Arial" w:cs="Arial"/>
          <w:lang w:val="cs-CZ"/>
        </w:rPr>
        <w:t xml:space="preserve">8.5.52025 </w:t>
      </w:r>
      <w:r w:rsidR="00832EDA">
        <w:rPr>
          <w:rFonts w:ascii="Arial" w:hAnsi="Arial" w:cs="Arial"/>
          <w:lang w:val="cs-CZ"/>
        </w:rPr>
        <w:t xml:space="preserve">bez odvolání, </w:t>
      </w:r>
      <w:r w:rsidRPr="009F4D84">
        <w:rPr>
          <w:rFonts w:ascii="Arial" w:hAnsi="Arial" w:cs="Arial"/>
          <w:lang w:val="cs-CZ"/>
        </w:rPr>
        <w:t xml:space="preserve">výsledné mapové dílo bylo dne </w:t>
      </w:r>
      <w:r w:rsidR="00BF7708">
        <w:rPr>
          <w:rFonts w:ascii="Arial" w:hAnsi="Arial" w:cs="Arial"/>
          <w:lang w:val="cs-CZ"/>
        </w:rPr>
        <w:t>19.5.2025</w:t>
      </w:r>
      <w:r w:rsidRPr="009F4D84">
        <w:rPr>
          <w:rFonts w:ascii="Arial" w:hAnsi="Arial" w:cs="Arial"/>
          <w:lang w:val="cs-CZ"/>
        </w:rPr>
        <w:t xml:space="preserve"> zapsáno do</w:t>
      </w:r>
      <w:r w:rsidR="00832EDA">
        <w:rPr>
          <w:rFonts w:ascii="Arial" w:hAnsi="Arial" w:cs="Arial"/>
          <w:lang w:val="cs-CZ"/>
        </w:rPr>
        <w:t> </w:t>
      </w:r>
      <w:r w:rsidRPr="009F4D84">
        <w:rPr>
          <w:rFonts w:ascii="Arial" w:hAnsi="Arial" w:cs="Arial"/>
          <w:lang w:val="cs-CZ"/>
        </w:rPr>
        <w:t>KN. V důsledku výše uvedeného dochází ke snížení počtu měrných jednotek v</w:t>
      </w:r>
      <w:r w:rsidR="00832EDA">
        <w:rPr>
          <w:rFonts w:ascii="Arial" w:hAnsi="Arial" w:cs="Arial"/>
          <w:lang w:val="cs-CZ"/>
        </w:rPr>
        <w:t> </w:t>
      </w:r>
      <w:r w:rsidRPr="009F4D84">
        <w:rPr>
          <w:rFonts w:ascii="Arial" w:hAnsi="Arial" w:cs="Arial"/>
          <w:lang w:val="cs-CZ"/>
        </w:rPr>
        <w:t xml:space="preserve">souladu se skutečným rozsahem provedených prací. </w:t>
      </w:r>
    </w:p>
    <w:p w14:paraId="2DB9B00E" w14:textId="77777777" w:rsidR="006D4E59" w:rsidRDefault="006D4E59" w:rsidP="006D4E5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3CE0AE63" w14:textId="639CC333" w:rsidR="006D4E59" w:rsidRPr="003C6B50" w:rsidRDefault="006D4E59" w:rsidP="006D4E5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3C6B50">
        <w:rPr>
          <w:rFonts w:ascii="Arial" w:hAnsi="Arial" w:cs="Arial"/>
          <w:b/>
          <w:bCs/>
          <w:lang w:val="cs-CZ"/>
        </w:rPr>
        <w:t xml:space="preserve">F.C. 6.3.5 </w:t>
      </w:r>
      <w:r w:rsidR="003C6B50" w:rsidRPr="003C6B50">
        <w:rPr>
          <w:rFonts w:ascii="Arial" w:hAnsi="Arial" w:cs="Arial"/>
          <w:b/>
          <w:bCs/>
          <w:lang w:val="cs-CZ"/>
        </w:rPr>
        <w:t xml:space="preserve">i) </w:t>
      </w:r>
      <w:r w:rsidRPr="003C6B50">
        <w:rPr>
          <w:rFonts w:ascii="Arial" w:hAnsi="Arial" w:cs="Arial"/>
          <w:b/>
          <w:bCs/>
          <w:lang w:val="cs-CZ"/>
        </w:rPr>
        <w:t>– Aktualizace návrhu po ukončení odvolacího řízení</w:t>
      </w:r>
      <w:r w:rsidR="003C6B50" w:rsidRPr="003C6B50">
        <w:rPr>
          <w:rFonts w:ascii="Arial" w:hAnsi="Arial" w:cs="Arial"/>
          <w:b/>
          <w:bCs/>
          <w:lang w:val="cs-CZ"/>
        </w:rPr>
        <w:t xml:space="preserve"> do 10 ha</w:t>
      </w:r>
    </w:p>
    <w:p w14:paraId="128EE32F" w14:textId="77777777" w:rsidR="006D4E59" w:rsidRPr="006D4E59" w:rsidRDefault="006D4E59" w:rsidP="006D4E5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6D4E59">
        <w:rPr>
          <w:rFonts w:ascii="Arial" w:hAnsi="Arial" w:cs="Arial"/>
          <w:lang w:val="cs-CZ"/>
        </w:rPr>
        <w:t>Původní počet MJ podle smlouvy o dílo:</w:t>
      </w:r>
      <w:r w:rsidRPr="006D4E59">
        <w:rPr>
          <w:rFonts w:ascii="Arial" w:hAnsi="Arial" w:cs="Arial"/>
          <w:lang w:val="cs-CZ"/>
        </w:rPr>
        <w:tab/>
      </w:r>
      <w:r w:rsidRPr="006D4E59">
        <w:rPr>
          <w:rFonts w:ascii="Arial" w:hAnsi="Arial" w:cs="Arial"/>
          <w:lang w:val="cs-CZ"/>
        </w:rPr>
        <w:tab/>
        <w:t>1</w:t>
      </w:r>
    </w:p>
    <w:p w14:paraId="0EAE460A" w14:textId="77777777" w:rsidR="006D4E59" w:rsidRPr="006D4E59" w:rsidRDefault="006D4E59" w:rsidP="006D4E5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6D4E59">
        <w:rPr>
          <w:rFonts w:ascii="Arial" w:hAnsi="Arial" w:cs="Arial"/>
          <w:lang w:val="cs-CZ"/>
        </w:rPr>
        <w:t xml:space="preserve">Skutečný počet MJ: </w:t>
      </w:r>
      <w:r w:rsidRPr="006D4E59">
        <w:rPr>
          <w:rFonts w:ascii="Arial" w:hAnsi="Arial" w:cs="Arial"/>
          <w:lang w:val="cs-CZ"/>
        </w:rPr>
        <w:tab/>
      </w:r>
      <w:r w:rsidRPr="006D4E59">
        <w:rPr>
          <w:rFonts w:ascii="Arial" w:hAnsi="Arial" w:cs="Arial"/>
          <w:lang w:val="cs-CZ"/>
        </w:rPr>
        <w:tab/>
      </w:r>
      <w:r w:rsidRPr="006D4E59">
        <w:rPr>
          <w:rFonts w:ascii="Arial" w:hAnsi="Arial" w:cs="Arial"/>
          <w:lang w:val="cs-CZ"/>
        </w:rPr>
        <w:tab/>
      </w:r>
      <w:r w:rsidRPr="006D4E59">
        <w:rPr>
          <w:rFonts w:ascii="Arial" w:hAnsi="Arial" w:cs="Arial"/>
          <w:lang w:val="cs-CZ"/>
        </w:rPr>
        <w:tab/>
      </w:r>
      <w:r w:rsidRPr="006D4E59">
        <w:rPr>
          <w:rFonts w:ascii="Arial" w:hAnsi="Arial" w:cs="Arial"/>
          <w:lang w:val="cs-CZ"/>
        </w:rPr>
        <w:tab/>
        <w:t>0 (sníženi o 1 MJ)</w:t>
      </w:r>
    </w:p>
    <w:p w14:paraId="58B558FD" w14:textId="77777777" w:rsidR="00167D4E" w:rsidRDefault="00167D4E" w:rsidP="009F4D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354E2D47" w14:textId="3D311EB6" w:rsidR="00167D4E" w:rsidRDefault="00795644" w:rsidP="009F4D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795644">
        <w:rPr>
          <w:rFonts w:ascii="Arial" w:hAnsi="Arial" w:cs="Arial"/>
          <w:lang w:val="cs-CZ"/>
        </w:rPr>
        <w:t xml:space="preserve">Celková cena díla se snižuje o </w:t>
      </w:r>
      <w:r>
        <w:rPr>
          <w:rFonts w:ascii="Arial" w:hAnsi="Arial" w:cs="Arial"/>
          <w:lang w:val="cs-CZ"/>
        </w:rPr>
        <w:t>2 500</w:t>
      </w:r>
      <w:r w:rsidRPr="00795644">
        <w:rPr>
          <w:rFonts w:ascii="Arial" w:hAnsi="Arial" w:cs="Arial"/>
          <w:lang w:val="cs-CZ"/>
        </w:rPr>
        <w:t>,00 Kč bez DPH (</w:t>
      </w:r>
      <w:r>
        <w:rPr>
          <w:rFonts w:ascii="Arial" w:hAnsi="Arial" w:cs="Arial"/>
          <w:lang w:val="cs-CZ"/>
        </w:rPr>
        <w:t>3 025</w:t>
      </w:r>
      <w:r w:rsidRPr="00795644">
        <w:rPr>
          <w:rFonts w:ascii="Arial" w:hAnsi="Arial" w:cs="Arial"/>
          <w:lang w:val="cs-CZ"/>
        </w:rPr>
        <w:t>,00 Kč včetně DPH).</w:t>
      </w:r>
    </w:p>
    <w:p w14:paraId="3C7CF0AC" w14:textId="77777777" w:rsidR="00795644" w:rsidRDefault="00795644" w:rsidP="009F4D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1519E46C" w14:textId="64384B74" w:rsidR="009A4DA9" w:rsidRDefault="009A4DA9" w:rsidP="009A4DA9">
      <w:pPr>
        <w:spacing w:line="276" w:lineRule="auto"/>
        <w:rPr>
          <w:rFonts w:ascii="Arial" w:hAnsi="Arial" w:cs="Arial"/>
          <w:lang w:val="cs-CZ" w:eastAsia="en-US"/>
        </w:rPr>
      </w:pPr>
      <w:r w:rsidRPr="009A4DA9">
        <w:rPr>
          <w:rFonts w:ascii="Arial" w:hAnsi="Arial" w:cs="Arial"/>
          <w:lang w:val="cs-CZ" w:eastAsia="en-US"/>
        </w:rPr>
        <w:t>V článku 3.1 smlouvy o dílo se mění Cena za řádné a včasné provedení Díla následovně:</w:t>
      </w:r>
    </w:p>
    <w:tbl>
      <w:tblPr>
        <w:tblW w:w="49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9"/>
        <w:gridCol w:w="3294"/>
      </w:tblGrid>
      <w:tr w:rsidR="00EA4983" w:rsidRPr="00EA4983" w14:paraId="2E834DFE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995D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1 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E4A" w14:textId="77777777" w:rsidR="00EA4983" w:rsidRPr="00EA4983" w:rsidRDefault="00EA4983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54 450,00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Kč</w:t>
            </w:r>
          </w:p>
        </w:tc>
      </w:tr>
      <w:tr w:rsidR="00EA4983" w:rsidRPr="00EA4983" w14:paraId="04638909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C55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2 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885" w14:textId="1DC6E6D1" w:rsidR="00EA4983" w:rsidRPr="00EA4983" w:rsidRDefault="00EA4983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6</w:t>
            </w:r>
            <w:r w:rsidR="000D0382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4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 </w:t>
            </w:r>
            <w:r w:rsidR="000D0382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4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50,00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Kč</w:t>
            </w:r>
          </w:p>
        </w:tc>
      </w:tr>
      <w:tr w:rsidR="00EA4983" w:rsidRPr="00EA4983" w14:paraId="21F419BE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D557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3 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„Geometrický plán“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7DA" w14:textId="77777777" w:rsidR="00EA4983" w:rsidRPr="00EA4983" w:rsidRDefault="00EA4983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27 225,00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Kč</w:t>
            </w:r>
          </w:p>
        </w:tc>
      </w:tr>
      <w:tr w:rsidR="00EA4983" w:rsidRPr="00EA4983" w14:paraId="775992BE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C55CE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Celková cena 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Díla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49A20" w14:textId="76D026C0" w:rsidR="00EA4983" w:rsidRPr="00EA4983" w:rsidRDefault="00EA4983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14</w:t>
            </w:r>
            <w:r w:rsidR="00411D95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6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 </w:t>
            </w:r>
            <w:r w:rsidR="00411D95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1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25,00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Kč</w:t>
            </w:r>
          </w:p>
        </w:tc>
      </w:tr>
      <w:tr w:rsidR="00EA4983" w:rsidRPr="00EA4983" w14:paraId="44924C05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6A0D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545" w14:textId="5562BDD3" w:rsidR="00EA4983" w:rsidRPr="00EA4983" w:rsidRDefault="002C1FBB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  </w:t>
            </w:r>
            <w:r w:rsidR="00411D95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30 686,25</w:t>
            </w:r>
            <w:r w:rsidR="00EA4983"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 </w:t>
            </w:r>
            <w:r w:rsidR="00EA4983"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Kč</w:t>
            </w:r>
          </w:p>
        </w:tc>
      </w:tr>
      <w:tr w:rsidR="00EA4983" w:rsidRPr="00EA4983" w14:paraId="5FFC1081" w14:textId="77777777" w:rsidTr="00411D95">
        <w:trPr>
          <w:trHeight w:val="36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7B417F" w14:textId="77777777" w:rsidR="00EA4983" w:rsidRPr="00EA4983" w:rsidRDefault="00EA4983" w:rsidP="00EA4983">
            <w:pPr>
              <w:spacing w:after="0" w:line="240" w:lineRule="auto"/>
              <w:ind w:left="709" w:hanging="709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Celková cena 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Díla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C6B46" w14:textId="1631B153" w:rsidR="00EA4983" w:rsidRPr="00EA4983" w:rsidRDefault="00EA4983" w:rsidP="00EA4983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</w:pP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17</w:t>
            </w:r>
            <w:r w:rsidR="00411D95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6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 8</w:t>
            </w:r>
            <w:r w:rsidR="00411D95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>11</w:t>
            </w:r>
            <w:r w:rsidRPr="00EA4983">
              <w:rPr>
                <w:rFonts w:ascii="Arial" w:eastAsia="Calibri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,25 </w:t>
            </w:r>
            <w:r w:rsidRPr="00EA4983">
              <w:rPr>
                <w:rFonts w:ascii="Arial" w:eastAsia="Calibri" w:hAnsi="Arial" w:cs="Arial"/>
                <w:kern w:val="2"/>
                <w:lang w:val="cs-CZ" w:eastAsia="en-US"/>
                <w14:ligatures w14:val="standardContextual"/>
              </w:rPr>
              <w:t>Kč</w:t>
            </w:r>
          </w:p>
        </w:tc>
      </w:tr>
    </w:tbl>
    <w:p w14:paraId="6897B061" w14:textId="77777777" w:rsidR="004F707A" w:rsidRDefault="004F707A" w:rsidP="009A4DA9">
      <w:pPr>
        <w:spacing w:line="276" w:lineRule="auto"/>
        <w:rPr>
          <w:rFonts w:ascii="Arial" w:hAnsi="Arial" w:cs="Arial"/>
          <w:lang w:val="cs-CZ" w:eastAsia="en-US"/>
        </w:rPr>
      </w:pPr>
    </w:p>
    <w:p w14:paraId="4486A858" w14:textId="0CA67308" w:rsidR="00FB0C1A" w:rsidRPr="00FF5348" w:rsidRDefault="009A4DA9" w:rsidP="009A4DA9">
      <w:pPr>
        <w:spacing w:line="276" w:lineRule="auto"/>
        <w:rPr>
          <w:rFonts w:ascii="Arial" w:hAnsi="Arial" w:cs="Arial"/>
          <w:lang w:val="cs-CZ"/>
        </w:rPr>
      </w:pPr>
      <w:r w:rsidRPr="009A4DA9">
        <w:rPr>
          <w:rFonts w:ascii="Arial" w:hAnsi="Arial" w:cs="Arial"/>
          <w:lang w:val="cs-CZ" w:eastAsia="en-US"/>
        </w:rPr>
        <w:t xml:space="preserve">Mění se a nově zní příloha ke smlouvě o dílo č. smlouvy objednatele </w:t>
      </w:r>
      <w:r w:rsidR="000D0382" w:rsidRPr="000D0382">
        <w:rPr>
          <w:rFonts w:ascii="Arial" w:hAnsi="Arial" w:cs="Arial"/>
          <w:lang w:val="cs-CZ" w:eastAsia="en-US"/>
        </w:rPr>
        <w:t>309-2024-523203</w:t>
      </w:r>
      <w:r w:rsidR="000D0382">
        <w:rPr>
          <w:rFonts w:ascii="Arial" w:hAnsi="Arial" w:cs="Arial"/>
          <w:lang w:val="cs-CZ" w:eastAsia="en-US"/>
        </w:rPr>
        <w:t xml:space="preserve"> </w:t>
      </w:r>
      <w:r w:rsidRPr="009A4DA9">
        <w:rPr>
          <w:rFonts w:ascii="Arial" w:hAnsi="Arial" w:cs="Arial"/>
          <w:lang w:val="cs-CZ" w:eastAsia="en-US"/>
        </w:rPr>
        <w:t>Položkový výkaz činností, který je nedílnou součástí tohoto dodatku.</w:t>
      </w:r>
    </w:p>
    <w:p w14:paraId="38F680DD" w14:textId="77777777" w:rsidR="008E3F2E" w:rsidRDefault="008E3F2E" w:rsidP="00675C49">
      <w:pPr>
        <w:pStyle w:val="Nadpis1"/>
        <w:numPr>
          <w:ilvl w:val="0"/>
          <w:numId w:val="14"/>
        </w:numPr>
        <w:spacing w:line="276" w:lineRule="auto"/>
        <w:ind w:left="0" w:firstLine="0"/>
        <w:rPr>
          <w:rFonts w:cs="Arial"/>
          <w:sz w:val="22"/>
          <w:szCs w:val="22"/>
        </w:rPr>
      </w:pPr>
    </w:p>
    <w:p w14:paraId="25348B63" w14:textId="3D898181" w:rsidR="003E4123" w:rsidRDefault="003E4123" w:rsidP="00DC5D01">
      <w:pPr>
        <w:spacing w:line="276" w:lineRule="auto"/>
        <w:rPr>
          <w:rFonts w:ascii="Arial" w:hAnsi="Arial" w:cs="Arial"/>
          <w:lang w:val="cs-CZ"/>
        </w:rPr>
      </w:pPr>
      <w:r w:rsidRPr="00156FCD">
        <w:rPr>
          <w:rFonts w:ascii="Arial" w:hAnsi="Arial" w:cs="Arial"/>
          <w:lang w:val="cs-CZ"/>
        </w:rPr>
        <w:t>Tento dodatek nabývá platnosti dnem podpisu smluvních stran a účinnosti dnem jeho zveřejnění v registru smluv dle zákona č. 340/2015 Sb., o zvláštních podmínkách účinnosti</w:t>
      </w:r>
      <w:r w:rsidR="00156FCD" w:rsidRPr="00156FCD">
        <w:rPr>
          <w:rFonts w:ascii="Arial" w:hAnsi="Arial" w:cs="Arial"/>
          <w:lang w:val="cs-CZ"/>
        </w:rPr>
        <w:t xml:space="preserve"> některých smluv, uveřejňování těchto smluv a o registru smluv (zákon o registru smluv), ve</w:t>
      </w:r>
      <w:r w:rsidR="00156FCD">
        <w:rPr>
          <w:rFonts w:ascii="Arial" w:hAnsi="Arial" w:cs="Arial"/>
          <w:lang w:val="cs-CZ"/>
        </w:rPr>
        <w:t> </w:t>
      </w:r>
      <w:r w:rsidR="00156FCD" w:rsidRPr="00156FCD">
        <w:rPr>
          <w:rFonts w:ascii="Arial" w:hAnsi="Arial" w:cs="Arial"/>
          <w:lang w:val="cs-CZ"/>
        </w:rPr>
        <w:t>znění pozdějších předpisů.</w:t>
      </w:r>
    </w:p>
    <w:p w14:paraId="6D03E6A7" w14:textId="1E56551A" w:rsidR="004F707A" w:rsidRDefault="004F707A">
      <w:pPr>
        <w:spacing w:after="200" w:line="276" w:lineRule="auto"/>
        <w:jc w:val="left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 w:type="page"/>
      </w:r>
    </w:p>
    <w:p w14:paraId="491D88BC" w14:textId="5A55A95E" w:rsidR="002A53C7" w:rsidRPr="002A53C7" w:rsidRDefault="002A53C7" w:rsidP="00DC5D01">
      <w:pPr>
        <w:spacing w:line="276" w:lineRule="auto"/>
        <w:jc w:val="center"/>
        <w:rPr>
          <w:rFonts w:ascii="Arial" w:hAnsi="Arial" w:cs="Arial"/>
          <w:b/>
          <w:bCs/>
          <w:lang w:val="cs-CZ"/>
        </w:rPr>
      </w:pPr>
      <w:r w:rsidRPr="002A53C7">
        <w:rPr>
          <w:rFonts w:ascii="Arial" w:hAnsi="Arial" w:cs="Arial"/>
          <w:b/>
          <w:bCs/>
          <w:lang w:val="cs-CZ"/>
        </w:rPr>
        <w:lastRenderedPageBreak/>
        <w:t>Čl.</w:t>
      </w:r>
      <w:r w:rsidR="004F707A">
        <w:rPr>
          <w:rFonts w:ascii="Arial" w:hAnsi="Arial" w:cs="Arial"/>
          <w:b/>
          <w:bCs/>
          <w:lang w:val="cs-CZ"/>
        </w:rPr>
        <w:t xml:space="preserve"> </w:t>
      </w:r>
      <w:r w:rsidRPr="002A53C7">
        <w:rPr>
          <w:rFonts w:ascii="Arial" w:hAnsi="Arial" w:cs="Arial"/>
          <w:b/>
          <w:bCs/>
          <w:lang w:val="cs-CZ"/>
        </w:rPr>
        <w:t>I</w:t>
      </w:r>
      <w:r w:rsidR="008B36E9">
        <w:rPr>
          <w:rFonts w:ascii="Arial" w:hAnsi="Arial" w:cs="Arial"/>
          <w:b/>
          <w:bCs/>
          <w:lang w:val="cs-CZ"/>
        </w:rPr>
        <w:t>V</w:t>
      </w:r>
    </w:p>
    <w:p w14:paraId="56D53D85" w14:textId="414F201B" w:rsidR="00DB69DB" w:rsidRDefault="00375719" w:rsidP="00DC5D01">
      <w:pPr>
        <w:spacing w:line="276" w:lineRule="auto"/>
        <w:rPr>
          <w:rFonts w:ascii="Arial" w:hAnsi="Arial" w:cs="Arial"/>
          <w:lang w:val="cs-CZ"/>
        </w:rPr>
      </w:pPr>
      <w:r w:rsidRPr="00FF5348">
        <w:rPr>
          <w:rFonts w:ascii="Arial" w:hAnsi="Arial" w:cs="Arial"/>
          <w:lang w:val="cs-CZ"/>
        </w:rPr>
        <w:t xml:space="preserve">Ostatní </w:t>
      </w:r>
      <w:r w:rsidR="006F12CC" w:rsidRPr="00FF5348">
        <w:rPr>
          <w:rFonts w:ascii="Arial" w:hAnsi="Arial" w:cs="Arial"/>
          <w:lang w:val="cs-CZ"/>
        </w:rPr>
        <w:t>ustanovení smlouvy</w:t>
      </w:r>
      <w:r w:rsidRPr="00FF5348">
        <w:rPr>
          <w:rFonts w:ascii="Arial" w:hAnsi="Arial" w:cs="Arial"/>
          <w:lang w:val="cs-CZ"/>
        </w:rPr>
        <w:t xml:space="preserve"> o dílo </w:t>
      </w:r>
      <w:r w:rsidR="00BD08FD" w:rsidRPr="00FF5348">
        <w:rPr>
          <w:rFonts w:ascii="Arial" w:hAnsi="Arial" w:cs="Arial"/>
          <w:lang w:val="cs-CZ"/>
        </w:rPr>
        <w:t>se nemění</w:t>
      </w:r>
      <w:r w:rsidRPr="00FF5348">
        <w:rPr>
          <w:rFonts w:ascii="Arial" w:hAnsi="Arial" w:cs="Arial"/>
          <w:lang w:val="cs-CZ"/>
        </w:rPr>
        <w:t>.</w:t>
      </w:r>
      <w:r w:rsidR="006F3E98" w:rsidRPr="00FF5348">
        <w:rPr>
          <w:rFonts w:ascii="Arial" w:hAnsi="Arial" w:cs="Arial"/>
          <w:lang w:val="cs-CZ"/>
        </w:rPr>
        <w:t xml:space="preserve"> </w:t>
      </w:r>
      <w:r w:rsidR="00180D4D" w:rsidRPr="00FF5348">
        <w:rPr>
          <w:rFonts w:ascii="Arial" w:hAnsi="Arial" w:cs="Arial"/>
          <w:lang w:val="cs-CZ"/>
        </w:rPr>
        <w:t>Objednatel i zhotovitel prohlašují, že si smlouvu přečetli a že souhlasí s jejím obsahem, dále prohlašují, že smlouva nebyla sepsána v tísni ani za nápadně nevýhodných podmínek. Na důkaz své pravé a svobodné vůle připojují své podpisy.</w:t>
      </w:r>
    </w:p>
    <w:p w14:paraId="7629E652" w14:textId="77777777" w:rsidR="001C5D23" w:rsidRDefault="001C5D23" w:rsidP="00DC5D01">
      <w:pPr>
        <w:spacing w:line="276" w:lineRule="auto"/>
        <w:rPr>
          <w:rFonts w:ascii="Arial" w:hAnsi="Arial" w:cs="Arial"/>
          <w:lang w:val="cs-CZ"/>
        </w:rPr>
      </w:pPr>
    </w:p>
    <w:p w14:paraId="02EF0868" w14:textId="1E24B9F1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Břeclavi: </w:t>
      </w:r>
      <w:r w:rsidR="00F473F2">
        <w:rPr>
          <w:rFonts w:ascii="Arial" w:hAnsi="Arial" w:cs="Arial"/>
          <w:lang w:val="cs-CZ"/>
        </w:rPr>
        <w:t>2.6.2025</w:t>
      </w:r>
      <w:r w:rsidR="00F473F2">
        <w:rPr>
          <w:rFonts w:ascii="Arial" w:hAnsi="Arial" w:cs="Arial"/>
          <w:lang w:val="cs-CZ"/>
        </w:rPr>
        <w:tab/>
      </w:r>
      <w:r w:rsidR="00F473F2">
        <w:rPr>
          <w:rFonts w:ascii="Arial" w:hAnsi="Arial" w:cs="Arial"/>
          <w:lang w:val="cs-CZ"/>
        </w:rPr>
        <w:tab/>
      </w:r>
      <w:r w:rsidR="00F473F2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V </w:t>
      </w:r>
      <w:r w:rsidR="005B0454">
        <w:rPr>
          <w:rFonts w:ascii="Arial" w:hAnsi="Arial" w:cs="Arial"/>
          <w:lang w:val="cs-CZ"/>
        </w:rPr>
        <w:t>Třebíči</w:t>
      </w:r>
      <w:r>
        <w:rPr>
          <w:rFonts w:ascii="Arial" w:hAnsi="Arial" w:cs="Arial"/>
          <w:lang w:val="cs-CZ"/>
        </w:rPr>
        <w:t xml:space="preserve">: </w:t>
      </w:r>
      <w:r w:rsidR="00F473F2">
        <w:rPr>
          <w:rFonts w:ascii="Arial" w:hAnsi="Arial" w:cs="Arial"/>
          <w:lang w:val="cs-CZ"/>
        </w:rPr>
        <w:t>2.6.2025</w:t>
      </w:r>
      <w:r>
        <w:rPr>
          <w:rFonts w:ascii="Arial" w:hAnsi="Arial" w:cs="Arial"/>
          <w:lang w:val="cs-CZ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B6291F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B6291F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4CD19534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36AC7E55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8608E31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39F76ED8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723A5F67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550A5998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13E32AC9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7D15CADE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5A63359A" w14:textId="77777777" w:rsidR="00FA063E" w:rsidRDefault="00FA063E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4814A0A2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7AE0F4CA" w14:textId="77777777" w:rsidR="00FA063E" w:rsidRPr="00FA063E" w:rsidRDefault="00FA063E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FA063E">
              <w:rPr>
                <w:rFonts w:ascii="Arial" w:hAnsi="Arial" w:cs="Arial"/>
                <w:b/>
                <w:lang w:val="cs-CZ"/>
              </w:rPr>
              <w:t>EKOS T, spol. s r.o.</w:t>
            </w:r>
          </w:p>
          <w:p w14:paraId="3086154A" w14:textId="072106FF" w:rsidR="0018606B" w:rsidRPr="00FA063E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  <w:r w:rsidRPr="00FA063E">
              <w:rPr>
                <w:rFonts w:ascii="Arial" w:hAnsi="Arial" w:cs="Arial"/>
                <w:bCs/>
                <w:szCs w:val="20"/>
                <w:lang w:val="cs-CZ"/>
              </w:rPr>
              <w:t xml:space="preserve">Ing. </w:t>
            </w:r>
            <w:r w:rsidR="00FA063E" w:rsidRPr="00FA063E">
              <w:rPr>
                <w:rFonts w:ascii="Arial" w:hAnsi="Arial" w:cs="Arial"/>
                <w:bCs/>
                <w:szCs w:val="20"/>
                <w:lang w:val="cs-CZ"/>
              </w:rPr>
              <w:t>Aleš Tůma</w:t>
            </w:r>
            <w:r w:rsidRPr="00FA063E">
              <w:rPr>
                <w:rFonts w:ascii="Arial" w:hAnsi="Arial" w:cs="Arial"/>
                <w:bCs/>
                <w:lang w:val="cs-CZ"/>
              </w:rPr>
              <w:t xml:space="preserve"> </w:t>
            </w:r>
          </w:p>
          <w:p w14:paraId="22EB78EC" w14:textId="77777777" w:rsidR="0018606B" w:rsidRPr="00FA063E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  <w:lang w:val="cs-CZ"/>
              </w:rPr>
            </w:pPr>
            <w:r w:rsidRPr="00FA063E">
              <w:rPr>
                <w:rFonts w:ascii="Arial" w:hAnsi="Arial" w:cs="Arial"/>
                <w:bCs/>
                <w:szCs w:val="20"/>
                <w:lang w:val="cs-CZ"/>
              </w:rPr>
              <w:t>jednatel</w:t>
            </w:r>
          </w:p>
          <w:p w14:paraId="3E8AC2B0" w14:textId="28E69442" w:rsid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</w:pPr>
            <w:r w:rsidRPr="00FA063E"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  <w:t xml:space="preserve">                   podepsáno elek</w:t>
            </w:r>
            <w:r w:rsidR="00FA063E" w:rsidRPr="00FA063E"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  <w:t>t</w:t>
            </w:r>
            <w:r w:rsidRPr="00FA063E"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  <w:t>ronicky</w:t>
            </w:r>
          </w:p>
          <w:p w14:paraId="5D227AC1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461EC48E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084AC804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575EAF22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2EA49CBB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10662C32" w14:textId="77777777" w:rsid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</w:p>
          <w:p w14:paraId="01A49568" w14:textId="7C1D7032" w:rsidR="00FA063E" w:rsidRP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  <w:r w:rsidRPr="00FA063E">
              <w:rPr>
                <w:rFonts w:ascii="Arial" w:hAnsi="Arial" w:cs="Arial"/>
                <w:bCs/>
                <w:lang w:val="cs-CZ"/>
              </w:rPr>
              <w:t>……………………………………</w:t>
            </w:r>
          </w:p>
          <w:p w14:paraId="6AE863F3" w14:textId="44E0DDAA" w:rsidR="00FA063E" w:rsidRP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FA063E">
              <w:rPr>
                <w:rFonts w:ascii="Arial" w:hAnsi="Arial" w:cs="Arial"/>
                <w:b/>
                <w:lang w:val="cs-CZ"/>
              </w:rPr>
              <w:t>EKOS T, spol. s r.o.</w:t>
            </w:r>
          </w:p>
          <w:p w14:paraId="704F4827" w14:textId="497A9012" w:rsidR="00FA063E" w:rsidRP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cs-CZ"/>
              </w:rPr>
            </w:pPr>
            <w:r w:rsidRPr="00FA063E">
              <w:rPr>
                <w:rFonts w:ascii="Arial" w:hAnsi="Arial" w:cs="Arial"/>
                <w:bCs/>
                <w:szCs w:val="20"/>
                <w:lang w:val="cs-CZ"/>
              </w:rPr>
              <w:t xml:space="preserve">Ing. </w:t>
            </w:r>
            <w:r>
              <w:rPr>
                <w:rFonts w:ascii="Arial" w:hAnsi="Arial" w:cs="Arial"/>
                <w:bCs/>
                <w:szCs w:val="20"/>
                <w:lang w:val="cs-CZ"/>
              </w:rPr>
              <w:t>Libor Sedláček</w:t>
            </w:r>
            <w:r w:rsidRPr="00FA063E">
              <w:rPr>
                <w:rFonts w:ascii="Arial" w:hAnsi="Arial" w:cs="Arial"/>
                <w:bCs/>
                <w:lang w:val="cs-CZ"/>
              </w:rPr>
              <w:t xml:space="preserve"> </w:t>
            </w:r>
          </w:p>
          <w:p w14:paraId="2C8FE925" w14:textId="77777777" w:rsidR="00FA063E" w:rsidRPr="00FA063E" w:rsidRDefault="00FA063E" w:rsidP="00FA063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  <w:lang w:val="cs-CZ"/>
              </w:rPr>
            </w:pPr>
            <w:r w:rsidRPr="00FA063E">
              <w:rPr>
                <w:rFonts w:ascii="Arial" w:hAnsi="Arial" w:cs="Arial"/>
                <w:bCs/>
                <w:szCs w:val="20"/>
                <w:lang w:val="cs-CZ"/>
              </w:rPr>
              <w:t>jednatel</w:t>
            </w:r>
          </w:p>
          <w:p w14:paraId="27EFF65A" w14:textId="77777777" w:rsidR="00FA063E" w:rsidRPr="00FA063E" w:rsidRDefault="00FA063E" w:rsidP="00FA063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</w:pPr>
            <w:r w:rsidRPr="00FA063E"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  <w:t xml:space="preserve">                   podepsáno elektronicky</w:t>
            </w:r>
          </w:p>
          <w:p w14:paraId="494EB0FB" w14:textId="77777777" w:rsidR="00FA063E" w:rsidRPr="00FA063E" w:rsidRDefault="00FA063E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cs-CZ" w:eastAsia="en-US"/>
              </w:rPr>
            </w:pPr>
          </w:p>
          <w:p w14:paraId="2E99209F" w14:textId="77777777" w:rsidR="00FA063E" w:rsidRDefault="00FA063E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en-GB" w:eastAsia="en-US"/>
              </w:rPr>
            </w:pPr>
          </w:p>
          <w:p w14:paraId="2CBC02AF" w14:textId="77777777" w:rsidR="00FA063E" w:rsidRDefault="00FA063E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en-GB" w:eastAsia="en-US"/>
              </w:rPr>
            </w:pPr>
          </w:p>
          <w:p w14:paraId="3054EBE3" w14:textId="77777777" w:rsidR="00FA063E" w:rsidRDefault="00FA063E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en-GB" w:eastAsia="en-US"/>
              </w:rPr>
            </w:pPr>
          </w:p>
          <w:p w14:paraId="68C030B2" w14:textId="77777777" w:rsidR="00FA063E" w:rsidRPr="00FA063E" w:rsidRDefault="00FA063E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val="en-GB" w:eastAsia="en-US"/>
              </w:rPr>
            </w:pPr>
          </w:p>
          <w:p w14:paraId="6C5BA251" w14:textId="77777777" w:rsidR="0018606B" w:rsidRPr="00FA063E" w:rsidRDefault="0018606B" w:rsidP="000A39BD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7B1DD2B" w14:textId="7E1F6984" w:rsidR="00642E4C" w:rsidRPr="00FA063E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cs-CZ"/>
        </w:rPr>
        <w:tab/>
      </w:r>
    </w:p>
    <w:sectPr w:rsidR="00642E4C" w:rsidRPr="00FA063E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C670" w14:textId="77777777" w:rsidR="00A36308" w:rsidRDefault="00A36308">
      <w:pPr>
        <w:spacing w:after="0" w:line="240" w:lineRule="auto"/>
      </w:pPr>
      <w:r>
        <w:separator/>
      </w:r>
    </w:p>
  </w:endnote>
  <w:endnote w:type="continuationSeparator" w:id="0">
    <w:p w14:paraId="402B3000" w14:textId="77777777" w:rsidR="00A36308" w:rsidRDefault="00A3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B16E" w14:textId="77777777" w:rsidR="00A36308" w:rsidRDefault="00A36308">
      <w:pPr>
        <w:spacing w:after="0" w:line="240" w:lineRule="auto"/>
      </w:pPr>
      <w:r>
        <w:separator/>
      </w:r>
    </w:p>
  </w:footnote>
  <w:footnote w:type="continuationSeparator" w:id="0">
    <w:p w14:paraId="625ABE36" w14:textId="77777777" w:rsidR="00A36308" w:rsidRDefault="00A3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4DAE2EFC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7FF46DF2" w:rsidR="00026174" w:rsidRPr="00026174" w:rsidRDefault="00026174">
    <w:pPr>
      <w:pStyle w:val="Zhlav"/>
      <w:rPr>
        <w:rFonts w:ascii="Arial" w:hAnsi="Arial" w:cs="Arial"/>
        <w:sz w:val="16"/>
        <w:szCs w:val="16"/>
      </w:rPr>
    </w:pPr>
    <w:r w:rsidRPr="00026174">
      <w:rPr>
        <w:rFonts w:ascii="Arial" w:hAnsi="Arial" w:cs="Arial"/>
        <w:sz w:val="16"/>
        <w:szCs w:val="16"/>
      </w:rPr>
      <w:t xml:space="preserve">Smlouva o dílo – </w:t>
    </w:r>
    <w:r w:rsidR="009811B9" w:rsidRPr="009811B9">
      <w:rPr>
        <w:rFonts w:ascii="Arial" w:hAnsi="Arial" w:cs="Arial"/>
        <w:sz w:val="16"/>
        <w:szCs w:val="16"/>
      </w:rPr>
      <w:t>JPÚ pro odstranění parcel ZE v k.ú. Mikulov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49A74097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00539A">
      <w:rPr>
        <w:sz w:val="14"/>
      </w:rPr>
      <w:t xml:space="preserve">       </w:t>
    </w:r>
    <w:r w:rsidR="00EE1AF6" w:rsidRPr="00EE1AF6">
      <w:rPr>
        <w:rFonts w:ascii="Arial" w:hAnsi="Arial" w:cs="Arial"/>
        <w:sz w:val="16"/>
      </w:rPr>
      <w:t>Číslo Smlouvy Objednatele:</w:t>
    </w:r>
    <w:r w:rsidR="00A41B2C">
      <w:rPr>
        <w:rFonts w:ascii="Arial" w:hAnsi="Arial" w:cs="Arial"/>
        <w:sz w:val="16"/>
      </w:rPr>
      <w:t>309-2024-523203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 xml:space="preserve">Číslo Smlouvy Zhotovitele: </w:t>
    </w:r>
    <w:r w:rsidR="00A41B2C">
      <w:rPr>
        <w:rFonts w:ascii="Arial" w:hAnsi="Arial" w:cs="Arial"/>
        <w:sz w:val="16"/>
      </w:rPr>
      <w:t>5/2024</w:t>
    </w:r>
  </w:p>
  <w:p w14:paraId="3562508E" w14:textId="269E2B88" w:rsidR="00FF5348" w:rsidRPr="008742A1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00539A">
      <w:rPr>
        <w:rFonts w:ascii="Arial" w:hAnsi="Arial" w:cs="Arial"/>
        <w:sz w:val="16"/>
      </w:rPr>
      <w:t>UID :</w:t>
    </w:r>
    <w:r w:rsidR="0000539A" w:rsidRPr="0000539A">
      <w:t xml:space="preserve"> </w:t>
    </w:r>
    <w:r w:rsidR="0000539A" w:rsidRPr="0000539A">
      <w:rPr>
        <w:rFonts w:ascii="Arial" w:hAnsi="Arial" w:cs="Arial"/>
        <w:sz w:val="16"/>
      </w:rPr>
      <w:t>spudms00000015594332</w:t>
    </w:r>
  </w:p>
  <w:p w14:paraId="16B88821" w14:textId="0FA38B16" w:rsidR="000205F9" w:rsidRPr="008742A1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</w:rPr>
    </w:pPr>
    <w:r w:rsidRPr="008742A1">
      <w:rPr>
        <w:rFonts w:ascii="Arial" w:hAnsi="Arial" w:cs="Arial"/>
        <w:sz w:val="16"/>
      </w:rPr>
      <w:tab/>
    </w:r>
    <w:r w:rsidRPr="008742A1">
      <w:rPr>
        <w:rFonts w:ascii="Arial" w:hAnsi="Arial" w:cs="Arial"/>
        <w:sz w:val="16"/>
      </w:rPr>
      <w:tab/>
    </w:r>
    <w:r w:rsidR="009811B9" w:rsidRPr="008742A1">
      <w:rPr>
        <w:rFonts w:ascii="Arial" w:hAnsi="Arial" w:cs="Arial"/>
        <w:sz w:val="16"/>
      </w:rPr>
      <w:t>JPÚ pro odstranění parcel ZE v k.ú. Mikulov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853220">
    <w:abstractNumId w:val="4"/>
  </w:num>
  <w:num w:numId="2" w16cid:durableId="58554633">
    <w:abstractNumId w:val="8"/>
  </w:num>
  <w:num w:numId="3" w16cid:durableId="169302189">
    <w:abstractNumId w:val="6"/>
  </w:num>
  <w:num w:numId="4" w16cid:durableId="550461156">
    <w:abstractNumId w:val="1"/>
  </w:num>
  <w:num w:numId="5" w16cid:durableId="883519180">
    <w:abstractNumId w:val="3"/>
  </w:num>
  <w:num w:numId="6" w16cid:durableId="1417629267">
    <w:abstractNumId w:val="2"/>
  </w:num>
  <w:num w:numId="7" w16cid:durableId="1146312934">
    <w:abstractNumId w:val="4"/>
  </w:num>
  <w:num w:numId="8" w16cid:durableId="404373457">
    <w:abstractNumId w:val="4"/>
  </w:num>
  <w:num w:numId="9" w16cid:durableId="189730249">
    <w:abstractNumId w:val="4"/>
  </w:num>
  <w:num w:numId="10" w16cid:durableId="292491767">
    <w:abstractNumId w:val="4"/>
  </w:num>
  <w:num w:numId="11" w16cid:durableId="733503083">
    <w:abstractNumId w:val="4"/>
  </w:num>
  <w:num w:numId="12" w16cid:durableId="797724609">
    <w:abstractNumId w:val="4"/>
  </w:num>
  <w:num w:numId="13" w16cid:durableId="1295520431">
    <w:abstractNumId w:val="4"/>
  </w:num>
  <w:num w:numId="14" w16cid:durableId="1338075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9"/>
  </w:num>
  <w:num w:numId="16" w16cid:durableId="1238898051">
    <w:abstractNumId w:val="7"/>
  </w:num>
  <w:num w:numId="17" w16cid:durableId="1718552964">
    <w:abstractNumId w:val="5"/>
  </w:num>
  <w:num w:numId="18" w16cid:durableId="99564845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0539A"/>
    <w:rsid w:val="0001270D"/>
    <w:rsid w:val="00012DC0"/>
    <w:rsid w:val="0001351E"/>
    <w:rsid w:val="000152A0"/>
    <w:rsid w:val="0001592E"/>
    <w:rsid w:val="0001770C"/>
    <w:rsid w:val="000205F9"/>
    <w:rsid w:val="00021B06"/>
    <w:rsid w:val="0002363A"/>
    <w:rsid w:val="0002419A"/>
    <w:rsid w:val="00024784"/>
    <w:rsid w:val="00026174"/>
    <w:rsid w:val="00026CDB"/>
    <w:rsid w:val="00032A8F"/>
    <w:rsid w:val="0003406E"/>
    <w:rsid w:val="00036F01"/>
    <w:rsid w:val="000416FF"/>
    <w:rsid w:val="00042CA0"/>
    <w:rsid w:val="00046C44"/>
    <w:rsid w:val="00047C2C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7673"/>
    <w:rsid w:val="00082269"/>
    <w:rsid w:val="00083169"/>
    <w:rsid w:val="00084548"/>
    <w:rsid w:val="00091D71"/>
    <w:rsid w:val="0009322A"/>
    <w:rsid w:val="000935D7"/>
    <w:rsid w:val="00097E8B"/>
    <w:rsid w:val="000A009E"/>
    <w:rsid w:val="000A0980"/>
    <w:rsid w:val="000A0DA0"/>
    <w:rsid w:val="000A2328"/>
    <w:rsid w:val="000B02DE"/>
    <w:rsid w:val="000B1138"/>
    <w:rsid w:val="000B1E86"/>
    <w:rsid w:val="000B60F3"/>
    <w:rsid w:val="000B6251"/>
    <w:rsid w:val="000C0BD2"/>
    <w:rsid w:val="000C4475"/>
    <w:rsid w:val="000C5D10"/>
    <w:rsid w:val="000C72B4"/>
    <w:rsid w:val="000D0382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106CC8"/>
    <w:rsid w:val="0010704F"/>
    <w:rsid w:val="00111732"/>
    <w:rsid w:val="0011333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50A54"/>
    <w:rsid w:val="0015279B"/>
    <w:rsid w:val="00154F28"/>
    <w:rsid w:val="00156E1D"/>
    <w:rsid w:val="00156FCD"/>
    <w:rsid w:val="001627B1"/>
    <w:rsid w:val="00165D18"/>
    <w:rsid w:val="00166F24"/>
    <w:rsid w:val="00167D4E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3B8F"/>
    <w:rsid w:val="001B4A3F"/>
    <w:rsid w:val="001B7833"/>
    <w:rsid w:val="001C00F4"/>
    <w:rsid w:val="001C5D23"/>
    <w:rsid w:val="001C6C1D"/>
    <w:rsid w:val="001D09E6"/>
    <w:rsid w:val="001D4D39"/>
    <w:rsid w:val="001E3E8B"/>
    <w:rsid w:val="001E7AD4"/>
    <w:rsid w:val="001F0491"/>
    <w:rsid w:val="001F09CB"/>
    <w:rsid w:val="001F09EB"/>
    <w:rsid w:val="001F4E64"/>
    <w:rsid w:val="001F4F49"/>
    <w:rsid w:val="001F5AF2"/>
    <w:rsid w:val="00205BD3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633A"/>
    <w:rsid w:val="0024030F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C1FBB"/>
    <w:rsid w:val="002C3B63"/>
    <w:rsid w:val="002C5C58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900"/>
    <w:rsid w:val="002F477D"/>
    <w:rsid w:val="002F7ADC"/>
    <w:rsid w:val="00300DAC"/>
    <w:rsid w:val="003044F0"/>
    <w:rsid w:val="003073D3"/>
    <w:rsid w:val="00310F4E"/>
    <w:rsid w:val="0031289E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2374"/>
    <w:rsid w:val="00353F04"/>
    <w:rsid w:val="00354192"/>
    <w:rsid w:val="00354BC6"/>
    <w:rsid w:val="00360C44"/>
    <w:rsid w:val="00360C57"/>
    <w:rsid w:val="0036140B"/>
    <w:rsid w:val="003614EB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C093E"/>
    <w:rsid w:val="003C172D"/>
    <w:rsid w:val="003C27B9"/>
    <w:rsid w:val="003C423D"/>
    <w:rsid w:val="003C56D3"/>
    <w:rsid w:val="003C6B50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E7E50"/>
    <w:rsid w:val="003F1378"/>
    <w:rsid w:val="003F14CF"/>
    <w:rsid w:val="003F1A76"/>
    <w:rsid w:val="003F2720"/>
    <w:rsid w:val="003F48E8"/>
    <w:rsid w:val="00400CE8"/>
    <w:rsid w:val="00402796"/>
    <w:rsid w:val="004032EB"/>
    <w:rsid w:val="00404486"/>
    <w:rsid w:val="004051C8"/>
    <w:rsid w:val="00411819"/>
    <w:rsid w:val="00411D95"/>
    <w:rsid w:val="00412E62"/>
    <w:rsid w:val="0041764F"/>
    <w:rsid w:val="00422489"/>
    <w:rsid w:val="004278DF"/>
    <w:rsid w:val="00427ABE"/>
    <w:rsid w:val="00432824"/>
    <w:rsid w:val="00435696"/>
    <w:rsid w:val="004362E3"/>
    <w:rsid w:val="0044572B"/>
    <w:rsid w:val="00451A2D"/>
    <w:rsid w:val="004523BE"/>
    <w:rsid w:val="00454100"/>
    <w:rsid w:val="004545C4"/>
    <w:rsid w:val="00455BEB"/>
    <w:rsid w:val="00455FD5"/>
    <w:rsid w:val="004576FD"/>
    <w:rsid w:val="004578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92A6B"/>
    <w:rsid w:val="0049544D"/>
    <w:rsid w:val="0049654A"/>
    <w:rsid w:val="004979BF"/>
    <w:rsid w:val="004A004B"/>
    <w:rsid w:val="004A354F"/>
    <w:rsid w:val="004A5590"/>
    <w:rsid w:val="004A6BC1"/>
    <w:rsid w:val="004A7296"/>
    <w:rsid w:val="004B30C5"/>
    <w:rsid w:val="004B3E3A"/>
    <w:rsid w:val="004B6869"/>
    <w:rsid w:val="004C1786"/>
    <w:rsid w:val="004C1C50"/>
    <w:rsid w:val="004C2A73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7C0"/>
    <w:rsid w:val="004F488D"/>
    <w:rsid w:val="004F5C66"/>
    <w:rsid w:val="004F707A"/>
    <w:rsid w:val="00500B63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74E8"/>
    <w:rsid w:val="00561043"/>
    <w:rsid w:val="005620A8"/>
    <w:rsid w:val="005622B6"/>
    <w:rsid w:val="00562398"/>
    <w:rsid w:val="00565450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0454"/>
    <w:rsid w:val="005B3431"/>
    <w:rsid w:val="005B5BCD"/>
    <w:rsid w:val="005C1CA3"/>
    <w:rsid w:val="005C3FB6"/>
    <w:rsid w:val="005C7BE0"/>
    <w:rsid w:val="005D1810"/>
    <w:rsid w:val="005D3B26"/>
    <w:rsid w:val="005D5278"/>
    <w:rsid w:val="005E220A"/>
    <w:rsid w:val="005E250E"/>
    <w:rsid w:val="005E6482"/>
    <w:rsid w:val="005E6C74"/>
    <w:rsid w:val="005F52C9"/>
    <w:rsid w:val="00600E64"/>
    <w:rsid w:val="0060190F"/>
    <w:rsid w:val="00604338"/>
    <w:rsid w:val="00605292"/>
    <w:rsid w:val="0061058F"/>
    <w:rsid w:val="00611B85"/>
    <w:rsid w:val="00613EFC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E4C"/>
    <w:rsid w:val="00643111"/>
    <w:rsid w:val="00647C36"/>
    <w:rsid w:val="0065307E"/>
    <w:rsid w:val="006531F0"/>
    <w:rsid w:val="00655FC9"/>
    <w:rsid w:val="00662169"/>
    <w:rsid w:val="00664216"/>
    <w:rsid w:val="00664D6B"/>
    <w:rsid w:val="00670A1F"/>
    <w:rsid w:val="006752D9"/>
    <w:rsid w:val="00675C49"/>
    <w:rsid w:val="006776A2"/>
    <w:rsid w:val="006810E8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4E59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90822"/>
    <w:rsid w:val="0079402A"/>
    <w:rsid w:val="007942DD"/>
    <w:rsid w:val="00795644"/>
    <w:rsid w:val="00797FA4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2EDA"/>
    <w:rsid w:val="0083309B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42A1"/>
    <w:rsid w:val="00875190"/>
    <w:rsid w:val="00875191"/>
    <w:rsid w:val="00877793"/>
    <w:rsid w:val="00881731"/>
    <w:rsid w:val="00882E42"/>
    <w:rsid w:val="008831F4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1A48"/>
    <w:rsid w:val="008C3722"/>
    <w:rsid w:val="008C4AB9"/>
    <w:rsid w:val="008C5ED8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1B9"/>
    <w:rsid w:val="009815EB"/>
    <w:rsid w:val="00982110"/>
    <w:rsid w:val="00982F36"/>
    <w:rsid w:val="009927D7"/>
    <w:rsid w:val="00993395"/>
    <w:rsid w:val="009958AC"/>
    <w:rsid w:val="00997885"/>
    <w:rsid w:val="009A47DA"/>
    <w:rsid w:val="009A4A81"/>
    <w:rsid w:val="009A4DA9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768"/>
    <w:rsid w:val="009E1B34"/>
    <w:rsid w:val="009E271F"/>
    <w:rsid w:val="009E46D6"/>
    <w:rsid w:val="009F2FA2"/>
    <w:rsid w:val="009F4D84"/>
    <w:rsid w:val="009F6C0E"/>
    <w:rsid w:val="00A004F4"/>
    <w:rsid w:val="00A01AE8"/>
    <w:rsid w:val="00A0539B"/>
    <w:rsid w:val="00A07CBA"/>
    <w:rsid w:val="00A11491"/>
    <w:rsid w:val="00A11AF8"/>
    <w:rsid w:val="00A127F4"/>
    <w:rsid w:val="00A1565A"/>
    <w:rsid w:val="00A17AE4"/>
    <w:rsid w:val="00A238BE"/>
    <w:rsid w:val="00A24427"/>
    <w:rsid w:val="00A25D5D"/>
    <w:rsid w:val="00A3084C"/>
    <w:rsid w:val="00A34112"/>
    <w:rsid w:val="00A36308"/>
    <w:rsid w:val="00A36D24"/>
    <w:rsid w:val="00A378D6"/>
    <w:rsid w:val="00A41B2C"/>
    <w:rsid w:val="00A42952"/>
    <w:rsid w:val="00A435A0"/>
    <w:rsid w:val="00A45517"/>
    <w:rsid w:val="00A47BCB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93283"/>
    <w:rsid w:val="00A953F3"/>
    <w:rsid w:val="00A959C8"/>
    <w:rsid w:val="00A963E6"/>
    <w:rsid w:val="00AA141E"/>
    <w:rsid w:val="00AA2AA8"/>
    <w:rsid w:val="00AB3C95"/>
    <w:rsid w:val="00AB7654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AF7ECB"/>
    <w:rsid w:val="00B01BEB"/>
    <w:rsid w:val="00B02333"/>
    <w:rsid w:val="00B026F0"/>
    <w:rsid w:val="00B03B63"/>
    <w:rsid w:val="00B05271"/>
    <w:rsid w:val="00B1328A"/>
    <w:rsid w:val="00B13383"/>
    <w:rsid w:val="00B15BC8"/>
    <w:rsid w:val="00B15C35"/>
    <w:rsid w:val="00B17EBB"/>
    <w:rsid w:val="00B21A18"/>
    <w:rsid w:val="00B21E8C"/>
    <w:rsid w:val="00B24733"/>
    <w:rsid w:val="00B27067"/>
    <w:rsid w:val="00B3524E"/>
    <w:rsid w:val="00B415EE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291F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3E48"/>
    <w:rsid w:val="00BA4305"/>
    <w:rsid w:val="00BA4856"/>
    <w:rsid w:val="00BB0AA2"/>
    <w:rsid w:val="00BB160A"/>
    <w:rsid w:val="00BB6349"/>
    <w:rsid w:val="00BC2FFE"/>
    <w:rsid w:val="00BC7B0A"/>
    <w:rsid w:val="00BD08FD"/>
    <w:rsid w:val="00BD0BF7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3E3B"/>
    <w:rsid w:val="00BF5420"/>
    <w:rsid w:val="00BF6373"/>
    <w:rsid w:val="00BF7708"/>
    <w:rsid w:val="00BF7C39"/>
    <w:rsid w:val="00BF7CD5"/>
    <w:rsid w:val="00BF7F73"/>
    <w:rsid w:val="00C007B3"/>
    <w:rsid w:val="00C023E6"/>
    <w:rsid w:val="00C078E1"/>
    <w:rsid w:val="00C10295"/>
    <w:rsid w:val="00C117AD"/>
    <w:rsid w:val="00C15214"/>
    <w:rsid w:val="00C173B7"/>
    <w:rsid w:val="00C21655"/>
    <w:rsid w:val="00C21D55"/>
    <w:rsid w:val="00C236EE"/>
    <w:rsid w:val="00C23E4B"/>
    <w:rsid w:val="00C25FA7"/>
    <w:rsid w:val="00C31C5E"/>
    <w:rsid w:val="00C345D9"/>
    <w:rsid w:val="00C35461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78E0"/>
    <w:rsid w:val="00C914EA"/>
    <w:rsid w:val="00C96D93"/>
    <w:rsid w:val="00CA02A6"/>
    <w:rsid w:val="00CA0381"/>
    <w:rsid w:val="00CA0951"/>
    <w:rsid w:val="00CA2386"/>
    <w:rsid w:val="00CA3A35"/>
    <w:rsid w:val="00CA4458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27609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578A7"/>
    <w:rsid w:val="00D60114"/>
    <w:rsid w:val="00D6505F"/>
    <w:rsid w:val="00D6643F"/>
    <w:rsid w:val="00D712BD"/>
    <w:rsid w:val="00D73FD3"/>
    <w:rsid w:val="00D752CF"/>
    <w:rsid w:val="00D76105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77E5"/>
    <w:rsid w:val="00E002B1"/>
    <w:rsid w:val="00E006FC"/>
    <w:rsid w:val="00E064C6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2078"/>
    <w:rsid w:val="00E961DB"/>
    <w:rsid w:val="00E969B5"/>
    <w:rsid w:val="00EA046B"/>
    <w:rsid w:val="00EA13DB"/>
    <w:rsid w:val="00EA1D11"/>
    <w:rsid w:val="00EA343A"/>
    <w:rsid w:val="00EA4983"/>
    <w:rsid w:val="00EA5770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426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4C33"/>
    <w:rsid w:val="00F36083"/>
    <w:rsid w:val="00F4249B"/>
    <w:rsid w:val="00F440D3"/>
    <w:rsid w:val="00F4472B"/>
    <w:rsid w:val="00F4577B"/>
    <w:rsid w:val="00F473B5"/>
    <w:rsid w:val="00F473F2"/>
    <w:rsid w:val="00F47BA1"/>
    <w:rsid w:val="00F5067E"/>
    <w:rsid w:val="00F52DCA"/>
    <w:rsid w:val="00F52EC3"/>
    <w:rsid w:val="00F539F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77E1"/>
    <w:rsid w:val="00FA063E"/>
    <w:rsid w:val="00FA1C8D"/>
    <w:rsid w:val="00FA1D0C"/>
    <w:rsid w:val="00FA3054"/>
    <w:rsid w:val="00FA6460"/>
    <w:rsid w:val="00FB0C1A"/>
    <w:rsid w:val="00FB2583"/>
    <w:rsid w:val="00FB29BF"/>
    <w:rsid w:val="00FB4411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F23F2"/>
    <w:rsid w:val="00FF404F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89</cp:revision>
  <cp:lastPrinted>2025-05-21T04:57:00Z</cp:lastPrinted>
  <dcterms:created xsi:type="dcterms:W3CDTF">2024-04-03T09:25:00Z</dcterms:created>
  <dcterms:modified xsi:type="dcterms:W3CDTF">2025-06-03T04:19:00Z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