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576333">
      <w:pPr>
        <w:pStyle w:val="Level3"/>
        <w:numPr>
          <w:ilvl w:val="0"/>
          <w:numId w:val="12"/>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05848BA" w14:textId="77777777" w:rsidR="00BA3879" w:rsidRPr="00ED6435" w:rsidRDefault="00BA3879" w:rsidP="00BA3879">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Pr>
          <w:rFonts w:ascii="Arial" w:hAnsi="Arial" w:cs="Arial"/>
          <w:snapToGrid w:val="0"/>
        </w:rPr>
        <w:t>Středočeský kraj a hl. m. Praha</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Pr>
          <w:rFonts w:ascii="Arial" w:hAnsi="Arial" w:cs="Arial"/>
          <w:snapToGrid w:val="0"/>
        </w:rPr>
        <w:t>nám. Winstona Churchilla 1800/2, 13000 Praha 3.</w:t>
      </w:r>
    </w:p>
    <w:p w14:paraId="35EAE42F" w14:textId="77777777" w:rsidR="00BA3879" w:rsidRPr="00ED6435" w:rsidRDefault="00BA3879" w:rsidP="00BA3879">
      <w:pPr>
        <w:spacing w:after="120"/>
        <w:ind w:left="567"/>
        <w:jc w:val="both"/>
        <w:rPr>
          <w:rFonts w:ascii="Arial" w:hAnsi="Arial" w:cs="Arial"/>
        </w:rPr>
      </w:pPr>
      <w:r w:rsidRPr="00ED6435">
        <w:rPr>
          <w:rFonts w:ascii="Arial" w:hAnsi="Arial" w:cs="Arial"/>
        </w:rPr>
        <w:t>Zastoupe</w:t>
      </w:r>
      <w:r>
        <w:rPr>
          <w:rFonts w:ascii="Arial" w:hAnsi="Arial" w:cs="Arial"/>
        </w:rPr>
        <w:t>ná:</w:t>
      </w:r>
      <w:r w:rsidRPr="001D67BA">
        <w:rPr>
          <w:rFonts w:ascii="Arial" w:hAnsi="Arial" w:cs="Arial"/>
          <w:iCs/>
        </w:rPr>
        <w:t xml:space="preserve"> </w:t>
      </w:r>
      <w:r>
        <w:rPr>
          <w:rFonts w:ascii="Arial" w:hAnsi="Arial" w:cs="Arial"/>
          <w:iCs/>
        </w:rPr>
        <w:t>Ing. Jiří Veselý, ředitel KPÚ</w:t>
      </w:r>
    </w:p>
    <w:p w14:paraId="1F0F10C2" w14:textId="77777777" w:rsidR="00BA6D5B" w:rsidRDefault="00BA3879" w:rsidP="00BA3879">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Jiří Veselý, ředitel KPÚ</w:t>
      </w:r>
      <w:r w:rsidRPr="00ED6435" w:rsidDel="001D67BA">
        <w:rPr>
          <w:rFonts w:ascii="Arial" w:hAnsi="Arial" w:cs="Arial"/>
        </w:rPr>
        <w:t xml:space="preserve"> </w:t>
      </w:r>
    </w:p>
    <w:p w14:paraId="0F40A609" w14:textId="4EBF6193" w:rsidR="00BA3879" w:rsidRPr="00ED6435" w:rsidRDefault="00BA3879" w:rsidP="00BA3879">
      <w:pPr>
        <w:spacing w:after="120"/>
        <w:ind w:left="567"/>
        <w:jc w:val="both"/>
        <w:rPr>
          <w:rFonts w:ascii="Arial" w:hAnsi="Arial" w:cs="Arial"/>
        </w:rPr>
      </w:pPr>
      <w:r w:rsidRPr="00ED6435">
        <w:rPr>
          <w:rFonts w:ascii="Arial" w:hAnsi="Arial" w:cs="Arial"/>
        </w:rPr>
        <w:t>V technických záležitostech zastoupená:</w:t>
      </w:r>
      <w:r>
        <w:rPr>
          <w:rFonts w:ascii="Arial" w:hAnsi="Arial" w:cs="Arial"/>
          <w:iCs/>
        </w:rPr>
        <w:t xml:space="preserve"> Josef Zeman</w:t>
      </w:r>
      <w:r>
        <w:rPr>
          <w:rFonts w:ascii="Arial" w:hAnsi="Arial" w:cs="Arial"/>
          <w:snapToGrid w:val="0"/>
        </w:rPr>
        <w:t>, Gabriela Poláková; pobočka Mladá Boleslav</w:t>
      </w:r>
    </w:p>
    <w:p w14:paraId="3E2E5B45" w14:textId="77777777" w:rsidR="00BA3879" w:rsidRPr="00ED6435" w:rsidRDefault="00BA3879" w:rsidP="00BA3879">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13704228" w14:textId="77777777" w:rsidR="00BA3879" w:rsidRPr="00ED6435" w:rsidRDefault="00BA3879" w:rsidP="00BA3879">
      <w:pPr>
        <w:tabs>
          <w:tab w:val="left" w:pos="4536"/>
        </w:tabs>
        <w:spacing w:after="120"/>
        <w:ind w:left="567"/>
        <w:contextualSpacing/>
        <w:jc w:val="both"/>
        <w:rPr>
          <w:rFonts w:ascii="Arial" w:hAnsi="Arial" w:cs="Arial"/>
        </w:rPr>
      </w:pPr>
      <w:r w:rsidRPr="00ED6435">
        <w:rPr>
          <w:rFonts w:ascii="Arial" w:hAnsi="Arial" w:cs="Arial"/>
        </w:rPr>
        <w:t>Tel.:</w:t>
      </w:r>
      <w:r>
        <w:rPr>
          <w:rFonts w:ascii="Arial" w:hAnsi="Arial" w:cs="Arial"/>
        </w:rPr>
        <w:t xml:space="preserve"> +420 </w:t>
      </w:r>
      <w:r w:rsidRPr="007D278B">
        <w:rPr>
          <w:rFonts w:ascii="Arial" w:hAnsi="Arial" w:cs="Arial"/>
        </w:rPr>
        <w:t>725</w:t>
      </w:r>
      <w:r>
        <w:rPr>
          <w:rFonts w:ascii="Arial" w:hAnsi="Arial" w:cs="Arial"/>
        </w:rPr>
        <w:t> </w:t>
      </w:r>
      <w:r w:rsidRPr="007D278B">
        <w:rPr>
          <w:rFonts w:ascii="Arial" w:hAnsi="Arial" w:cs="Arial"/>
        </w:rPr>
        <w:t>002</w:t>
      </w:r>
      <w:r>
        <w:rPr>
          <w:rFonts w:ascii="Arial" w:hAnsi="Arial" w:cs="Arial"/>
        </w:rPr>
        <w:t xml:space="preserve"> </w:t>
      </w:r>
      <w:r w:rsidRPr="007D278B">
        <w:rPr>
          <w:rFonts w:ascii="Arial" w:hAnsi="Arial" w:cs="Arial"/>
        </w:rPr>
        <w:t>569</w:t>
      </w:r>
      <w:r>
        <w:rPr>
          <w:rFonts w:ascii="Arial" w:hAnsi="Arial" w:cs="Arial"/>
        </w:rPr>
        <w:t>, +420 </w:t>
      </w:r>
      <w:r w:rsidRPr="00D8525D">
        <w:rPr>
          <w:rFonts w:ascii="Arial" w:hAnsi="Arial" w:cs="Arial"/>
        </w:rPr>
        <w:t>725</w:t>
      </w:r>
      <w:r>
        <w:rPr>
          <w:rFonts w:ascii="Arial" w:hAnsi="Arial" w:cs="Arial"/>
        </w:rPr>
        <w:t> </w:t>
      </w:r>
      <w:r w:rsidRPr="00D8525D">
        <w:rPr>
          <w:rFonts w:ascii="Arial" w:hAnsi="Arial" w:cs="Arial"/>
        </w:rPr>
        <w:t>950</w:t>
      </w:r>
      <w:r>
        <w:rPr>
          <w:rFonts w:ascii="Arial" w:hAnsi="Arial" w:cs="Arial"/>
        </w:rPr>
        <w:t xml:space="preserve"> </w:t>
      </w:r>
      <w:r w:rsidRPr="00D8525D">
        <w:rPr>
          <w:rFonts w:ascii="Arial" w:hAnsi="Arial" w:cs="Arial"/>
        </w:rPr>
        <w:t>114</w:t>
      </w:r>
    </w:p>
    <w:p w14:paraId="54A6B513" w14:textId="77777777" w:rsidR="00BA3879" w:rsidRPr="00ED6435" w:rsidRDefault="00BA3879" w:rsidP="00BA3879">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7D278B">
        <w:rPr>
          <w:rFonts w:ascii="Arial" w:hAnsi="Arial" w:cs="Arial"/>
          <w:snapToGrid w:val="0"/>
        </w:rPr>
        <w:t>josef.zeman1@spu.gov.cz</w:t>
      </w:r>
      <w:r>
        <w:rPr>
          <w:rFonts w:ascii="Arial" w:hAnsi="Arial" w:cs="Arial"/>
          <w:snapToGrid w:val="0"/>
        </w:rPr>
        <w:t xml:space="preserve">, </w:t>
      </w:r>
      <w:r w:rsidRPr="00D8525D">
        <w:rPr>
          <w:rFonts w:ascii="Arial" w:hAnsi="Arial" w:cs="Arial"/>
          <w:snapToGrid w:val="0"/>
        </w:rPr>
        <w:t>gabriela.polakova@spu.gov.cz</w:t>
      </w:r>
    </w:p>
    <w:p w14:paraId="1A7D6AC1" w14:textId="77777777" w:rsidR="00BA3879" w:rsidRPr="00ED6435" w:rsidRDefault="00BA3879" w:rsidP="00BA3879">
      <w:pPr>
        <w:spacing w:after="120"/>
        <w:ind w:left="567" w:right="1418"/>
        <w:jc w:val="both"/>
        <w:rPr>
          <w:rFonts w:ascii="Arial" w:hAnsi="Arial" w:cs="Arial"/>
          <w:b/>
          <w:i/>
        </w:rPr>
      </w:pPr>
      <w:r w:rsidRPr="00ED6435">
        <w:rPr>
          <w:rFonts w:ascii="Arial" w:hAnsi="Arial" w:cs="Arial"/>
        </w:rPr>
        <w:t>ID datové schránky: z49per3</w:t>
      </w:r>
    </w:p>
    <w:p w14:paraId="58752137" w14:textId="77777777" w:rsidR="00BA3879" w:rsidRPr="00ED6435" w:rsidRDefault="00BA3879" w:rsidP="00BA3879">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2088102D" w14:textId="77777777" w:rsidR="00BA3879" w:rsidRPr="00ED6435" w:rsidRDefault="00BA3879" w:rsidP="00BA3879">
      <w:pPr>
        <w:spacing w:after="120"/>
        <w:ind w:left="4536" w:right="1417" w:hanging="3969"/>
        <w:contextualSpacing/>
        <w:jc w:val="both"/>
        <w:rPr>
          <w:rFonts w:ascii="Arial" w:hAnsi="Arial" w:cs="Arial"/>
          <w:b/>
          <w:i/>
        </w:rPr>
      </w:pPr>
      <w:r w:rsidRPr="00ED6435">
        <w:rPr>
          <w:rFonts w:ascii="Arial" w:hAnsi="Arial" w:cs="Arial"/>
        </w:rPr>
        <w:t>Číslo účtu: 3723001/0710</w:t>
      </w:r>
    </w:p>
    <w:p w14:paraId="1EE155FB" w14:textId="77777777" w:rsidR="00BA3879" w:rsidRPr="00ED6435" w:rsidRDefault="00BA3879" w:rsidP="00BA3879">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BA3879" w:rsidRDefault="00E0086F" w:rsidP="00576333">
      <w:pPr>
        <w:numPr>
          <w:ilvl w:val="0"/>
          <w:numId w:val="12"/>
        </w:numPr>
        <w:spacing w:before="120" w:after="120" w:line="240" w:lineRule="auto"/>
        <w:ind w:left="567" w:hanging="567"/>
        <w:jc w:val="both"/>
        <w:rPr>
          <w:rFonts w:ascii="Arial" w:hAnsi="Arial" w:cs="Arial"/>
          <w:b/>
          <w:highlight w:val="yellow"/>
        </w:rPr>
      </w:pPr>
      <w:r w:rsidRPr="00BA3879">
        <w:rPr>
          <w:rFonts w:ascii="Arial" w:hAnsi="Arial" w:cs="Arial"/>
          <w:b/>
          <w:highlight w:val="yellow"/>
        </w:rPr>
        <w:t>[Obchodní firma zhotovitele]</w:t>
      </w:r>
    </w:p>
    <w:p w14:paraId="32BEDF50" w14:textId="77777777" w:rsidR="00E0086F" w:rsidRPr="00BA3879" w:rsidRDefault="00E0086F" w:rsidP="00DB56FF">
      <w:pPr>
        <w:spacing w:before="120" w:after="120"/>
        <w:ind w:left="567"/>
        <w:jc w:val="both"/>
        <w:rPr>
          <w:rFonts w:ascii="Arial" w:hAnsi="Arial" w:cs="Arial"/>
          <w:snapToGrid w:val="0"/>
          <w:highlight w:val="yellow"/>
        </w:rPr>
      </w:pPr>
      <w:r w:rsidRPr="00BA3879">
        <w:rPr>
          <w:rFonts w:ascii="Arial" w:hAnsi="Arial" w:cs="Arial"/>
          <w:highlight w:val="yellow"/>
        </w:rPr>
        <w:t xml:space="preserve">společnost založená a existující podle právního řádu [České republiky], </w:t>
      </w:r>
      <w:r w:rsidRPr="00BA3879">
        <w:rPr>
          <w:rFonts w:ascii="Arial" w:hAnsi="Arial" w:cs="Arial"/>
          <w:bCs/>
          <w:highlight w:val="yellow"/>
        </w:rPr>
        <w:t>se sídlem</w:t>
      </w:r>
      <w:proofErr w:type="gramStart"/>
      <w:r w:rsidRPr="00BA3879">
        <w:rPr>
          <w:rFonts w:ascii="Arial" w:hAnsi="Arial" w:cs="Arial"/>
          <w:bCs/>
          <w:highlight w:val="yellow"/>
        </w:rPr>
        <w:t xml:space="preserve"> </w:t>
      </w:r>
      <w:r w:rsidRPr="00BA3879">
        <w:rPr>
          <w:rFonts w:ascii="Arial" w:hAnsi="Arial" w:cs="Arial"/>
          <w:snapToGrid w:val="0"/>
          <w:highlight w:val="yellow"/>
        </w:rPr>
        <w:t>....</w:t>
      </w:r>
      <w:proofErr w:type="gramEnd"/>
      <w:r w:rsidRPr="00BA3879">
        <w:rPr>
          <w:rFonts w:ascii="Arial" w:hAnsi="Arial" w:cs="Arial"/>
          <w:snapToGrid w:val="0"/>
          <w:highlight w:val="yellow"/>
        </w:rPr>
        <w:t>., IČO: ....., zapsaná v obchodním rejstříku vedeném u ..... soudu v</w:t>
      </w:r>
      <w:proofErr w:type="gramStart"/>
      <w:r w:rsidRPr="00BA3879">
        <w:rPr>
          <w:rFonts w:ascii="Arial" w:hAnsi="Arial" w:cs="Arial"/>
          <w:snapToGrid w:val="0"/>
          <w:highlight w:val="yellow"/>
        </w:rPr>
        <w:t xml:space="preserve"> ....</w:t>
      </w:r>
      <w:proofErr w:type="gramEnd"/>
      <w:r w:rsidRPr="00BA3879">
        <w:rPr>
          <w:rFonts w:ascii="Arial" w:hAnsi="Arial" w:cs="Arial"/>
          <w:snapToGrid w:val="0"/>
          <w:highlight w:val="yellow"/>
        </w:rPr>
        <w:t>., oddíl ....., vložka .....</w:t>
      </w:r>
    </w:p>
    <w:p w14:paraId="5F89DDB9" w14:textId="77777777" w:rsidR="00E0086F" w:rsidRPr="00BA3879" w:rsidRDefault="00E0086F" w:rsidP="00DB56FF">
      <w:pPr>
        <w:spacing w:before="120" w:after="120"/>
        <w:ind w:left="567"/>
        <w:jc w:val="both"/>
        <w:rPr>
          <w:rFonts w:ascii="Arial" w:hAnsi="Arial" w:cs="Arial"/>
          <w:bCs/>
          <w:highlight w:val="yellow"/>
        </w:rPr>
      </w:pPr>
      <w:proofErr w:type="gramStart"/>
      <w:r w:rsidRPr="00BA3879">
        <w:rPr>
          <w:rFonts w:ascii="Arial" w:hAnsi="Arial" w:cs="Arial"/>
          <w:snapToGrid w:val="0"/>
          <w:highlight w:val="yellow"/>
        </w:rPr>
        <w:t>Zastoupená: ....</w:t>
      </w:r>
      <w:proofErr w:type="gramEnd"/>
      <w:r w:rsidRPr="00BA3879">
        <w:rPr>
          <w:rFonts w:ascii="Arial" w:hAnsi="Arial" w:cs="Arial"/>
          <w:snapToGrid w:val="0"/>
          <w:highlight w:val="yellow"/>
        </w:rPr>
        <w:t>.</w:t>
      </w:r>
    </w:p>
    <w:p w14:paraId="470BDDFE" w14:textId="7B1CD226" w:rsidR="00E0086F" w:rsidRPr="00BA3879" w:rsidRDefault="00E0086F" w:rsidP="00DB56FF">
      <w:pPr>
        <w:spacing w:before="120" w:after="120"/>
        <w:ind w:left="567"/>
        <w:jc w:val="both"/>
        <w:rPr>
          <w:rFonts w:ascii="Arial" w:hAnsi="Arial" w:cs="Arial"/>
          <w:highlight w:val="yellow"/>
        </w:rPr>
      </w:pPr>
      <w:r w:rsidRPr="00BA3879">
        <w:rPr>
          <w:rFonts w:ascii="Arial" w:hAnsi="Arial" w:cs="Arial"/>
          <w:highlight w:val="yellow"/>
        </w:rPr>
        <w:t xml:space="preserve">Ve smluvních záležitostech </w:t>
      </w:r>
      <w:proofErr w:type="gramStart"/>
      <w:r w:rsidR="00EC1291" w:rsidRPr="00BA3879">
        <w:rPr>
          <w:rFonts w:ascii="Arial" w:hAnsi="Arial" w:cs="Arial"/>
          <w:highlight w:val="yellow"/>
        </w:rPr>
        <w:t>zastoupená</w:t>
      </w:r>
      <w:r w:rsidRPr="00BA3879">
        <w:rPr>
          <w:rFonts w:ascii="Arial" w:hAnsi="Arial" w:cs="Arial"/>
          <w:bCs/>
          <w:highlight w:val="yellow"/>
        </w:rPr>
        <w:t xml:space="preserve">: </w:t>
      </w:r>
      <w:r w:rsidRPr="00BA3879">
        <w:rPr>
          <w:rFonts w:ascii="Arial" w:hAnsi="Arial" w:cs="Arial"/>
          <w:snapToGrid w:val="0"/>
          <w:highlight w:val="yellow"/>
        </w:rPr>
        <w:t>....</w:t>
      </w:r>
      <w:proofErr w:type="gramEnd"/>
      <w:r w:rsidRPr="00BA3879">
        <w:rPr>
          <w:rFonts w:ascii="Arial" w:hAnsi="Arial" w:cs="Arial"/>
          <w:snapToGrid w:val="0"/>
          <w:highlight w:val="yellow"/>
        </w:rPr>
        <w:t>.</w:t>
      </w:r>
    </w:p>
    <w:p w14:paraId="2D5046AC" w14:textId="1BB7041A" w:rsidR="00E0086F" w:rsidRPr="00BA3879" w:rsidRDefault="00E0086F" w:rsidP="00DB56FF">
      <w:pPr>
        <w:tabs>
          <w:tab w:val="left" w:pos="4536"/>
        </w:tabs>
        <w:spacing w:before="120" w:after="120"/>
        <w:ind w:left="567"/>
        <w:jc w:val="both"/>
        <w:rPr>
          <w:rFonts w:ascii="Arial" w:hAnsi="Arial" w:cs="Arial"/>
          <w:snapToGrid w:val="0"/>
          <w:highlight w:val="yellow"/>
        </w:rPr>
      </w:pPr>
      <w:r w:rsidRPr="00BA3879">
        <w:rPr>
          <w:rFonts w:ascii="Arial" w:hAnsi="Arial" w:cs="Arial"/>
          <w:highlight w:val="yellow"/>
        </w:rPr>
        <w:t xml:space="preserve">V technických záležitostech </w:t>
      </w:r>
      <w:proofErr w:type="gramStart"/>
      <w:r w:rsidR="00EC1291" w:rsidRPr="00BA3879">
        <w:rPr>
          <w:rFonts w:ascii="Arial" w:hAnsi="Arial" w:cs="Arial"/>
          <w:highlight w:val="yellow"/>
        </w:rPr>
        <w:t>zastoupená</w:t>
      </w:r>
      <w:r w:rsidRPr="00BA3879">
        <w:rPr>
          <w:rFonts w:ascii="Arial" w:hAnsi="Arial" w:cs="Arial"/>
          <w:highlight w:val="yellow"/>
        </w:rPr>
        <w:t xml:space="preserve">: </w:t>
      </w:r>
      <w:r w:rsidRPr="00BA3879">
        <w:rPr>
          <w:rFonts w:ascii="Arial" w:hAnsi="Arial" w:cs="Arial"/>
          <w:snapToGrid w:val="0"/>
          <w:highlight w:val="yellow"/>
        </w:rPr>
        <w:t>....</w:t>
      </w:r>
      <w:proofErr w:type="gramEnd"/>
      <w:r w:rsidRPr="00BA3879">
        <w:rPr>
          <w:rFonts w:ascii="Arial" w:hAnsi="Arial" w:cs="Arial"/>
          <w:snapToGrid w:val="0"/>
          <w:highlight w:val="yellow"/>
        </w:rPr>
        <w:t>.</w:t>
      </w:r>
      <w:r w:rsidR="00EC1291" w:rsidRPr="00BA3879">
        <w:rPr>
          <w:rFonts w:ascii="Arial" w:hAnsi="Arial" w:cs="Arial"/>
          <w:snapToGrid w:val="0"/>
          <w:highlight w:val="yellow"/>
        </w:rPr>
        <w:t xml:space="preserve"> </w:t>
      </w:r>
    </w:p>
    <w:p w14:paraId="3E50340C" w14:textId="5F9CA0D0" w:rsidR="005715BF" w:rsidRPr="00BA3879" w:rsidRDefault="00E5155E" w:rsidP="00DB56FF">
      <w:pPr>
        <w:tabs>
          <w:tab w:val="left" w:pos="4536"/>
        </w:tabs>
        <w:spacing w:before="120" w:after="120"/>
        <w:ind w:left="567"/>
        <w:jc w:val="both"/>
        <w:rPr>
          <w:rFonts w:ascii="Arial" w:hAnsi="Arial" w:cs="Arial"/>
          <w:snapToGrid w:val="0"/>
          <w:highlight w:val="yellow"/>
        </w:rPr>
      </w:pPr>
      <w:r w:rsidRPr="00BA3879">
        <w:rPr>
          <w:rFonts w:ascii="Arial" w:hAnsi="Arial" w:cs="Arial"/>
          <w:snapToGrid w:val="0"/>
          <w:highlight w:val="yellow"/>
        </w:rPr>
        <w:t>Vedoucí týmu</w:t>
      </w:r>
      <w:r w:rsidR="007274EC" w:rsidRPr="00BA3879">
        <w:rPr>
          <w:rFonts w:ascii="Arial" w:hAnsi="Arial" w:cs="Arial"/>
          <w:snapToGrid w:val="0"/>
          <w:highlight w:val="yellow"/>
        </w:rPr>
        <w:t xml:space="preserve">: </w:t>
      </w:r>
    </w:p>
    <w:p w14:paraId="51D1C9C1" w14:textId="11E425A2" w:rsidR="00CC78B7" w:rsidRPr="00BA3879" w:rsidRDefault="00CC78B7" w:rsidP="00DB56FF">
      <w:pPr>
        <w:tabs>
          <w:tab w:val="left" w:pos="4536"/>
        </w:tabs>
        <w:spacing w:before="120" w:after="120"/>
        <w:ind w:left="567"/>
        <w:jc w:val="both"/>
        <w:rPr>
          <w:rFonts w:ascii="Arial" w:hAnsi="Arial" w:cs="Arial"/>
          <w:highlight w:val="yellow"/>
        </w:rPr>
      </w:pPr>
      <w:r w:rsidRPr="00BA3879">
        <w:rPr>
          <w:rFonts w:ascii="Arial" w:hAnsi="Arial" w:cs="Arial"/>
          <w:snapToGrid w:val="0"/>
          <w:highlight w:val="yellow"/>
        </w:rPr>
        <w:t>Zástupce vedoucího týmu:</w:t>
      </w:r>
    </w:p>
    <w:p w14:paraId="7BB3EF73" w14:textId="77777777" w:rsidR="00E0086F" w:rsidRPr="00BA3879" w:rsidRDefault="00E0086F" w:rsidP="00DB56FF">
      <w:pPr>
        <w:tabs>
          <w:tab w:val="left" w:pos="4536"/>
        </w:tabs>
        <w:spacing w:before="120" w:after="120"/>
        <w:ind w:left="567"/>
        <w:contextualSpacing/>
        <w:jc w:val="both"/>
        <w:rPr>
          <w:rFonts w:ascii="Arial" w:hAnsi="Arial" w:cs="Arial"/>
          <w:highlight w:val="yellow"/>
        </w:rPr>
      </w:pPr>
      <w:r w:rsidRPr="00BA3879">
        <w:rPr>
          <w:rFonts w:ascii="Arial" w:hAnsi="Arial" w:cs="Arial"/>
          <w:b/>
          <w:bCs/>
          <w:highlight w:val="yellow"/>
        </w:rPr>
        <w:t>Kontaktní údaje:</w:t>
      </w:r>
    </w:p>
    <w:p w14:paraId="40F60D1B" w14:textId="21F2E96A" w:rsidR="00E0086F" w:rsidRPr="00BA3879" w:rsidRDefault="00E0086F" w:rsidP="00DB56FF">
      <w:pPr>
        <w:tabs>
          <w:tab w:val="left" w:pos="4536"/>
        </w:tabs>
        <w:spacing w:before="120" w:after="120"/>
        <w:ind w:left="567"/>
        <w:contextualSpacing/>
        <w:jc w:val="both"/>
        <w:rPr>
          <w:rFonts w:ascii="Arial" w:hAnsi="Arial" w:cs="Arial"/>
          <w:highlight w:val="yellow"/>
        </w:rPr>
      </w:pPr>
      <w:proofErr w:type="gramStart"/>
      <w:r w:rsidRPr="00BA3879">
        <w:rPr>
          <w:rFonts w:ascii="Arial" w:hAnsi="Arial" w:cs="Arial"/>
          <w:highlight w:val="yellow"/>
        </w:rPr>
        <w:t xml:space="preserve">Tel.: </w:t>
      </w:r>
      <w:r w:rsidRPr="00BA3879">
        <w:rPr>
          <w:rFonts w:ascii="Arial" w:hAnsi="Arial" w:cs="Arial"/>
          <w:snapToGrid w:val="0"/>
          <w:highlight w:val="yellow"/>
        </w:rPr>
        <w:t>....</w:t>
      </w:r>
      <w:proofErr w:type="gramEnd"/>
      <w:r w:rsidRPr="00BA3879">
        <w:rPr>
          <w:rFonts w:ascii="Arial" w:hAnsi="Arial" w:cs="Arial"/>
          <w:snapToGrid w:val="0"/>
          <w:highlight w:val="yellow"/>
        </w:rPr>
        <w:t>.</w:t>
      </w:r>
    </w:p>
    <w:p w14:paraId="3A61A83D" w14:textId="77777777" w:rsidR="00E0086F" w:rsidRPr="00BA3879" w:rsidRDefault="00E0086F" w:rsidP="00DB56FF">
      <w:pPr>
        <w:tabs>
          <w:tab w:val="left" w:pos="4536"/>
        </w:tabs>
        <w:spacing w:before="120" w:after="120"/>
        <w:ind w:left="567"/>
        <w:contextualSpacing/>
        <w:jc w:val="both"/>
        <w:rPr>
          <w:rFonts w:ascii="Arial" w:hAnsi="Arial" w:cs="Arial"/>
          <w:highlight w:val="yellow"/>
        </w:rPr>
      </w:pPr>
      <w:proofErr w:type="gramStart"/>
      <w:r w:rsidRPr="00BA3879">
        <w:rPr>
          <w:rFonts w:ascii="Arial" w:hAnsi="Arial" w:cs="Arial"/>
          <w:highlight w:val="yellow"/>
        </w:rPr>
        <w:t>E-mail:</w:t>
      </w:r>
      <w:r w:rsidRPr="00BA3879">
        <w:rPr>
          <w:rFonts w:ascii="Arial" w:hAnsi="Arial" w:cs="Arial"/>
          <w:snapToGrid w:val="0"/>
          <w:highlight w:val="yellow"/>
        </w:rPr>
        <w:t xml:space="preserve"> ....</w:t>
      </w:r>
      <w:proofErr w:type="gramEnd"/>
      <w:r w:rsidRPr="00BA3879">
        <w:rPr>
          <w:rFonts w:ascii="Arial" w:hAnsi="Arial" w:cs="Arial"/>
          <w:snapToGrid w:val="0"/>
          <w:highlight w:val="yellow"/>
        </w:rPr>
        <w:t>.</w:t>
      </w:r>
    </w:p>
    <w:p w14:paraId="4F80076C" w14:textId="77777777" w:rsidR="00E0086F" w:rsidRPr="00BA3879" w:rsidRDefault="00E0086F" w:rsidP="00DB56FF">
      <w:pPr>
        <w:spacing w:before="120" w:after="120"/>
        <w:ind w:left="567"/>
        <w:jc w:val="both"/>
        <w:rPr>
          <w:rFonts w:ascii="Arial" w:hAnsi="Arial" w:cs="Arial"/>
          <w:highlight w:val="yellow"/>
        </w:rPr>
      </w:pPr>
      <w:r w:rsidRPr="00BA3879">
        <w:rPr>
          <w:rFonts w:ascii="Arial" w:hAnsi="Arial" w:cs="Arial"/>
          <w:highlight w:val="yellow"/>
        </w:rPr>
        <w:t xml:space="preserve">ID datové </w:t>
      </w:r>
      <w:proofErr w:type="gramStart"/>
      <w:r w:rsidRPr="00BA3879">
        <w:rPr>
          <w:rFonts w:ascii="Arial" w:hAnsi="Arial" w:cs="Arial"/>
          <w:highlight w:val="yellow"/>
        </w:rPr>
        <w:t>schránky:</w:t>
      </w:r>
      <w:r w:rsidRPr="00BA3879">
        <w:rPr>
          <w:rFonts w:ascii="Arial" w:hAnsi="Arial" w:cs="Arial"/>
          <w:snapToGrid w:val="0"/>
          <w:highlight w:val="yellow"/>
        </w:rPr>
        <w:t xml:space="preserve"> ....</w:t>
      </w:r>
      <w:proofErr w:type="gramEnd"/>
      <w:r w:rsidRPr="00BA3879">
        <w:rPr>
          <w:rFonts w:ascii="Arial" w:hAnsi="Arial" w:cs="Arial"/>
          <w:snapToGrid w:val="0"/>
          <w:highlight w:val="yellow"/>
        </w:rPr>
        <w:t>.</w:t>
      </w:r>
    </w:p>
    <w:p w14:paraId="7DA99D36" w14:textId="77777777" w:rsidR="00E0086F" w:rsidRPr="00BA3879" w:rsidRDefault="00E0086F" w:rsidP="00DB56FF">
      <w:pPr>
        <w:tabs>
          <w:tab w:val="left" w:pos="4536"/>
        </w:tabs>
        <w:spacing w:before="120" w:after="120"/>
        <w:ind w:left="567"/>
        <w:contextualSpacing/>
        <w:jc w:val="both"/>
        <w:rPr>
          <w:rFonts w:ascii="Arial" w:hAnsi="Arial" w:cs="Arial"/>
          <w:highlight w:val="yellow"/>
        </w:rPr>
      </w:pPr>
      <w:r w:rsidRPr="00BA3879">
        <w:rPr>
          <w:rFonts w:ascii="Arial" w:hAnsi="Arial" w:cs="Arial"/>
          <w:b/>
          <w:highlight w:val="yellow"/>
        </w:rPr>
        <w:t xml:space="preserve">Bankovní </w:t>
      </w:r>
      <w:proofErr w:type="gramStart"/>
      <w:r w:rsidRPr="00BA3879">
        <w:rPr>
          <w:rFonts w:ascii="Arial" w:hAnsi="Arial" w:cs="Arial"/>
          <w:b/>
          <w:highlight w:val="yellow"/>
        </w:rPr>
        <w:t>spojení:</w:t>
      </w:r>
      <w:r w:rsidRPr="00BA3879">
        <w:rPr>
          <w:rFonts w:ascii="Arial" w:hAnsi="Arial" w:cs="Arial"/>
          <w:snapToGrid w:val="0"/>
          <w:highlight w:val="yellow"/>
        </w:rPr>
        <w:t xml:space="preserve"> ....</w:t>
      </w:r>
      <w:proofErr w:type="gramEnd"/>
      <w:r w:rsidRPr="00BA3879">
        <w:rPr>
          <w:rFonts w:ascii="Arial" w:hAnsi="Arial" w:cs="Arial"/>
          <w:snapToGrid w:val="0"/>
          <w:highlight w:val="yellow"/>
        </w:rPr>
        <w:t>.</w:t>
      </w:r>
    </w:p>
    <w:p w14:paraId="6F011ECB" w14:textId="77777777" w:rsidR="00E0086F" w:rsidRPr="00BA3879" w:rsidRDefault="00E0086F" w:rsidP="00DB56FF">
      <w:pPr>
        <w:tabs>
          <w:tab w:val="left" w:pos="4536"/>
        </w:tabs>
        <w:spacing w:before="120" w:after="120"/>
        <w:ind w:left="567"/>
        <w:contextualSpacing/>
        <w:jc w:val="both"/>
        <w:rPr>
          <w:rFonts w:ascii="Arial" w:hAnsi="Arial" w:cs="Arial"/>
          <w:highlight w:val="yellow"/>
        </w:rPr>
      </w:pPr>
      <w:r w:rsidRPr="00BA3879">
        <w:rPr>
          <w:rFonts w:ascii="Arial" w:hAnsi="Arial" w:cs="Arial"/>
          <w:highlight w:val="yellow"/>
        </w:rPr>
        <w:t xml:space="preserve">Číslo </w:t>
      </w:r>
      <w:proofErr w:type="gramStart"/>
      <w:r w:rsidRPr="00BA3879">
        <w:rPr>
          <w:rFonts w:ascii="Arial" w:hAnsi="Arial" w:cs="Arial"/>
          <w:highlight w:val="yellow"/>
        </w:rPr>
        <w:t xml:space="preserve">účtu: </w:t>
      </w:r>
      <w:r w:rsidRPr="00BA3879">
        <w:rPr>
          <w:rFonts w:ascii="Arial" w:hAnsi="Arial" w:cs="Arial"/>
          <w:snapToGrid w:val="0"/>
          <w:highlight w:val="yellow"/>
        </w:rPr>
        <w:t>....</w:t>
      </w:r>
      <w:proofErr w:type="gramEnd"/>
      <w:r w:rsidRPr="00BA3879">
        <w:rPr>
          <w:rFonts w:ascii="Arial" w:hAnsi="Arial" w:cs="Arial"/>
          <w:snapToGrid w:val="0"/>
          <w:highlight w:val="yellow"/>
        </w:rPr>
        <w:t>.</w:t>
      </w:r>
    </w:p>
    <w:p w14:paraId="19074D75" w14:textId="77777777" w:rsidR="00E0086F" w:rsidRPr="00BA3879" w:rsidRDefault="00E0086F" w:rsidP="00DB56FF">
      <w:pPr>
        <w:tabs>
          <w:tab w:val="left" w:pos="4536"/>
        </w:tabs>
        <w:spacing w:before="120" w:after="120"/>
        <w:ind w:left="567"/>
        <w:jc w:val="both"/>
        <w:rPr>
          <w:rFonts w:ascii="Arial" w:hAnsi="Arial" w:cs="Arial"/>
          <w:highlight w:val="yellow"/>
        </w:rPr>
      </w:pPr>
      <w:proofErr w:type="gramStart"/>
      <w:r w:rsidRPr="00BA3879">
        <w:rPr>
          <w:rFonts w:ascii="Arial" w:hAnsi="Arial" w:cs="Arial"/>
          <w:highlight w:val="yellow"/>
        </w:rPr>
        <w:t xml:space="preserve">DIČ: </w:t>
      </w:r>
      <w:r w:rsidRPr="00BA3879">
        <w:rPr>
          <w:rFonts w:ascii="Arial" w:hAnsi="Arial" w:cs="Arial"/>
          <w:snapToGrid w:val="0"/>
          <w:highlight w:val="yellow"/>
        </w:rPr>
        <w:t>....</w:t>
      </w:r>
      <w:proofErr w:type="gramEnd"/>
      <w:r w:rsidRPr="00BA3879">
        <w:rPr>
          <w:rFonts w:ascii="Arial" w:hAnsi="Arial" w:cs="Arial"/>
          <w:snapToGrid w:val="0"/>
          <w:highlight w:val="yellow"/>
        </w:rPr>
        <w:t>.</w:t>
      </w:r>
    </w:p>
    <w:p w14:paraId="483330C9" w14:textId="77777777" w:rsidR="00E0086F" w:rsidRPr="00BA3879" w:rsidRDefault="00E0086F" w:rsidP="00DB56FF">
      <w:pPr>
        <w:spacing w:before="120" w:after="120"/>
        <w:ind w:left="567"/>
        <w:jc w:val="both"/>
        <w:rPr>
          <w:rFonts w:ascii="Arial" w:hAnsi="Arial" w:cs="Arial"/>
          <w:highlight w:val="yellow"/>
        </w:rPr>
      </w:pPr>
      <w:r w:rsidRPr="00BA3879">
        <w:rPr>
          <w:rFonts w:ascii="Arial" w:hAnsi="Arial" w:cs="Arial"/>
          <w:highlight w:val="yellow"/>
        </w:rPr>
        <w:t>(</w:t>
      </w:r>
      <w:r w:rsidRPr="00BA3879">
        <w:rPr>
          <w:rFonts w:ascii="Arial" w:hAnsi="Arial" w:cs="Arial"/>
          <w:b/>
          <w:highlight w:val="yellow"/>
        </w:rPr>
        <w:t>„Zhotovitel“</w:t>
      </w:r>
      <w:r w:rsidRPr="00BA3879">
        <w:rPr>
          <w:rFonts w:ascii="Arial" w:hAnsi="Arial" w:cs="Arial"/>
          <w:highlight w:val="yellow"/>
        </w:rPr>
        <w:t>)</w:t>
      </w:r>
    </w:p>
    <w:p w14:paraId="6EE35A18" w14:textId="77777777" w:rsidR="00E0086F" w:rsidRPr="00ED6435" w:rsidRDefault="00E0086F" w:rsidP="00DB56FF">
      <w:pPr>
        <w:spacing w:before="120" w:after="120"/>
        <w:ind w:left="567"/>
        <w:jc w:val="both"/>
        <w:rPr>
          <w:rFonts w:ascii="Arial" w:hAnsi="Arial" w:cs="Arial"/>
          <w:b/>
        </w:rPr>
      </w:pPr>
      <w:r w:rsidRPr="00BA3879">
        <w:rPr>
          <w:rFonts w:ascii="Arial" w:hAnsi="Arial" w:cs="Arial"/>
          <w:highlight w:val="yellow"/>
        </w:rPr>
        <w:t>(Objednatel a Zhotovitel dále jako „</w:t>
      </w:r>
      <w:r w:rsidRPr="00BA3879">
        <w:rPr>
          <w:rFonts w:ascii="Arial" w:hAnsi="Arial" w:cs="Arial"/>
          <w:b/>
          <w:highlight w:val="yellow"/>
        </w:rPr>
        <w:t>Smluvní strany</w:t>
      </w:r>
      <w:r w:rsidRPr="00BA3879">
        <w:rPr>
          <w:rFonts w:ascii="Arial" w:hAnsi="Arial" w:cs="Arial"/>
          <w:highlight w:val="yellow"/>
        </w:rPr>
        <w:t>“ a každý z nich samostatně jako „</w:t>
      </w:r>
      <w:r w:rsidRPr="00BA3879">
        <w:rPr>
          <w:rFonts w:ascii="Arial" w:hAnsi="Arial" w:cs="Arial"/>
          <w:b/>
          <w:highlight w:val="yellow"/>
        </w:rPr>
        <w:t>Smluvní strana</w:t>
      </w:r>
      <w:r w:rsidRPr="00BA3879">
        <w:rPr>
          <w:rFonts w:ascii="Arial" w:hAnsi="Arial" w:cs="Arial"/>
          <w:highlight w:val="yellow"/>
        </w:rPr>
        <w:t>“</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2E34144"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proofErr w:type="spellStart"/>
      <w:r w:rsidR="002F3A1F" w:rsidRPr="00116B93">
        <w:rPr>
          <w:rFonts w:ascii="Arial" w:hAnsi="Arial" w:cs="Arial"/>
          <w:b/>
          <w:bCs/>
        </w:rPr>
        <w:t>KoPÚ</w:t>
      </w:r>
      <w:proofErr w:type="spellEnd"/>
      <w:r w:rsidR="00BA3879">
        <w:rPr>
          <w:rFonts w:ascii="Arial" w:hAnsi="Arial" w:cs="Arial"/>
          <w:b/>
          <w:bCs/>
        </w:rPr>
        <w:t xml:space="preserve"> </w:t>
      </w:r>
      <w:proofErr w:type="spellStart"/>
      <w:r w:rsidR="00BA3879">
        <w:rPr>
          <w:rFonts w:ascii="Arial" w:hAnsi="Arial" w:cs="Arial"/>
          <w:b/>
          <w:bCs/>
        </w:rPr>
        <w:t>Solec</w:t>
      </w:r>
      <w:proofErr w:type="spellEnd"/>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4EAAE74"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BA3879">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1530CC">
        <w:rPr>
          <w:rFonts w:ascii="Arial" w:hAnsi="Arial" w:cs="Arial"/>
        </w:rPr>
        <w:t xml:space="preserve">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09BE968"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BA3879">
        <w:rPr>
          <w:rFonts w:ascii="Arial" w:hAnsi="Arial" w:cs="Arial"/>
          <w:b/>
          <w:bCs/>
          <w:szCs w:val="22"/>
        </w:rPr>
        <w:t>KoPÚ</w:t>
      </w:r>
      <w:proofErr w:type="spellEnd"/>
      <w:r w:rsidR="00BA3879">
        <w:rPr>
          <w:rFonts w:ascii="Arial" w:hAnsi="Arial" w:cs="Arial"/>
          <w:b/>
          <w:bCs/>
          <w:szCs w:val="22"/>
        </w:rPr>
        <w:t xml:space="preserve"> </w:t>
      </w:r>
      <w:proofErr w:type="spellStart"/>
      <w:r w:rsidR="00BA3879">
        <w:rPr>
          <w:rFonts w:ascii="Arial" w:hAnsi="Arial" w:cs="Arial"/>
          <w:b/>
          <w:bCs/>
          <w:szCs w:val="22"/>
        </w:rPr>
        <w:t>Solec</w:t>
      </w:r>
      <w:proofErr w:type="spellEnd"/>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9D88575" w:rsidR="00117696" w:rsidRPr="00A2099A" w:rsidRDefault="0091239E" w:rsidP="00576333">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proofErr w:type="spellStart"/>
      <w:r w:rsidR="00BA3879">
        <w:rPr>
          <w:rFonts w:ascii="Arial" w:hAnsi="Arial" w:cs="Arial"/>
          <w:iCs/>
        </w:rPr>
        <w:t>Solec</w:t>
      </w:r>
      <w:proofErr w:type="spellEnd"/>
      <w:r w:rsidRPr="00A2099A">
        <w:rPr>
          <w:rFonts w:ascii="Arial" w:hAnsi="Arial" w:cs="Arial"/>
          <w:iCs/>
        </w:rPr>
        <w:t xml:space="preserve"> („</w:t>
      </w:r>
      <w:proofErr w:type="spellStart"/>
      <w:r w:rsidRPr="00A2099A">
        <w:rPr>
          <w:rFonts w:ascii="Arial" w:hAnsi="Arial" w:cs="Arial"/>
          <w:b/>
          <w:bCs/>
          <w:iCs/>
        </w:rPr>
        <w:t>KoPÚ</w:t>
      </w:r>
      <w:proofErr w:type="spellEnd"/>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576333">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lastRenderedPageBreak/>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28"/>
        <w:gridCol w:w="2235"/>
        <w:gridCol w:w="2019"/>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BA3879" w:rsidRDefault="00763C03" w:rsidP="00BA3879">
            <w:pPr>
              <w:spacing w:after="0" w:line="240" w:lineRule="auto"/>
              <w:jc w:val="center"/>
              <w:rPr>
                <w:rFonts w:ascii="Arial" w:eastAsia="Times New Roman" w:hAnsi="Arial" w:cs="Arial"/>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BA3879" w:rsidRDefault="00763C03" w:rsidP="00BA3879">
            <w:pPr>
              <w:spacing w:after="0" w:line="240" w:lineRule="auto"/>
              <w:jc w:val="center"/>
              <w:rPr>
                <w:rFonts w:ascii="Arial" w:eastAsia="Times New Roman" w:hAnsi="Arial" w:cs="Arial"/>
                <w:b/>
                <w:bCs/>
                <w:color w:val="000000"/>
                <w:kern w:val="0"/>
                <w:sz w:val="20"/>
                <w:szCs w:val="20"/>
                <w:lang w:eastAsia="cs-CZ"/>
                <w14:ligatures w14:val="none"/>
              </w:rPr>
            </w:pPr>
            <w:r w:rsidRPr="00BA3879">
              <w:rPr>
                <w:rFonts w:ascii="Arial" w:eastAsia="Times New Roman" w:hAnsi="Arial" w:cs="Arial"/>
                <w:b/>
                <w:bCs/>
                <w:color w:val="000000"/>
                <w:kern w:val="0"/>
                <w:sz w:val="20"/>
                <w:szCs w:val="2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BA3879" w:rsidRDefault="00763C03" w:rsidP="00BA3879">
            <w:pPr>
              <w:spacing w:after="0" w:line="240" w:lineRule="auto"/>
              <w:jc w:val="center"/>
              <w:rPr>
                <w:rFonts w:ascii="Arial" w:eastAsia="Times New Roman" w:hAnsi="Arial" w:cs="Arial"/>
                <w:b/>
                <w:bCs/>
                <w:color w:val="000000"/>
                <w:kern w:val="0"/>
                <w:sz w:val="20"/>
                <w:szCs w:val="20"/>
                <w:lang w:eastAsia="cs-CZ"/>
                <w14:ligatures w14:val="none"/>
              </w:rPr>
            </w:pPr>
            <w:r w:rsidRPr="00BA3879">
              <w:rPr>
                <w:rFonts w:ascii="Arial" w:eastAsia="Times New Roman" w:hAnsi="Arial" w:cs="Arial"/>
                <w:b/>
                <w:bCs/>
                <w:color w:val="000000"/>
                <w:kern w:val="0"/>
                <w:sz w:val="20"/>
                <w:szCs w:val="2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284882F" w:rsidR="00763C03" w:rsidRPr="00BA3879" w:rsidRDefault="00763C03" w:rsidP="00BA3879">
            <w:pPr>
              <w:spacing w:after="0" w:line="240" w:lineRule="auto"/>
              <w:jc w:val="center"/>
              <w:rPr>
                <w:rFonts w:ascii="Arial" w:eastAsia="Times New Roman" w:hAnsi="Arial" w:cs="Arial"/>
                <w:color w:val="000000"/>
                <w:kern w:val="0"/>
                <w:lang w:eastAsia="cs-CZ"/>
                <w14:ligatures w14:val="none"/>
              </w:rPr>
            </w:pPr>
            <w:r w:rsidRPr="00BA3879">
              <w:rPr>
                <w:rFonts w:ascii="Arial" w:eastAsia="Times New Roman" w:hAnsi="Arial" w:cs="Arial"/>
                <w:color w:val="000000"/>
                <w:kern w:val="0"/>
                <w:lang w:eastAsia="cs-CZ"/>
                <w14:ligatures w14:val="none"/>
              </w:rPr>
              <w:t>Hlavní celek 1 „Přípravné práce“</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BA3879" w:rsidRDefault="00763C03" w:rsidP="00BA3879">
            <w:pPr>
              <w:spacing w:after="0" w:line="240" w:lineRule="auto"/>
              <w:jc w:val="center"/>
              <w:rPr>
                <w:rFonts w:ascii="Arial" w:eastAsia="Times New Roman" w:hAnsi="Arial" w:cs="Arial"/>
                <w:color w:val="000000"/>
                <w:kern w:val="0"/>
                <w:highlight w:val="yellow"/>
                <w:lang w:eastAsia="cs-CZ"/>
                <w14:ligatures w14:val="none"/>
              </w:rPr>
            </w:pPr>
            <w:r w:rsidRPr="00BA3879">
              <w:rPr>
                <w:rFonts w:ascii="Arial" w:eastAsia="Times New Roman" w:hAnsi="Arial" w:cs="Arial"/>
                <w:snapToGrid w:val="0"/>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BA3879" w:rsidRDefault="00763C03" w:rsidP="00BA3879">
            <w:pPr>
              <w:spacing w:after="0" w:line="240" w:lineRule="auto"/>
              <w:jc w:val="center"/>
              <w:rPr>
                <w:rFonts w:ascii="Arial" w:eastAsia="Times New Roman" w:hAnsi="Arial" w:cs="Arial"/>
                <w:color w:val="000000"/>
                <w:kern w:val="0"/>
                <w:highlight w:val="yellow"/>
                <w:lang w:eastAsia="cs-CZ"/>
                <w14:ligatures w14:val="none"/>
              </w:rPr>
            </w:pPr>
            <w:r w:rsidRPr="00BA3879">
              <w:rPr>
                <w:rFonts w:ascii="Arial" w:eastAsia="Times New Roman" w:hAnsi="Arial" w:cs="Arial"/>
                <w:snapToGrid w:val="0"/>
                <w:color w:val="000000"/>
                <w:kern w:val="0"/>
                <w:highlight w:val="yellow"/>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41695322" w:rsidR="00763C03" w:rsidRPr="00BA3879" w:rsidRDefault="00763C03" w:rsidP="00BA3879">
            <w:pPr>
              <w:spacing w:after="0" w:line="240" w:lineRule="auto"/>
              <w:jc w:val="center"/>
              <w:rPr>
                <w:rFonts w:ascii="Arial" w:eastAsia="Times New Roman" w:hAnsi="Arial" w:cs="Arial"/>
                <w:color w:val="000000"/>
                <w:kern w:val="0"/>
                <w:lang w:eastAsia="cs-CZ"/>
                <w14:ligatures w14:val="none"/>
              </w:rPr>
            </w:pPr>
            <w:r w:rsidRPr="00BA3879">
              <w:rPr>
                <w:rFonts w:ascii="Arial" w:eastAsia="Times New Roman" w:hAnsi="Arial" w:cs="Arial"/>
                <w:color w:val="000000"/>
                <w:kern w:val="0"/>
                <w:lang w:eastAsia="cs-CZ"/>
                <w14:ligatures w14:val="none"/>
              </w:rPr>
              <w:t>Hlavní celek 2 „Návrhové práce“</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BA3879" w:rsidRDefault="00763C03" w:rsidP="00BA3879">
            <w:pPr>
              <w:spacing w:after="0" w:line="240" w:lineRule="auto"/>
              <w:jc w:val="center"/>
              <w:rPr>
                <w:rFonts w:ascii="Arial" w:eastAsia="Times New Roman" w:hAnsi="Arial" w:cs="Arial"/>
                <w:color w:val="000000"/>
                <w:kern w:val="0"/>
                <w:highlight w:val="yellow"/>
                <w:lang w:eastAsia="cs-CZ"/>
                <w14:ligatures w14:val="none"/>
              </w:rPr>
            </w:pPr>
            <w:r w:rsidRPr="00BA3879">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BA3879" w:rsidRDefault="00763C03" w:rsidP="00BA3879">
            <w:pPr>
              <w:spacing w:after="0" w:line="240" w:lineRule="auto"/>
              <w:jc w:val="center"/>
              <w:rPr>
                <w:rFonts w:ascii="Arial" w:eastAsia="Times New Roman" w:hAnsi="Arial" w:cs="Arial"/>
                <w:color w:val="000000"/>
                <w:kern w:val="0"/>
                <w:highlight w:val="yellow"/>
                <w:lang w:eastAsia="cs-CZ"/>
                <w14:ligatures w14:val="none"/>
              </w:rPr>
            </w:pPr>
            <w:r w:rsidRPr="00BA3879">
              <w:rPr>
                <w:rFonts w:ascii="Arial" w:eastAsia="Times New Roman" w:hAnsi="Arial" w:cs="Arial"/>
                <w:color w:val="000000"/>
                <w:kern w:val="0"/>
                <w:highlight w:val="yellow"/>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00A713F3" w:rsidR="00763C03" w:rsidRPr="00BA3879" w:rsidRDefault="00763C03" w:rsidP="00BA3879">
            <w:pPr>
              <w:spacing w:after="0" w:line="240" w:lineRule="auto"/>
              <w:jc w:val="center"/>
              <w:rPr>
                <w:rFonts w:ascii="Arial" w:eastAsia="Times New Roman" w:hAnsi="Arial" w:cs="Arial"/>
                <w:color w:val="000000"/>
                <w:kern w:val="0"/>
                <w:lang w:eastAsia="cs-CZ"/>
                <w14:ligatures w14:val="none"/>
              </w:rPr>
            </w:pPr>
            <w:r w:rsidRPr="00BA3879">
              <w:rPr>
                <w:rFonts w:ascii="Arial" w:eastAsia="Times New Roman" w:hAnsi="Arial" w:cs="Arial"/>
                <w:color w:val="000000"/>
                <w:kern w:val="0"/>
                <w:lang w:eastAsia="cs-CZ"/>
                <w14:ligatures w14:val="none"/>
              </w:rPr>
              <w:t>Hlavní celek 3 „Mapové dílo“</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BA3879" w:rsidRDefault="00763C03" w:rsidP="00BA3879">
            <w:pPr>
              <w:spacing w:after="0" w:line="240" w:lineRule="auto"/>
              <w:jc w:val="center"/>
              <w:rPr>
                <w:rFonts w:ascii="Arial" w:eastAsia="Times New Roman" w:hAnsi="Arial" w:cs="Arial"/>
                <w:color w:val="000000"/>
                <w:kern w:val="0"/>
                <w:highlight w:val="yellow"/>
                <w:lang w:eastAsia="cs-CZ"/>
                <w14:ligatures w14:val="none"/>
              </w:rPr>
            </w:pPr>
            <w:r w:rsidRPr="00BA3879">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BA3879" w:rsidRDefault="00763C03" w:rsidP="00BA3879">
            <w:pPr>
              <w:spacing w:after="0" w:line="240" w:lineRule="auto"/>
              <w:jc w:val="center"/>
              <w:rPr>
                <w:rFonts w:ascii="Arial" w:eastAsia="Times New Roman" w:hAnsi="Arial" w:cs="Arial"/>
                <w:color w:val="000000"/>
                <w:kern w:val="0"/>
                <w:highlight w:val="yellow"/>
                <w:lang w:eastAsia="cs-CZ"/>
                <w14:ligatures w14:val="none"/>
              </w:rPr>
            </w:pPr>
            <w:r w:rsidRPr="00BA3879">
              <w:rPr>
                <w:rFonts w:ascii="Arial" w:eastAsia="Times New Roman" w:hAnsi="Arial" w:cs="Arial"/>
                <w:color w:val="000000"/>
                <w:kern w:val="0"/>
                <w:highlight w:val="yellow"/>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24B50787" w:rsidR="00763C03" w:rsidRPr="00BA3879" w:rsidRDefault="00763C03" w:rsidP="00BA3879">
            <w:pPr>
              <w:spacing w:after="0" w:line="240" w:lineRule="auto"/>
              <w:jc w:val="center"/>
              <w:rPr>
                <w:rFonts w:ascii="Arial" w:eastAsia="Times New Roman" w:hAnsi="Arial" w:cs="Arial"/>
                <w:b/>
                <w:bCs/>
                <w:color w:val="000000"/>
                <w:kern w:val="0"/>
                <w:lang w:eastAsia="cs-CZ"/>
                <w14:ligatures w14:val="none"/>
              </w:rPr>
            </w:pPr>
            <w:r w:rsidRPr="00BA3879">
              <w:rPr>
                <w:rFonts w:ascii="Arial" w:eastAsia="Times New Roman" w:hAnsi="Arial" w:cs="Arial"/>
                <w:b/>
                <w:bCs/>
                <w:kern w:val="0"/>
                <w:lang w:eastAsia="cs-CZ"/>
                <w14:ligatures w14:val="none"/>
              </w:rPr>
              <w:t>Celková cena</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BA3879" w:rsidRDefault="00763C03" w:rsidP="00BA3879">
            <w:pPr>
              <w:spacing w:after="0" w:line="240" w:lineRule="auto"/>
              <w:jc w:val="center"/>
              <w:rPr>
                <w:rFonts w:ascii="Arial" w:eastAsia="Times New Roman" w:hAnsi="Arial" w:cs="Arial"/>
                <w:b/>
                <w:bCs/>
                <w:color w:val="000000"/>
                <w:kern w:val="0"/>
                <w:highlight w:val="yellow"/>
                <w:lang w:eastAsia="cs-CZ"/>
                <w14:ligatures w14:val="none"/>
              </w:rPr>
            </w:pPr>
            <w:r w:rsidRPr="00BA3879">
              <w:rPr>
                <w:rFonts w:ascii="Arial" w:eastAsia="Times New Roman" w:hAnsi="Arial" w:cs="Arial"/>
                <w:b/>
                <w:bCs/>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BA3879" w:rsidRDefault="00763C03" w:rsidP="00BA3879">
            <w:pPr>
              <w:spacing w:after="0" w:line="240" w:lineRule="auto"/>
              <w:jc w:val="center"/>
              <w:rPr>
                <w:rFonts w:ascii="Arial" w:eastAsia="Times New Roman" w:hAnsi="Arial" w:cs="Arial"/>
                <w:b/>
                <w:bCs/>
                <w:color w:val="000000"/>
                <w:kern w:val="0"/>
                <w:highlight w:val="yellow"/>
                <w:lang w:eastAsia="cs-CZ"/>
                <w14:ligatures w14:val="none"/>
              </w:rPr>
            </w:pPr>
            <w:r w:rsidRPr="00BA3879">
              <w:rPr>
                <w:rFonts w:ascii="Arial" w:eastAsia="Times New Roman" w:hAnsi="Arial" w:cs="Arial"/>
                <w:b/>
                <w:bCs/>
                <w:color w:val="000000"/>
                <w:kern w:val="0"/>
                <w:highlight w:val="yellow"/>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B3F86A4"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BA3879">
        <w:rPr>
          <w:rFonts w:ascii="Arial" w:hAnsi="Arial" w:cs="Arial"/>
        </w:rPr>
        <w:t xml:space="preserve">Mladá Boleslav, </w:t>
      </w:r>
      <w:r w:rsidR="001530CC">
        <w:rPr>
          <w:rFonts w:ascii="Arial" w:hAnsi="Arial" w:cs="Arial"/>
          <w:szCs w:val="22"/>
        </w:rPr>
        <w:t>KPÚ pro Středočeský kraj a hl. m. Praha</w:t>
      </w:r>
      <w:r w:rsidR="00BA3879">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w:t>
      </w:r>
      <w:r w:rsidR="00A67C90" w:rsidRPr="00C62699">
        <w:rPr>
          <w:rFonts w:ascii="Arial" w:hAnsi="Arial" w:cs="Arial"/>
          <w:szCs w:val="22"/>
        </w:rPr>
        <w:lastRenderedPageBreak/>
        <w:t>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576333">
      <w:pPr>
        <w:pStyle w:val="Claneka"/>
        <w:keepLines w:val="0"/>
        <w:widowControl/>
        <w:numPr>
          <w:ilvl w:val="2"/>
          <w:numId w:val="17"/>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576333">
      <w:pPr>
        <w:pStyle w:val="Claneka"/>
        <w:keepLines w:val="0"/>
        <w:widowControl/>
        <w:numPr>
          <w:ilvl w:val="2"/>
          <w:numId w:val="17"/>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576333">
      <w:pPr>
        <w:pStyle w:val="Claneka"/>
        <w:keepLines w:val="0"/>
        <w:widowControl/>
        <w:numPr>
          <w:ilvl w:val="2"/>
          <w:numId w:val="17"/>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576333">
      <w:pPr>
        <w:pStyle w:val="Claneka"/>
        <w:keepLines w:val="0"/>
        <w:widowControl/>
        <w:numPr>
          <w:ilvl w:val="2"/>
          <w:numId w:val="17"/>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 xml:space="preserve">provádět </w:t>
      </w:r>
      <w:r w:rsidRPr="00ED0A45">
        <w:rPr>
          <w:rFonts w:ascii="Arial" w:hAnsi="Arial" w:cs="Arial"/>
          <w:szCs w:val="22"/>
        </w:rPr>
        <w:lastRenderedPageBreak/>
        <w:t>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576333">
      <w:pPr>
        <w:pStyle w:val="Claneka"/>
        <w:keepLines w:val="0"/>
        <w:widowControl/>
        <w:numPr>
          <w:ilvl w:val="2"/>
          <w:numId w:val="39"/>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576333">
      <w:pPr>
        <w:pStyle w:val="Claneka"/>
        <w:keepLines w:val="0"/>
        <w:widowControl/>
        <w:numPr>
          <w:ilvl w:val="2"/>
          <w:numId w:val="39"/>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7561582" w:rsidR="0008597D" w:rsidRPr="009060BB" w:rsidRDefault="00BA3879"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CC3377">
        <w:rPr>
          <w:rFonts w:ascii="Arial" w:hAnsi="Arial" w:cs="Arial"/>
          <w:b/>
          <w:bCs/>
        </w:rPr>
        <w:t>NENÍ PŘEDMĚTEM TÉTO SMLOUVY</w:t>
      </w:r>
      <w:r>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9EE3AD7" w:rsidR="00B022EF" w:rsidRPr="009060BB" w:rsidRDefault="00BA3879"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C3377">
        <w:rPr>
          <w:rFonts w:ascii="Arial" w:hAnsi="Arial" w:cs="Arial"/>
          <w:b/>
          <w:bCs/>
        </w:rPr>
        <w:t>NENÍ PŘEDMĚTEM TÉTO SMLOUVY</w:t>
      </w:r>
      <w:r>
        <w:rPr>
          <w:rFonts w:ascii="Arial" w:hAnsi="Arial" w:cs="Arial"/>
          <w:b/>
          <w:bCs/>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576333">
      <w:pPr>
        <w:pStyle w:val="Claneka"/>
        <w:keepLines w:val="0"/>
        <w:widowControl/>
        <w:numPr>
          <w:ilvl w:val="2"/>
          <w:numId w:val="53"/>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w:t>
      </w:r>
      <w:r w:rsidRPr="00CB3B7F">
        <w:rPr>
          <w:rFonts w:ascii="Arial" w:hAnsi="Arial" w:cs="Arial"/>
          <w:iCs/>
        </w:rPr>
        <w:lastRenderedPageBreak/>
        <w:t xml:space="preserve">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576333">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576333">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576333">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576333">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28616BC" w:rsidR="00B9128B" w:rsidRPr="00764100" w:rsidRDefault="001530CC"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Pr>
          <w:rFonts w:ascii="Arial" w:hAnsi="Arial" w:cs="Arial"/>
          <w:szCs w:val="22"/>
        </w:rPr>
        <w:t>Podrobné</w:t>
      </w:r>
      <w:r w:rsidR="00B9128B" w:rsidRPr="00764100">
        <w:rPr>
          <w:rFonts w:ascii="Arial" w:hAnsi="Arial" w:cs="Arial"/>
          <w:szCs w:val="22"/>
        </w:rPr>
        <w:t xml:space="preserve"> měření polohopisu v obvodu KoPÚ</w:t>
      </w:r>
      <w:r w:rsidR="00155CFB" w:rsidRPr="00764100">
        <w:rPr>
          <w:rFonts w:ascii="Arial" w:hAnsi="Arial" w:cs="Arial"/>
          <w:szCs w:val="22"/>
        </w:rPr>
        <w:t xml:space="preserve"> mimo trvalé porosty </w:t>
      </w:r>
      <w:r w:rsidR="004106A5" w:rsidRPr="004106A5">
        <w:rPr>
          <w:rFonts w:ascii="Arial" w:hAnsi="Arial" w:cs="Arial"/>
          <w:szCs w:val="22"/>
        </w:rPr>
        <w:t>(</w:t>
      </w:r>
      <w:r w:rsidR="004106A5" w:rsidRPr="00122A40">
        <w:rPr>
          <w:rFonts w:ascii="Arial" w:hAnsi="Arial" w:cs="Arial"/>
          <w:b/>
          <w:bCs/>
          <w:szCs w:val="22"/>
        </w:rPr>
        <w:t xml:space="preserve">Podrobné měření polohopisu v obvodu KoPÚ v trvalých porostech </w:t>
      </w:r>
      <w:r w:rsidR="004106A5" w:rsidRPr="007F1CCD">
        <w:rPr>
          <w:rFonts w:ascii="Arial" w:hAnsi="Arial" w:cs="Arial"/>
          <w:b/>
          <w:bCs/>
          <w:szCs w:val="22"/>
        </w:rPr>
        <w:t>NENÍ PŘEDMĚTEM TÉTO SMLOUVY</w:t>
      </w:r>
      <w:r w:rsidR="004106A5" w:rsidRPr="004106A5">
        <w:rPr>
          <w:rFonts w:ascii="Arial" w:hAnsi="Arial" w:cs="Arial"/>
          <w:szCs w:val="22"/>
        </w:rPr>
        <w:t>)</w:t>
      </w:r>
      <w:r w:rsidR="00B9128B" w:rsidRPr="00764100">
        <w:rPr>
          <w:rFonts w:ascii="Arial" w:hAnsi="Arial" w:cs="Arial"/>
          <w:szCs w:val="22"/>
        </w:rPr>
        <w:t>:</w:t>
      </w:r>
      <w:bookmarkEnd w:id="56"/>
      <w:bookmarkEnd w:id="57"/>
      <w:r w:rsidR="004106A5">
        <w:rPr>
          <w:rFonts w:ascii="Arial" w:hAnsi="Arial" w:cs="Arial"/>
          <w:szCs w:val="22"/>
        </w:rPr>
        <w:t xml:space="preserve"> </w:t>
      </w:r>
    </w:p>
    <w:p w14:paraId="1EF65D3E" w14:textId="0DEA399B" w:rsidR="00B9128B" w:rsidRPr="00764100" w:rsidRDefault="00B9128B" w:rsidP="00576333">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576333">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xml:space="preserve">) na základě příslušných zákonných norem. </w:t>
      </w:r>
      <w:r w:rsidR="00B9128B" w:rsidRPr="00764100">
        <w:rPr>
          <w:rFonts w:ascii="Arial" w:hAnsi="Arial" w:cs="Arial"/>
        </w:rPr>
        <w:lastRenderedPageBreak/>
        <w:t>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576333">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5C001D0B" w:rsidR="006B518C" w:rsidRPr="00764100" w:rsidRDefault="00BA3879"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CC3377">
        <w:rPr>
          <w:rFonts w:ascii="Arial" w:hAnsi="Arial" w:cs="Arial"/>
          <w:b/>
          <w:bCs/>
        </w:rPr>
        <w:t>NENÍ PŘEDMĚTEM TÉTO SMLOUVY</w:t>
      </w:r>
      <w:r>
        <w:rPr>
          <w:rFonts w:ascii="Arial" w:hAnsi="Arial" w:cs="Arial"/>
          <w:b/>
          <w:bCs/>
        </w:rPr>
        <w:t xml:space="preserve">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 xml:space="preserve">Vektorizace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5100DF42" w:rsidR="00B9128B" w:rsidRPr="00764100" w:rsidRDefault="00B9128B" w:rsidP="00576333">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BA3879">
        <w:rPr>
          <w:rFonts w:ascii="Arial" w:hAnsi="Arial" w:cs="Arial"/>
        </w:rPr>
        <w:t>dvou</w:t>
      </w:r>
      <w:r w:rsidR="00F33B88" w:rsidRPr="00764100">
        <w:rPr>
          <w:rFonts w:ascii="Arial" w:hAnsi="Arial" w:cs="Arial"/>
        </w:rPr>
        <w:t xml:space="preserve"> (</w:t>
      </w:r>
      <w:r w:rsidR="00BA3879">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BA3879">
        <w:rPr>
          <w:rFonts w:ascii="Arial" w:hAnsi="Arial" w:cs="Arial"/>
        </w:rPr>
        <w:t xml:space="preserve">ů </w:t>
      </w:r>
      <w:r w:rsidRPr="00764100">
        <w:rPr>
          <w:rFonts w:ascii="Arial" w:hAnsi="Arial" w:cs="Arial"/>
        </w:rPr>
        <w:t>od doručení výzvy Objednatele Zhotoviteli;</w:t>
      </w:r>
    </w:p>
    <w:p w14:paraId="30E1AF88" w14:textId="189DA1A8" w:rsidR="00962A2E" w:rsidRPr="00764100" w:rsidRDefault="00B9128B" w:rsidP="00576333">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576333">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576333">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576333">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576333">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576333">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5"/>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w:t>
      </w:r>
      <w:r w:rsidRPr="00764100">
        <w:rPr>
          <w:rFonts w:ascii="Arial" w:hAnsi="Arial" w:cs="Arial"/>
        </w:rPr>
        <w:lastRenderedPageBreak/>
        <w:t xml:space="preserve">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576333">
      <w:pPr>
        <w:pStyle w:val="Claneka"/>
        <w:keepLines w:val="0"/>
        <w:widowControl/>
        <w:numPr>
          <w:ilvl w:val="4"/>
          <w:numId w:val="37"/>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576333">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576333">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576333">
      <w:pPr>
        <w:pStyle w:val="Claneka"/>
        <w:keepNext/>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576333">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576333">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576333">
      <w:pPr>
        <w:pStyle w:val="Claneka"/>
        <w:keepLines w:val="0"/>
        <w:widowControl/>
        <w:numPr>
          <w:ilvl w:val="4"/>
          <w:numId w:val="30"/>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576333">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576333">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576333">
      <w:pPr>
        <w:pStyle w:val="Claneka"/>
        <w:keepLines w:val="0"/>
        <w:widowControl/>
        <w:numPr>
          <w:ilvl w:val="4"/>
          <w:numId w:val="30"/>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576333">
      <w:pPr>
        <w:pStyle w:val="Claneka"/>
        <w:keepLines w:val="0"/>
        <w:widowControl/>
        <w:numPr>
          <w:ilvl w:val="4"/>
          <w:numId w:val="30"/>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576333">
      <w:pPr>
        <w:pStyle w:val="Claneka"/>
        <w:keepLines w:val="0"/>
        <w:widowControl/>
        <w:numPr>
          <w:ilvl w:val="4"/>
          <w:numId w:val="30"/>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576333">
      <w:pPr>
        <w:pStyle w:val="Claneka"/>
        <w:keepNext/>
        <w:widowControl/>
        <w:numPr>
          <w:ilvl w:val="4"/>
          <w:numId w:val="31"/>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576333">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576333">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576333">
      <w:pPr>
        <w:pStyle w:val="Claneka"/>
        <w:keepLines w:val="0"/>
        <w:widowControl/>
        <w:numPr>
          <w:ilvl w:val="4"/>
          <w:numId w:val="31"/>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576333">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576333">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576333">
      <w:pPr>
        <w:pStyle w:val="Claneka"/>
        <w:keepLines w:val="0"/>
        <w:widowControl/>
        <w:numPr>
          <w:ilvl w:val="4"/>
          <w:numId w:val="31"/>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576333">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576333">
      <w:pPr>
        <w:pStyle w:val="Claneka"/>
        <w:keepLines w:val="0"/>
        <w:widowControl/>
        <w:numPr>
          <w:ilvl w:val="4"/>
          <w:numId w:val="31"/>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576333">
      <w:pPr>
        <w:pStyle w:val="Level5"/>
        <w:numPr>
          <w:ilvl w:val="0"/>
          <w:numId w:val="26"/>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576333">
      <w:pPr>
        <w:pStyle w:val="Level5"/>
        <w:numPr>
          <w:ilvl w:val="0"/>
          <w:numId w:val="26"/>
        </w:numPr>
        <w:ind w:left="3119" w:hanging="992"/>
        <w:rPr>
          <w:rFonts w:ascii="Arial" w:hAnsi="Arial" w:cs="Arial"/>
          <w:szCs w:val="22"/>
        </w:rPr>
      </w:pPr>
      <w:bookmarkStart w:id="79" w:name="_Ref67496872"/>
      <w:r w:rsidRPr="00764100">
        <w:rPr>
          <w:rFonts w:ascii="Arial" w:hAnsi="Arial" w:cs="Arial"/>
          <w:szCs w:val="22"/>
        </w:rPr>
        <w:lastRenderedPageBreak/>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576333">
      <w:pPr>
        <w:pStyle w:val="Level5"/>
        <w:numPr>
          <w:ilvl w:val="0"/>
          <w:numId w:val="26"/>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576333">
      <w:pPr>
        <w:pStyle w:val="Claneka"/>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57633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57633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57633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576333">
      <w:pPr>
        <w:pStyle w:val="Claneka"/>
        <w:keepLines w:val="0"/>
        <w:widowControl/>
        <w:numPr>
          <w:ilvl w:val="4"/>
          <w:numId w:val="32"/>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576333">
      <w:pPr>
        <w:pStyle w:val="Claneka"/>
        <w:keepLines w:val="0"/>
        <w:widowControl/>
        <w:numPr>
          <w:ilvl w:val="4"/>
          <w:numId w:val="32"/>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576333">
      <w:pPr>
        <w:pStyle w:val="Claneka"/>
        <w:keepLines w:val="0"/>
        <w:widowControl/>
        <w:numPr>
          <w:ilvl w:val="4"/>
          <w:numId w:val="32"/>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 xml:space="preserve">podle § 22 </w:t>
      </w:r>
      <w:r w:rsidR="00EF7F19" w:rsidRPr="009C22D3">
        <w:rPr>
          <w:rFonts w:ascii="Arial" w:hAnsi="Arial" w:cs="Arial"/>
        </w:rPr>
        <w:lastRenderedPageBreak/>
        <w:t>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576333">
      <w:pPr>
        <w:pStyle w:val="Claneka"/>
        <w:keepLines w:val="0"/>
        <w:widowControl/>
        <w:numPr>
          <w:ilvl w:val="4"/>
          <w:numId w:val="32"/>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576333">
      <w:pPr>
        <w:pStyle w:val="Claneka"/>
        <w:keepLines w:val="0"/>
        <w:widowControl/>
        <w:numPr>
          <w:ilvl w:val="4"/>
          <w:numId w:val="33"/>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576333">
      <w:pPr>
        <w:pStyle w:val="Claneka"/>
        <w:keepLines w:val="0"/>
        <w:widowControl/>
        <w:numPr>
          <w:ilvl w:val="4"/>
          <w:numId w:val="33"/>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57633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57633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w:t>
      </w:r>
      <w:r w:rsidRPr="00C62699">
        <w:rPr>
          <w:rFonts w:ascii="Arial" w:hAnsi="Arial" w:cs="Arial"/>
          <w:szCs w:val="22"/>
        </w:rPr>
        <w:lastRenderedPageBreak/>
        <w:t>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57633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57633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57633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57633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57633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57633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57633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57633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57633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576333">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576333">
      <w:pPr>
        <w:pStyle w:val="Claneki"/>
        <w:keepNext w:val="0"/>
        <w:numPr>
          <w:ilvl w:val="3"/>
          <w:numId w:val="19"/>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576333">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576333">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576333">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576333">
      <w:pPr>
        <w:pStyle w:val="Claneka"/>
        <w:keepLines w:val="0"/>
        <w:widowControl/>
        <w:numPr>
          <w:ilvl w:val="2"/>
          <w:numId w:val="19"/>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576333">
      <w:pPr>
        <w:pStyle w:val="Claneka"/>
        <w:keepLines w:val="0"/>
        <w:widowControl/>
        <w:numPr>
          <w:ilvl w:val="2"/>
          <w:numId w:val="19"/>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576333">
      <w:pPr>
        <w:pStyle w:val="Claneka"/>
        <w:keepLines w:val="0"/>
        <w:widowControl/>
        <w:numPr>
          <w:ilvl w:val="2"/>
          <w:numId w:val="19"/>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57633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57633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576333">
      <w:pPr>
        <w:pStyle w:val="Claneka"/>
        <w:keepLines w:val="0"/>
        <w:widowControl/>
        <w:numPr>
          <w:ilvl w:val="2"/>
          <w:numId w:val="19"/>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lastRenderedPageBreak/>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72A1BAD0"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BA3879">
        <w:rPr>
          <w:rFonts w:ascii="Arial" w:hAnsi="Arial" w:cs="Arial"/>
          <w:szCs w:val="22"/>
        </w:rPr>
        <w:t>(</w:t>
      </w:r>
      <w:r w:rsidR="00BA3879" w:rsidRPr="00784185">
        <w:rPr>
          <w:rFonts w:ascii="Arial" w:hAnsi="Arial" w:cs="Arial"/>
          <w:szCs w:val="22"/>
          <w:highlight w:val="yellow"/>
        </w:rPr>
        <w:t>BUDE DOPLNĚNO DLE NABÍDKOVÉ CENY</w:t>
      </w:r>
      <w:r w:rsidR="00BA3879">
        <w:rPr>
          <w:rFonts w:ascii="Arial" w:hAnsi="Arial" w:cs="Arial"/>
          <w:szCs w:val="22"/>
        </w:rPr>
        <w:t>)</w:t>
      </w:r>
      <w:r w:rsidR="00BA3879"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lastRenderedPageBreak/>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921D081"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A6A1F">
        <w:rPr>
          <w:rFonts w:ascii="Arial" w:hAnsi="Arial" w:cs="Arial"/>
          <w:szCs w:val="22"/>
        </w:rPr>
        <w:t>Mladá Boleslav</w:t>
      </w:r>
      <w:r w:rsidR="00127C34" w:rsidRPr="00C62699">
        <w:rPr>
          <w:rFonts w:ascii="Arial" w:hAnsi="Arial" w:cs="Arial"/>
          <w:szCs w:val="22"/>
        </w:rPr>
        <w:t xml:space="preserve">, adresa </w:t>
      </w:r>
      <w:r w:rsidR="006A6A1F">
        <w:rPr>
          <w:rFonts w:ascii="Arial" w:hAnsi="Arial" w:cs="Arial"/>
          <w:szCs w:val="22"/>
        </w:rPr>
        <w:t>Bělská 151, Mladá Boleslav 293 01</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576333">
      <w:pPr>
        <w:pStyle w:val="Claneka"/>
        <w:keepLines w:val="0"/>
        <w:widowControl/>
        <w:numPr>
          <w:ilvl w:val="2"/>
          <w:numId w:val="18"/>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576333">
      <w:pPr>
        <w:pStyle w:val="Claneka"/>
        <w:keepLines w:val="0"/>
        <w:widowControl/>
        <w:numPr>
          <w:ilvl w:val="2"/>
          <w:numId w:val="18"/>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lastRenderedPageBreak/>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57633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57633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57633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57633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57633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57633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57633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57633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57633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57633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57633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57633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57633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57633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576333">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576333">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 xml:space="preserve">této Smlouvy vykonává Zhotovitel svým jménem a na svůj účet majetková práva autorů, tj. Zhotovitel svým jménem a na svůj účet vykonává právo </w:t>
      </w:r>
      <w:r w:rsidRPr="00C62699">
        <w:rPr>
          <w:rFonts w:ascii="Arial" w:hAnsi="Arial" w:cs="Arial"/>
        </w:rPr>
        <w:lastRenderedPageBreak/>
        <w:t>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576333">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576333">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576333">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576333">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576333">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prohlašují, že </w:t>
      </w:r>
      <w:r w:rsidRPr="00ED6435">
        <w:rPr>
          <w:rFonts w:ascii="Arial" w:hAnsi="Arial" w:cs="Arial"/>
          <w:szCs w:val="22"/>
        </w:rPr>
        <w:lastRenderedPageBreak/>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576333">
      <w:pPr>
        <w:pStyle w:val="Claneka"/>
        <w:keepLines w:val="0"/>
        <w:widowControl/>
        <w:numPr>
          <w:ilvl w:val="0"/>
          <w:numId w:val="51"/>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576333">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576333">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576333">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576333">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576333">
        <w:rPr>
          <w:rFonts w:ascii="Arial" w:hAnsi="Arial" w:cs="Arial"/>
          <w:szCs w:val="22"/>
          <w:highlight w:val="yellow"/>
        </w:rPr>
        <w:t>60 + ..........</w:t>
      </w:r>
      <w:r w:rsidR="004667C6" w:rsidRPr="00C62699">
        <w:rPr>
          <w:rFonts w:ascii="Arial" w:hAnsi="Arial" w:cs="Arial"/>
          <w:szCs w:val="22"/>
        </w:rPr>
        <w:t xml:space="preserve"> </w:t>
      </w:r>
      <w:r w:rsidR="004667C6" w:rsidRPr="001530CC">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w:t>
      </w:r>
      <w:r w:rsidR="00B0281E" w:rsidRPr="00104733">
        <w:rPr>
          <w:rFonts w:ascii="Arial" w:hAnsi="Arial" w:cs="Arial"/>
          <w:szCs w:val="22"/>
        </w:rPr>
        <w:lastRenderedPageBreak/>
        <w:t>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576333">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576333">
      <w:pPr>
        <w:pStyle w:val="Claneka"/>
        <w:keepLines w:val="0"/>
        <w:widowControl/>
        <w:numPr>
          <w:ilvl w:val="0"/>
          <w:numId w:val="52"/>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 xml:space="preserve">v souladu s Položkovým výkazem, </w:t>
      </w:r>
      <w:r w:rsidRPr="00104733">
        <w:rPr>
          <w:rFonts w:ascii="Arial" w:hAnsi="Arial" w:cs="Arial"/>
          <w:szCs w:val="22"/>
        </w:rPr>
        <w:lastRenderedPageBreak/>
        <w:t>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576333">
      <w:pPr>
        <w:pStyle w:val="Claneka"/>
        <w:keepNext/>
        <w:keepLines w:val="0"/>
        <w:widowControl/>
        <w:numPr>
          <w:ilvl w:val="2"/>
          <w:numId w:val="24"/>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57633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57633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57633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57633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57633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57633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57633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576333">
      <w:pPr>
        <w:pStyle w:val="Claneka"/>
        <w:keepLines w:val="0"/>
        <w:widowControl/>
        <w:numPr>
          <w:ilvl w:val="2"/>
          <w:numId w:val="24"/>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576333">
      <w:pPr>
        <w:pStyle w:val="Claneka"/>
        <w:keepLines w:val="0"/>
        <w:widowControl/>
        <w:numPr>
          <w:ilvl w:val="2"/>
          <w:numId w:val="24"/>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576333">
      <w:pPr>
        <w:pStyle w:val="Claneka"/>
        <w:keepLines w:val="0"/>
        <w:widowControl/>
        <w:numPr>
          <w:ilvl w:val="2"/>
          <w:numId w:val="24"/>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576333">
      <w:pPr>
        <w:pStyle w:val="Claneka"/>
        <w:keepLines w:val="0"/>
        <w:widowControl/>
        <w:numPr>
          <w:ilvl w:val="2"/>
          <w:numId w:val="24"/>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576333">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576333">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576333">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576333">
      <w:pPr>
        <w:pStyle w:val="Claneka"/>
        <w:numPr>
          <w:ilvl w:val="2"/>
          <w:numId w:val="41"/>
        </w:numPr>
        <w:spacing w:before="120" w:after="120" w:line="240" w:lineRule="auto"/>
        <w:jc w:val="both"/>
        <w:rPr>
          <w:rFonts w:ascii="Arial" w:hAnsi="Arial" w:cs="Arial"/>
        </w:rPr>
      </w:pPr>
      <w:r w:rsidRPr="00E81EB4">
        <w:rPr>
          <w:rFonts w:ascii="Arial" w:hAnsi="Arial" w:cs="Arial"/>
        </w:rPr>
        <w:lastRenderedPageBreak/>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576333">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576333">
      <w:pPr>
        <w:pStyle w:val="Claneka"/>
        <w:numPr>
          <w:ilvl w:val="2"/>
          <w:numId w:val="41"/>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576333">
      <w:pPr>
        <w:pStyle w:val="Claneka"/>
        <w:numPr>
          <w:ilvl w:val="2"/>
          <w:numId w:val="41"/>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576333">
      <w:pPr>
        <w:pStyle w:val="Claneki"/>
        <w:numPr>
          <w:ilvl w:val="3"/>
          <w:numId w:val="43"/>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576333">
      <w:pPr>
        <w:pStyle w:val="Claneki"/>
        <w:numPr>
          <w:ilvl w:val="3"/>
          <w:numId w:val="43"/>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576333">
      <w:pPr>
        <w:pStyle w:val="Claneka"/>
        <w:numPr>
          <w:ilvl w:val="2"/>
          <w:numId w:val="41"/>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lastRenderedPageBreak/>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576333">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576333">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576333">
      <w:pPr>
        <w:pStyle w:val="Claneka"/>
        <w:keepLines w:val="0"/>
        <w:widowControl/>
        <w:numPr>
          <w:ilvl w:val="2"/>
          <w:numId w:val="22"/>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576333">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576333">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576333">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57633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57633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lastRenderedPageBreak/>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57633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57633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57633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57633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576333">
      <w:pPr>
        <w:pStyle w:val="Odstavecseseznamem"/>
        <w:numPr>
          <w:ilvl w:val="0"/>
          <w:numId w:val="40"/>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w:t>
      </w:r>
      <w:r w:rsidRPr="00AE3E1B">
        <w:rPr>
          <w:rFonts w:ascii="Arial" w:hAnsi="Arial" w:cs="Arial"/>
        </w:rPr>
        <w:lastRenderedPageBreak/>
        <w:t>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576333">
      <w:pPr>
        <w:pStyle w:val="Odstavecseseznamem"/>
        <w:numPr>
          <w:ilvl w:val="0"/>
          <w:numId w:val="40"/>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576333">
      <w:pPr>
        <w:pStyle w:val="Claneka"/>
        <w:keepLines w:val="0"/>
        <w:widowControl/>
        <w:numPr>
          <w:ilvl w:val="0"/>
          <w:numId w:val="45"/>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576333">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576333">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576333">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576333">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576333">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576333">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576333">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lastRenderedPageBreak/>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576333">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57633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57633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576333">
      <w:pPr>
        <w:pStyle w:val="Claneka"/>
        <w:keepLines w:val="0"/>
        <w:widowControl/>
        <w:numPr>
          <w:ilvl w:val="0"/>
          <w:numId w:val="47"/>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57633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57633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57633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57633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57633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57633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576333">
      <w:pPr>
        <w:pStyle w:val="Claneka"/>
        <w:keepLines w:val="0"/>
        <w:widowControl/>
        <w:numPr>
          <w:ilvl w:val="0"/>
          <w:numId w:val="48"/>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576333">
      <w:pPr>
        <w:pStyle w:val="Claneka"/>
        <w:keepLines w:val="0"/>
        <w:widowControl/>
        <w:numPr>
          <w:ilvl w:val="0"/>
          <w:numId w:val="48"/>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576333">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576333">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w:t>
      </w:r>
      <w:r w:rsidRPr="00ED6435">
        <w:rPr>
          <w:rFonts w:ascii="Arial" w:hAnsi="Arial" w:cs="Arial"/>
          <w:szCs w:val="22"/>
        </w:rPr>
        <w:lastRenderedPageBreak/>
        <w:t xml:space="preserve">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rsidP="00576333">
      <w:pPr>
        <w:pStyle w:val="Claneka"/>
        <w:keepLines w:val="0"/>
        <w:widowControl/>
        <w:numPr>
          <w:ilvl w:val="2"/>
          <w:numId w:val="23"/>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Pr="001530CC">
        <w:rPr>
          <w:rFonts w:ascii="Arial" w:eastAsia="Times New Roman" w:hAnsi="Arial" w:cs="Arial"/>
          <w:b/>
          <w:highlight w:val="yellow"/>
        </w:rPr>
        <w:t>[Obchodní firma Zhotovitele]</w:t>
      </w:r>
    </w:p>
    <w:p w14:paraId="52DB552F" w14:textId="3E15F7F6"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576333">
        <w:rPr>
          <w:rFonts w:ascii="Arial" w:eastAsia="Times New Roman" w:hAnsi="Arial" w:cs="Arial"/>
          <w:bCs/>
        </w:rPr>
        <w:t>Praha</w:t>
      </w:r>
      <w:r w:rsidRPr="00ED6435">
        <w:rPr>
          <w:rFonts w:ascii="Arial" w:eastAsia="Times New Roman" w:hAnsi="Arial" w:cs="Arial"/>
          <w:bCs/>
        </w:rPr>
        <w:tab/>
      </w:r>
      <w:r w:rsidRPr="00ED6435">
        <w:rPr>
          <w:rFonts w:ascii="Arial" w:eastAsia="Times New Roman" w:hAnsi="Arial" w:cs="Arial"/>
          <w:bCs/>
        </w:rPr>
        <w:tab/>
      </w:r>
      <w:r w:rsidRPr="001530CC">
        <w:rPr>
          <w:rFonts w:ascii="Arial" w:eastAsia="Times New Roman" w:hAnsi="Arial" w:cs="Arial"/>
          <w:bCs/>
          <w:highlight w:val="yellow"/>
        </w:rPr>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340842AD" w14:textId="40418C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576333" w:rsidRPr="00576333">
        <w:rPr>
          <w:rFonts w:ascii="Arial" w:eastAsia="Times New Roman" w:hAnsi="Arial" w:cs="Arial"/>
          <w:bCs/>
        </w:rPr>
        <w:t>Ing. Jiří Veselý</w:t>
      </w:r>
      <w:r w:rsidRPr="00ED6435">
        <w:rPr>
          <w:rFonts w:ascii="Arial" w:eastAsia="Times New Roman" w:hAnsi="Arial" w:cs="Arial"/>
          <w:bCs/>
        </w:rPr>
        <w:tab/>
      </w:r>
      <w:r w:rsidRPr="00ED6435">
        <w:rPr>
          <w:rFonts w:ascii="Arial" w:eastAsia="Times New Roman" w:hAnsi="Arial" w:cs="Arial"/>
          <w:bCs/>
        </w:rPr>
        <w:tab/>
      </w:r>
      <w:r w:rsidRPr="001530CC">
        <w:rPr>
          <w:rFonts w:ascii="Arial" w:eastAsia="Times New Roman" w:hAnsi="Arial" w:cs="Arial"/>
          <w:bCs/>
          <w:highlight w:val="yellow"/>
        </w:rPr>
        <w:t>Jméno: …………</w:t>
      </w:r>
      <w:r w:rsidR="00576333">
        <w:rPr>
          <w:rFonts w:ascii="Arial" w:eastAsia="Times New Roman" w:hAnsi="Arial" w:cs="Arial"/>
          <w:bCs/>
        </w:rPr>
        <w:br/>
      </w:r>
      <w:r w:rsidRPr="00ED6435">
        <w:rPr>
          <w:rFonts w:ascii="Arial" w:eastAsia="Times New Roman" w:hAnsi="Arial" w:cs="Arial"/>
          <w:bCs/>
        </w:rPr>
        <w:t xml:space="preserve">Funkce: </w:t>
      </w:r>
      <w:r w:rsidR="00576333">
        <w:rPr>
          <w:rFonts w:ascii="Arial" w:eastAsia="Times New Roman" w:hAnsi="Arial" w:cs="Arial"/>
          <w:bCs/>
          <w:lang w:eastAsia="cs-CZ"/>
        </w:rPr>
        <w:t>ředitel KPÚ pro Středočeský kraj a hl. m. Praha</w:t>
      </w:r>
      <w:r w:rsidR="00576333" w:rsidRPr="00ED6435">
        <w:rPr>
          <w:rFonts w:ascii="Arial" w:eastAsia="Times New Roman" w:hAnsi="Arial" w:cs="Arial"/>
          <w:bCs/>
          <w:lang w:eastAsia="cs-CZ"/>
        </w:rPr>
        <w:tab/>
      </w:r>
      <w:r w:rsidRPr="00ED6435">
        <w:rPr>
          <w:rFonts w:ascii="Arial" w:eastAsia="Times New Roman" w:hAnsi="Arial" w:cs="Arial"/>
          <w:bCs/>
        </w:rPr>
        <w:tab/>
      </w:r>
      <w:r w:rsidRPr="001530CC">
        <w:rPr>
          <w:rFonts w:ascii="Arial" w:eastAsia="Times New Roman" w:hAnsi="Arial" w:cs="Arial"/>
          <w:bCs/>
          <w:highlight w:val="yellow"/>
        </w:rPr>
        <w:t>Funkce: …………</w:t>
      </w:r>
    </w:p>
    <w:p w14:paraId="2A655FD9" w14:textId="77777777" w:rsidR="00576333" w:rsidRPr="00ED6435" w:rsidRDefault="00321220" w:rsidP="00576333">
      <w:pPr>
        <w:spacing w:line="240" w:lineRule="auto"/>
        <w:jc w:val="center"/>
        <w:rPr>
          <w:rFonts w:ascii="Arial" w:hAnsi="Arial" w:cs="Arial"/>
          <w:b/>
          <w:caps/>
        </w:rPr>
      </w:pPr>
      <w:r w:rsidRPr="00ED6435">
        <w:rPr>
          <w:rFonts w:ascii="Arial" w:hAnsi="Arial" w:cs="Arial"/>
          <w:b/>
          <w:kern w:val="20"/>
          <w:u w:val="single"/>
        </w:rPr>
        <w:br w:type="page"/>
      </w:r>
      <w:r w:rsidR="00576333" w:rsidRPr="00ED6435">
        <w:rPr>
          <w:rFonts w:ascii="Arial" w:hAnsi="Arial" w:cs="Arial"/>
          <w:b/>
          <w:caps/>
        </w:rPr>
        <w:lastRenderedPageBreak/>
        <w:t>Příloha č. 1 – Položkový výkaz Činností</w:t>
      </w:r>
    </w:p>
    <w:p w14:paraId="0E1AC0B5" w14:textId="2CC31F16" w:rsidR="00576333" w:rsidRPr="00ED6435" w:rsidRDefault="00576333" w:rsidP="00576333">
      <w:pPr>
        <w:spacing w:line="240" w:lineRule="auto"/>
        <w:jc w:val="center"/>
        <w:rPr>
          <w:rFonts w:ascii="Arial" w:hAnsi="Arial" w:cs="Arial"/>
          <w:b/>
          <w:i/>
          <w:iCs/>
          <w:caps/>
        </w:rPr>
      </w:pPr>
      <w:r w:rsidRPr="00ED6435">
        <w:rPr>
          <w:rFonts w:ascii="Arial" w:hAnsi="Arial" w:cs="Arial"/>
          <w:i/>
          <w:iCs/>
        </w:rPr>
        <w:t>dop</w:t>
      </w:r>
      <w:r>
        <w:rPr>
          <w:rFonts w:ascii="Arial" w:hAnsi="Arial" w:cs="Arial"/>
          <w:i/>
          <w:iCs/>
        </w:rPr>
        <w:t>l</w:t>
      </w:r>
      <w:r w:rsidRPr="00ED6435">
        <w:rPr>
          <w:rFonts w:ascii="Arial" w:hAnsi="Arial" w:cs="Arial"/>
          <w:i/>
          <w:iCs/>
        </w:rPr>
        <w:t>nit</w:t>
      </w:r>
    </w:p>
    <w:p w14:paraId="306B9D20" w14:textId="335F8E10" w:rsidR="001231F2" w:rsidRPr="00ED6435" w:rsidRDefault="001231F2" w:rsidP="00266847">
      <w:pPr>
        <w:spacing w:before="120" w:after="120" w:line="240" w:lineRule="auto"/>
        <w:jc w:val="center"/>
        <w:rPr>
          <w:rFonts w:ascii="Arial" w:hAnsi="Arial" w:cs="Arial"/>
          <w:b/>
          <w:i/>
          <w:iCs/>
          <w:caps/>
        </w:rPr>
      </w:pPr>
    </w:p>
    <w:sectPr w:rsidR="001231F2" w:rsidRPr="00ED6435"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4D611" w14:textId="77777777" w:rsidR="00236953" w:rsidRDefault="00236953" w:rsidP="007936E4">
      <w:pPr>
        <w:spacing w:after="0"/>
      </w:pPr>
      <w:r>
        <w:separator/>
      </w:r>
    </w:p>
  </w:endnote>
  <w:endnote w:type="continuationSeparator" w:id="0">
    <w:p w14:paraId="181B7C3D" w14:textId="77777777" w:rsidR="00236953" w:rsidRDefault="00236953" w:rsidP="007936E4">
      <w:pPr>
        <w:spacing w:after="0"/>
      </w:pPr>
      <w:r>
        <w:continuationSeparator/>
      </w:r>
    </w:p>
  </w:endnote>
  <w:endnote w:type="continuationNotice" w:id="1">
    <w:p w14:paraId="6E663BA2" w14:textId="77777777" w:rsidR="00236953" w:rsidRDefault="002369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BCA74" w14:textId="77777777" w:rsidR="00236953" w:rsidRDefault="00236953" w:rsidP="007936E4">
      <w:pPr>
        <w:spacing w:after="0"/>
      </w:pPr>
      <w:r>
        <w:separator/>
      </w:r>
    </w:p>
  </w:footnote>
  <w:footnote w:type="continuationSeparator" w:id="0">
    <w:p w14:paraId="7945FA8D" w14:textId="77777777" w:rsidR="00236953" w:rsidRDefault="00236953" w:rsidP="007936E4">
      <w:pPr>
        <w:spacing w:after="0"/>
      </w:pPr>
      <w:r>
        <w:continuationSeparator/>
      </w:r>
    </w:p>
  </w:footnote>
  <w:footnote w:type="continuationNotice" w:id="1">
    <w:p w14:paraId="6F53E9B0" w14:textId="77777777" w:rsidR="00236953" w:rsidRDefault="002369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4C3869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F72EDD">
      <w:rPr>
        <w:szCs w:val="16"/>
      </w:rPr>
      <w:t>/JPÚ</w:t>
    </w:r>
    <w:r w:rsidR="005C042E">
      <w:rPr>
        <w:szCs w:val="16"/>
      </w:rPr>
      <w:t xml:space="preserve"> </w:t>
    </w:r>
    <w:proofErr w:type="gramStart"/>
    <w:r w:rsidRPr="001D4BED">
      <w:rPr>
        <w:szCs w:val="16"/>
      </w:rPr>
      <w:t>…….</w:t>
    </w:r>
    <w:proofErr w:type="gramEnd"/>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0E5A2ADC" w14:textId="77777777" w:rsidR="00BA3879"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w:t>
    </w:r>
  </w:p>
  <w:p w14:paraId="2A1D6DC0" w14:textId="1561D5EC" w:rsidR="00F62E61" w:rsidRDefault="00BA38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Pomocná evidence KPÚ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401C61A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BA3879">
      <w:rPr>
        <w:rFonts w:cs="Arial"/>
        <w:szCs w:val="16"/>
        <w:lang w:val="fr-FR"/>
      </w:rPr>
      <w:t xml:space="preserve"> Solec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9"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07381581">
    <w:abstractNumId w:val="19"/>
  </w:num>
  <w:num w:numId="2" w16cid:durableId="376590071">
    <w:abstractNumId w:val="23"/>
  </w:num>
  <w:num w:numId="3" w16cid:durableId="907034161">
    <w:abstractNumId w:val="37"/>
  </w:num>
  <w:num w:numId="4" w16cid:durableId="2001225391">
    <w:abstractNumId w:val="10"/>
  </w:num>
  <w:num w:numId="5" w16cid:durableId="1251088131">
    <w:abstractNumId w:val="27"/>
  </w:num>
  <w:num w:numId="6" w16cid:durableId="708072732">
    <w:abstractNumId w:val="7"/>
  </w:num>
  <w:num w:numId="7" w16cid:durableId="2088570880">
    <w:abstractNumId w:val="0"/>
  </w:num>
  <w:num w:numId="8" w16cid:durableId="695468307">
    <w:abstractNumId w:val="8"/>
  </w:num>
  <w:num w:numId="9" w16cid:durableId="901017247">
    <w:abstractNumId w:val="45"/>
  </w:num>
  <w:num w:numId="10" w16cid:durableId="1639145949">
    <w:abstractNumId w:val="20"/>
  </w:num>
  <w:num w:numId="11" w16cid:durableId="713506796">
    <w:abstractNumId w:val="43"/>
  </w:num>
  <w:num w:numId="12" w16cid:durableId="684092465">
    <w:abstractNumId w:val="35"/>
  </w:num>
  <w:num w:numId="13" w16cid:durableId="1864975807">
    <w:abstractNumId w:val="13"/>
  </w:num>
  <w:num w:numId="14" w16cid:durableId="982346941">
    <w:abstractNumId w:val="28"/>
  </w:num>
  <w:num w:numId="15" w16cid:durableId="1893956775">
    <w:abstractNumId w:val="13"/>
    <w:lvlOverride w:ilvl="0">
      <w:startOverride w:val="1"/>
    </w:lvlOverride>
  </w:num>
  <w:num w:numId="16" w16cid:durableId="1742673720">
    <w:abstractNumId w:val="38"/>
  </w:num>
  <w:num w:numId="17" w16cid:durableId="2104715768">
    <w:abstractNumId w:val="30"/>
  </w:num>
  <w:num w:numId="18" w16cid:durableId="1538272932">
    <w:abstractNumId w:val="12"/>
  </w:num>
  <w:num w:numId="19" w16cid:durableId="18384207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93089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315547">
    <w:abstractNumId w:val="39"/>
  </w:num>
  <w:num w:numId="22" w16cid:durableId="11609274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08043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93572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06873419">
    <w:abstractNumId w:val="18"/>
  </w:num>
  <w:num w:numId="26" w16cid:durableId="768548920">
    <w:abstractNumId w:val="9"/>
  </w:num>
  <w:num w:numId="27" w16cid:durableId="1852328353">
    <w:abstractNumId w:val="22"/>
  </w:num>
  <w:num w:numId="28" w16cid:durableId="1565943629">
    <w:abstractNumId w:val="17"/>
  </w:num>
  <w:num w:numId="29" w16cid:durableId="1550454410">
    <w:abstractNumId w:val="24"/>
  </w:num>
  <w:num w:numId="30" w16cid:durableId="505943286">
    <w:abstractNumId w:val="4"/>
  </w:num>
  <w:num w:numId="31" w16cid:durableId="1051228909">
    <w:abstractNumId w:val="15"/>
  </w:num>
  <w:num w:numId="32" w16cid:durableId="1747652545">
    <w:abstractNumId w:val="14"/>
  </w:num>
  <w:num w:numId="33" w16cid:durableId="1934050768">
    <w:abstractNumId w:val="1"/>
  </w:num>
  <w:num w:numId="34" w16cid:durableId="866913175">
    <w:abstractNumId w:val="31"/>
  </w:num>
  <w:num w:numId="35" w16cid:durableId="612437958">
    <w:abstractNumId w:val="26"/>
  </w:num>
  <w:num w:numId="36" w16cid:durableId="1669749533">
    <w:abstractNumId w:val="36"/>
  </w:num>
  <w:num w:numId="37" w16cid:durableId="1626159790">
    <w:abstractNumId w:val="11"/>
  </w:num>
  <w:num w:numId="38" w16cid:durableId="2117558074">
    <w:abstractNumId w:val="5"/>
  </w:num>
  <w:num w:numId="39" w16cid:durableId="878708565">
    <w:abstractNumId w:val="16"/>
  </w:num>
  <w:num w:numId="40" w16cid:durableId="1909610784">
    <w:abstractNumId w:val="40"/>
  </w:num>
  <w:num w:numId="41" w16cid:durableId="1311866687">
    <w:abstractNumId w:val="29"/>
  </w:num>
  <w:num w:numId="42" w16cid:durableId="16202230">
    <w:abstractNumId w:val="2"/>
  </w:num>
  <w:num w:numId="43" w16cid:durableId="502669472">
    <w:abstractNumId w:val="29"/>
    <w:lvlOverride w:ilvl="0">
      <w:startOverride w:val="1"/>
    </w:lvlOverride>
    <w:lvlOverride w:ilvl="1">
      <w:startOverride w:val="1"/>
    </w:lvlOverride>
    <w:lvlOverride w:ilvl="2">
      <w:startOverride w:val="1"/>
    </w:lvlOverride>
    <w:lvlOverride w:ilvl="3">
      <w:startOverride w:val="2"/>
    </w:lvlOverride>
  </w:num>
  <w:num w:numId="44" w16cid:durableId="196311118">
    <w:abstractNumId w:val="6"/>
  </w:num>
  <w:num w:numId="45" w16cid:durableId="1340037764">
    <w:abstractNumId w:val="25"/>
  </w:num>
  <w:num w:numId="46" w16cid:durableId="901522173">
    <w:abstractNumId w:val="41"/>
  </w:num>
  <w:num w:numId="47" w16cid:durableId="656423505">
    <w:abstractNumId w:val="42"/>
  </w:num>
  <w:num w:numId="48" w16cid:durableId="343555989">
    <w:abstractNumId w:val="3"/>
  </w:num>
  <w:num w:numId="49" w16cid:durableId="411584668">
    <w:abstractNumId w:val="32"/>
  </w:num>
  <w:num w:numId="50" w16cid:durableId="1950621902">
    <w:abstractNumId w:val="21"/>
  </w:num>
  <w:num w:numId="51" w16cid:durableId="779300185">
    <w:abstractNumId w:val="33"/>
  </w:num>
  <w:num w:numId="52" w16cid:durableId="1732071415">
    <w:abstractNumId w:val="44"/>
  </w:num>
  <w:num w:numId="53" w16cid:durableId="1755659602">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A40"/>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033"/>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0CC"/>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23EE"/>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06A5"/>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2B32"/>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33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1A6"/>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A1F"/>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23D"/>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1CCD"/>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47D4D"/>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2CCD"/>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1E0"/>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45D"/>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879"/>
    <w:rsid w:val="00BA3FD7"/>
    <w:rsid w:val="00BA4305"/>
    <w:rsid w:val="00BA46DA"/>
    <w:rsid w:val="00BA4856"/>
    <w:rsid w:val="00BA53E8"/>
    <w:rsid w:val="00BA5B1D"/>
    <w:rsid w:val="00BA5E59"/>
    <w:rsid w:val="00BA5F21"/>
    <w:rsid w:val="00BA603C"/>
    <w:rsid w:val="00BA6D5B"/>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2475"/>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B45"/>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577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6D5B"/>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A6D5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A6D5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1"/>
      </w:numPr>
    </w:pPr>
    <w:rPr>
      <w:color w:val="000000"/>
    </w:rPr>
  </w:style>
  <w:style w:type="paragraph" w:customStyle="1" w:styleId="Clanek11">
    <w:name w:val="Clanek 1.1"/>
    <w:basedOn w:val="Nadpis2"/>
    <w:link w:val="Clanek11Char"/>
    <w:qFormat/>
    <w:rsid w:val="00434083"/>
    <w:pPr>
      <w:keepNext w:val="0"/>
      <w:widowControl w:val="0"/>
      <w:numPr>
        <w:numId w:val="41"/>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5"/>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6"/>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7"/>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9"/>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3"/>
      </w:numPr>
      <w:spacing w:before="240"/>
      <w:outlineLvl w:val="0"/>
    </w:pPr>
    <w:rPr>
      <w:b/>
      <w:bCs/>
      <w:caps/>
      <w:kern w:val="20"/>
      <w:szCs w:val="32"/>
    </w:rPr>
  </w:style>
  <w:style w:type="paragraph" w:customStyle="1" w:styleId="Level2">
    <w:name w:val="Level 2"/>
    <w:basedOn w:val="Normln"/>
    <w:qFormat/>
    <w:rsid w:val="00B62525"/>
    <w:pPr>
      <w:numPr>
        <w:ilvl w:val="1"/>
        <w:numId w:val="3"/>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3"/>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3"/>
      </w:numPr>
      <w:outlineLvl w:val="3"/>
    </w:pPr>
    <w:rPr>
      <w:kern w:val="20"/>
      <w:szCs w:val="28"/>
    </w:rPr>
  </w:style>
  <w:style w:type="paragraph" w:customStyle="1" w:styleId="Level5">
    <w:name w:val="Level 5"/>
    <w:qFormat/>
    <w:rsid w:val="0053333B"/>
    <w:pPr>
      <w:numPr>
        <w:numId w:val="14"/>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3"/>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3"/>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3"/>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0"/>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0"/>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8"/>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1"/>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1"/>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4"/>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2"/>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6"/>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4"/>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35"/>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35"/>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35"/>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35"/>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35"/>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35"/>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35"/>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35"/>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35"/>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34</Pages>
  <Words>16884</Words>
  <Characters>99621</Characters>
  <Application>Microsoft Office Word</Application>
  <DocSecurity>0</DocSecurity>
  <Lines>830</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345</cp:revision>
  <cp:lastPrinted>2025-02-03T11:13:00Z</cp:lastPrinted>
  <dcterms:created xsi:type="dcterms:W3CDTF">2025-01-27T18:47:00Z</dcterms:created>
  <dcterms:modified xsi:type="dcterms:W3CDTF">2025-05-27T05:27:00Z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