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1120908B"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2955E084" w14:textId="098609E0" w:rsidR="007677A4" w:rsidRPr="00B109EB" w:rsidRDefault="007677A4" w:rsidP="006615F7">
      <w:pPr>
        <w:keepLines/>
        <w:spacing w:before="200" w:after="0" w:line="288" w:lineRule="auto"/>
        <w:jc w:val="center"/>
        <w:outlineLvl w:val="8"/>
        <w:rPr>
          <w:rFonts w:ascii="Arial" w:eastAsia="Times New Roman" w:hAnsi="Arial" w:cs="Arial"/>
          <w:b/>
          <w:i/>
          <w:iCs/>
          <w:color w:val="404040"/>
          <w:sz w:val="24"/>
          <w:szCs w:val="24"/>
        </w:rPr>
      </w:pPr>
      <w:r>
        <w:rPr>
          <w:rFonts w:ascii="Arial" w:eastAsia="Times New Roman" w:hAnsi="Arial" w:cs="Arial"/>
          <w:b/>
          <w:iCs/>
          <w:color w:val="404040"/>
          <w:sz w:val="24"/>
          <w:szCs w:val="24"/>
        </w:rPr>
        <w:t>Č. xx/2023-504202</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3EE1A3B3" w14:textId="5A6BCA39" w:rsidR="006615F7" w:rsidRPr="00C77454" w:rsidRDefault="006615F7" w:rsidP="00C77454">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6BF060B8" w14:textId="7439DCF0" w:rsidR="006615F7" w:rsidRPr="00B109EB" w:rsidRDefault="006615F7" w:rsidP="00C77454">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1B49B93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7677A4">
        <w:rPr>
          <w:rFonts w:ascii="Arial" w:eastAsia="Times New Roman" w:hAnsi="Arial" w:cs="Arial"/>
          <w:b/>
          <w:lang w:eastAsia="cs-CZ"/>
        </w:rPr>
        <w:t>pro Plzeňský kraj</w:t>
      </w:r>
    </w:p>
    <w:p w14:paraId="76BCF576" w14:textId="3BCED743" w:rsidR="006F210D" w:rsidRPr="007677A4" w:rsidRDefault="006F210D" w:rsidP="00050E94">
      <w:pPr>
        <w:overflowPunct w:val="0"/>
        <w:autoSpaceDE w:val="0"/>
        <w:autoSpaceDN w:val="0"/>
        <w:adjustRightInd w:val="0"/>
        <w:spacing w:after="0"/>
        <w:jc w:val="both"/>
        <w:textAlignment w:val="baseline"/>
        <w:rPr>
          <w:rFonts w:ascii="Arial2" w:eastAsia="Calibri" w:hAnsi="Arial2" w:cs="Arial2"/>
        </w:rPr>
      </w:pPr>
      <w:r>
        <w:rPr>
          <w:rFonts w:ascii="Arial" w:eastAsia="Times New Roman" w:hAnsi="Arial" w:cs="Arial"/>
          <w:b/>
          <w:lang w:eastAsia="cs-CZ"/>
        </w:rPr>
        <w:t>Adresa:</w:t>
      </w:r>
      <w:r w:rsidR="007677A4">
        <w:rPr>
          <w:rFonts w:ascii="Arial" w:eastAsia="Times New Roman" w:hAnsi="Arial" w:cs="Arial"/>
          <w:b/>
          <w:lang w:eastAsia="cs-CZ"/>
        </w:rPr>
        <w:t xml:space="preserve"> </w:t>
      </w:r>
      <w:r w:rsidR="007677A4">
        <w:rPr>
          <w:rFonts w:ascii="Arial2" w:eastAsia="Calibri" w:hAnsi="Arial2" w:cs="Arial2"/>
        </w:rPr>
        <w:t xml:space="preserve">náměstí Generála Píky 2110/8, </w:t>
      </w:r>
      <w:r w:rsidR="007677A4" w:rsidRPr="007677A4">
        <w:rPr>
          <w:rFonts w:ascii="Arial2" w:eastAsia="Calibri" w:hAnsi="Arial2" w:cs="Arial2"/>
        </w:rPr>
        <w:t>326 00</w:t>
      </w:r>
      <w:r w:rsidR="007677A4">
        <w:rPr>
          <w:rFonts w:ascii="Arial2" w:eastAsia="Calibri" w:hAnsi="Arial2" w:cs="Arial2"/>
        </w:rPr>
        <w:t xml:space="preserve"> Plzeň</w:t>
      </w:r>
    </w:p>
    <w:p w14:paraId="4A21AB6C" w14:textId="0B25515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C77454">
        <w:rPr>
          <w:rFonts w:ascii="Arial" w:eastAsia="Times New Roman" w:hAnsi="Arial" w:cs="Arial"/>
          <w:b/>
          <w:lang w:eastAsia="cs-CZ"/>
        </w:rPr>
        <w:t>Domažlice</w:t>
      </w:r>
    </w:p>
    <w:p w14:paraId="08BA3C4F" w14:textId="033E45F7"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77454">
        <w:rPr>
          <w:rFonts w:ascii="Arial" w:eastAsia="Times New Roman" w:hAnsi="Arial" w:cs="Arial"/>
          <w:b/>
          <w:lang w:eastAsia="cs-CZ"/>
        </w:rPr>
        <w:t xml:space="preserve"> </w:t>
      </w:r>
      <w:r w:rsidR="00C77454" w:rsidRPr="00C77454">
        <w:rPr>
          <w:rFonts w:ascii="Arial" w:eastAsia="Times New Roman" w:hAnsi="Arial" w:cs="Arial"/>
          <w:bCs/>
          <w:lang w:eastAsia="cs-CZ"/>
        </w:rPr>
        <w:t>Haltravská 438, 344 01 Domažlice</w:t>
      </w:r>
    </w:p>
    <w:p w14:paraId="6BA84FA7" w14:textId="356DA46C" w:rsidR="006615F7" w:rsidRPr="00B109EB" w:rsidRDefault="00C77454"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006615F7" w:rsidRPr="00B109EB">
        <w:rPr>
          <w:rFonts w:ascii="Arial" w:eastAsia="Lucida Sans Unicode" w:hAnsi="Arial" w:cs="Arial"/>
          <w:lang w:eastAsia="cs-CZ"/>
        </w:rPr>
        <w:t>astoupený:</w:t>
      </w:r>
      <w:r w:rsidR="006615F7" w:rsidRPr="00B109EB">
        <w:rPr>
          <w:rFonts w:ascii="Arial" w:eastAsia="Lucida Sans Unicode" w:hAnsi="Arial" w:cs="Arial"/>
          <w:lang w:eastAsia="cs-CZ"/>
        </w:rPr>
        <w:tab/>
      </w:r>
      <w:r>
        <w:rPr>
          <w:rFonts w:ascii="Arial" w:eastAsia="Lucida Sans Unicode" w:hAnsi="Arial" w:cs="Arial"/>
          <w:lang w:eastAsia="cs-CZ"/>
        </w:rPr>
        <w:t>Ing. Jiřím Papežem, ředitelem KPÚ pro Plzeňský kraj</w:t>
      </w:r>
    </w:p>
    <w:p w14:paraId="574472CB" w14:textId="7EC3C689" w:rsidR="00463206" w:rsidRPr="00B109EB" w:rsidRDefault="00C77454" w:rsidP="00C77454">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Jiřím Papežem, ředitelem KPÚ pro Plzeňský kraj</w:t>
      </w:r>
      <w:r w:rsidR="006615F7" w:rsidRPr="00B109EB">
        <w:rPr>
          <w:rFonts w:ascii="Arial" w:eastAsia="Lucida Sans Unicode" w:hAnsi="Arial" w:cs="Arial"/>
          <w:lang w:eastAsia="cs-CZ"/>
        </w:rPr>
        <w:tab/>
      </w:r>
    </w:p>
    <w:p w14:paraId="77F4B0B5" w14:textId="5E1E9E67" w:rsidR="006615F7" w:rsidRPr="00B109EB" w:rsidRDefault="00C77454" w:rsidP="00C77454">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SoD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 Domažlice</w:t>
      </w:r>
      <w:r w:rsidR="006615F7" w:rsidRPr="00B109EB">
        <w:rPr>
          <w:rFonts w:ascii="Arial" w:eastAsia="Lucida Sans Unicode" w:hAnsi="Arial" w:cs="Arial"/>
          <w:lang w:eastAsia="cs-CZ"/>
        </w:rPr>
        <w:t xml:space="preserve"> </w:t>
      </w:r>
    </w:p>
    <w:p w14:paraId="012BFD3A" w14:textId="77B3F64C"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00C77454">
        <w:rPr>
          <w:rFonts w:ascii="Arial" w:eastAsia="Lucida Sans Unicode" w:hAnsi="Arial" w:cs="Arial"/>
          <w:lang w:eastAsia="cs-CZ"/>
        </w:rPr>
        <w:t>Bc. Milan Mleziva</w:t>
      </w:r>
      <w:r w:rsidR="00D27B63">
        <w:rPr>
          <w:rFonts w:ascii="Arial" w:eastAsia="Lucida Sans Unicode" w:hAnsi="Arial" w:cs="Arial"/>
          <w:lang w:eastAsia="cs-CZ"/>
        </w:rPr>
        <w:t>, rada Pobočky Domažlice</w:t>
      </w:r>
      <w:r w:rsidRPr="00B109EB">
        <w:rPr>
          <w:rFonts w:ascii="Arial" w:eastAsia="Lucida Sans Unicode" w:hAnsi="Arial" w:cs="Arial"/>
          <w:lang w:eastAsia="cs-CZ"/>
        </w:rPr>
        <w:tab/>
      </w:r>
    </w:p>
    <w:p w14:paraId="0F9E5C16" w14:textId="3F76D785"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D27B63">
        <w:rPr>
          <w:rFonts w:ascii="Arial" w:eastAsia="Lucida Sans Unicode" w:hAnsi="Arial" w:cs="Arial"/>
          <w:lang w:eastAsia="cs-CZ"/>
        </w:rPr>
        <w:t> 724 269 138, +420 727 956 732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6391BD7A"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D27B63">
        <w:rPr>
          <w:rFonts w:ascii="Arial" w:eastAsia="Lucida Sans Unicode" w:hAnsi="Arial" w:cs="Arial"/>
          <w:lang w:eastAsia="cs-CZ"/>
        </w:rPr>
        <w:t>domazlice.pk</w:t>
      </w:r>
      <w:r w:rsidRPr="00D27B63">
        <w:rPr>
          <w:rFonts w:ascii="Arial" w:eastAsia="Lucida Sans Unicode" w:hAnsi="Arial" w:cs="Arial"/>
          <w:lang w:eastAsia="cs-CZ"/>
        </w:rPr>
        <w:t>@</w:t>
      </w:r>
      <w:r w:rsidRPr="00B109EB">
        <w:rPr>
          <w:rFonts w:ascii="Arial" w:eastAsia="Lucida Sans Unicode" w:hAnsi="Arial" w:cs="Arial"/>
          <w:lang w:eastAsia="cs-CZ"/>
        </w:rPr>
        <w:t>spucr.cz</w:t>
      </w:r>
    </w:p>
    <w:p w14:paraId="21301617" w14:textId="507B3B49"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4479136F"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679BE656"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167362A2"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48C047EB"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C774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40EDACC9"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1D386F">
        <w:rPr>
          <w:rFonts w:ascii="Arial" w:eastAsia="Times New Roman" w:hAnsi="Arial" w:cs="Arial"/>
          <w:b/>
          <w:lang w:eastAsia="cs-CZ"/>
        </w:rPr>
        <w:tab/>
      </w:r>
      <w:r w:rsidR="001D386F">
        <w:rPr>
          <w:rFonts w:ascii="Arial" w:eastAsia="Times New Roman" w:hAnsi="Arial" w:cs="Arial"/>
          <w:b/>
          <w:lang w:eastAsia="cs-CZ"/>
        </w:rPr>
        <w:tab/>
      </w:r>
    </w:p>
    <w:p w14:paraId="6A44C3E6" w14:textId="102ABF79" w:rsidR="00BA1C2C" w:rsidRDefault="006F210D" w:rsidP="001D386F">
      <w:pPr>
        <w:tabs>
          <w:tab w:val="left" w:pos="4536"/>
        </w:tabs>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r w:rsidR="001D386F">
        <w:rPr>
          <w:rFonts w:ascii="Arial" w:eastAsia="Times New Roman" w:hAnsi="Arial" w:cs="Arial"/>
          <w:b/>
          <w:lang w:eastAsia="cs-CZ"/>
        </w:rPr>
        <w:tab/>
      </w:r>
      <w:r w:rsidR="001D386F" w:rsidRPr="00A82ADA">
        <w:rPr>
          <w:rFonts w:ascii="Arial" w:eastAsia="Times New Roman" w:hAnsi="Arial" w:cs="Arial"/>
          <w:b/>
          <w:bCs/>
          <w:snapToGrid w:val="0"/>
          <w:highlight w:val="yellow"/>
          <w:lang w:eastAsia="cs-CZ"/>
        </w:rPr>
        <w:t>[DOPLNIT]</w:t>
      </w:r>
    </w:p>
    <w:p w14:paraId="6B1C39B3" w14:textId="4CAF72E8" w:rsidR="006615F7" w:rsidRPr="00B109EB" w:rsidRDefault="00BA1C2C" w:rsidP="001D386F">
      <w:pPr>
        <w:tabs>
          <w:tab w:val="left" w:pos="4536"/>
        </w:tabs>
        <w:spacing w:after="0" w:line="240"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1D386F">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6E672C48" w14:textId="0F7E958F" w:rsidR="006615F7" w:rsidRPr="00B109EB" w:rsidRDefault="001D386F" w:rsidP="001D386F">
      <w:pPr>
        <w:tabs>
          <w:tab w:val="left" w:pos="4536"/>
        </w:tabs>
        <w:spacing w:after="0" w:line="240" w:lineRule="auto"/>
        <w:jc w:val="both"/>
        <w:rPr>
          <w:rFonts w:ascii="Arial" w:eastAsia="Times New Roman" w:hAnsi="Arial" w:cs="Arial"/>
          <w:i/>
          <w:lang w:eastAsia="cs-CZ"/>
        </w:rPr>
      </w:pPr>
      <w:r>
        <w:rPr>
          <w:rFonts w:ascii="Arial" w:eastAsia="Times New Roman" w:hAnsi="Arial" w:cs="Arial"/>
          <w:lang w:eastAsia="cs-CZ"/>
        </w:rPr>
        <w:t>Z</w:t>
      </w:r>
      <w:r w:rsidR="006615F7" w:rsidRPr="00B109EB">
        <w:rPr>
          <w:rFonts w:ascii="Arial" w:eastAsia="Times New Roman" w:hAnsi="Arial" w:cs="Arial"/>
          <w:lang w:eastAsia="cs-CZ"/>
        </w:rPr>
        <w:t xml:space="preserve">astoupený:                                                </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A82ADA">
        <w:rPr>
          <w:rFonts w:ascii="Arial" w:eastAsia="Times New Roman" w:hAnsi="Arial" w:cs="Arial"/>
          <w:bCs/>
          <w:snapToGrid w:val="0"/>
          <w:highlight w:val="yellow"/>
          <w:lang w:eastAsia="cs-CZ"/>
        </w:rPr>
        <w:t xml:space="preserve"> </w:t>
      </w:r>
      <w:r w:rsidR="006615F7" w:rsidRPr="00B109EB">
        <w:rPr>
          <w:rFonts w:ascii="Arial" w:eastAsia="Times New Roman" w:hAnsi="Arial" w:cs="Arial"/>
          <w:i/>
          <w:highlight w:val="yellow"/>
          <w:lang w:eastAsia="cs-CZ"/>
        </w:rPr>
        <w:t>statutární orgán (dle výpisu z </w:t>
      </w:r>
      <w:r>
        <w:rPr>
          <w:rFonts w:ascii="Arial" w:eastAsia="Times New Roman" w:hAnsi="Arial" w:cs="Arial"/>
          <w:i/>
          <w:highlight w:val="yellow"/>
          <w:lang w:eastAsia="cs-CZ"/>
        </w:rPr>
        <w:t>OR</w:t>
      </w:r>
      <w:r w:rsidR="006615F7" w:rsidRPr="00B109EB">
        <w:rPr>
          <w:rFonts w:ascii="Arial" w:eastAsia="Times New Roman" w:hAnsi="Arial" w:cs="Arial"/>
          <w:i/>
          <w:highlight w:val="yellow"/>
          <w:lang w:eastAsia="cs-CZ"/>
        </w:rPr>
        <w:t>)</w:t>
      </w:r>
    </w:p>
    <w:p w14:paraId="071AAC4A" w14:textId="52ED373E"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r w:rsidR="006615F7" w:rsidRPr="00B109EB">
        <w:rPr>
          <w:rFonts w:ascii="Arial" w:eastAsia="Times New Roman" w:hAnsi="Arial" w:cs="Arial"/>
          <w:lang w:eastAsia="cs-CZ"/>
        </w:rPr>
        <w:tab/>
      </w:r>
    </w:p>
    <w:p w14:paraId="2550362D" w14:textId="7093E73B" w:rsidR="006615F7" w:rsidRPr="00B109EB" w:rsidRDefault="001D386F" w:rsidP="001D386F">
      <w:pPr>
        <w:tabs>
          <w:tab w:val="left" w:pos="4536"/>
        </w:tabs>
        <w:spacing w:after="0" w:line="240"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B109EB">
        <w:rPr>
          <w:rFonts w:ascii="Arial" w:eastAsia="Times New Roman" w:hAnsi="Arial" w:cs="Arial"/>
          <w:lang w:eastAsia="cs-CZ"/>
        </w:rPr>
        <w:t xml:space="preserve">-mail:                                                          </w:t>
      </w:r>
      <w:r>
        <w:rPr>
          <w:rFonts w:ascii="Arial" w:eastAsia="Times New Roman" w:hAnsi="Arial" w:cs="Arial"/>
          <w:lang w:eastAsia="cs-CZ"/>
        </w:rPr>
        <w:tab/>
      </w:r>
      <w:r w:rsidR="006615F7" w:rsidRPr="00B109EB">
        <w:rPr>
          <w:rFonts w:ascii="Arial" w:eastAsia="Times New Roman" w:hAnsi="Arial" w:cs="Arial"/>
          <w:b/>
          <w:bCs/>
          <w:snapToGrid w:val="0"/>
          <w:highlight w:val="yellow"/>
          <w:lang w:val="en-US" w:eastAsia="cs-CZ"/>
        </w:rPr>
        <w:t>[DOPLNIT]</w:t>
      </w:r>
    </w:p>
    <w:p w14:paraId="113B2508" w14:textId="036239EB" w:rsidR="006615F7" w:rsidRPr="00B109EB" w:rsidRDefault="006615F7" w:rsidP="001D386F">
      <w:pPr>
        <w:tabs>
          <w:tab w:val="left" w:pos="4536"/>
        </w:tabs>
        <w:spacing w:after="0" w:line="240"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001D386F">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25085EBA" w14:textId="42ED7CBF" w:rsidR="006615F7" w:rsidRPr="00B109EB" w:rsidRDefault="001D386F" w:rsidP="001D386F">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 xml:space="preserve">V </w:t>
      </w:r>
      <w:r w:rsidR="006615F7" w:rsidRPr="00B109EB">
        <w:rPr>
          <w:rFonts w:ascii="Arial" w:eastAsia="Times New Roman" w:hAnsi="Arial" w:cs="Arial"/>
          <w:lang w:eastAsia="cs-CZ"/>
        </w:rPr>
        <w:t>technických záležitostech je oprávněn jednat:</w:t>
      </w:r>
      <w:r>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val="de-DE" w:eastAsia="cs-CZ"/>
        </w:rPr>
        <w:t>[DOPLNIT]</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t xml:space="preserve">   </w:t>
      </w:r>
      <w:r w:rsidR="006615F7" w:rsidRPr="00B109EB">
        <w:rPr>
          <w:rFonts w:ascii="Arial" w:eastAsia="Times New Roman" w:hAnsi="Arial" w:cs="Arial"/>
          <w:lang w:eastAsia="cs-CZ"/>
        </w:rPr>
        <w:tab/>
      </w:r>
      <w:r w:rsidR="006615F7" w:rsidRPr="00B109EB">
        <w:rPr>
          <w:rFonts w:ascii="Arial" w:eastAsia="Times New Roman" w:hAnsi="Arial" w:cs="Arial"/>
          <w:lang w:eastAsia="cs-CZ"/>
        </w:rPr>
        <w:tab/>
      </w:r>
    </w:p>
    <w:p w14:paraId="4D26CF99" w14:textId="2AFE9D2A" w:rsidR="006615F7" w:rsidRPr="00B109EB" w:rsidRDefault="001D386F" w:rsidP="001D386F">
      <w:pPr>
        <w:tabs>
          <w:tab w:val="left" w:pos="4536"/>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 xml:space="preserve">el.:                                                                 </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lang w:eastAsia="cs-CZ"/>
        </w:rPr>
        <w:tab/>
      </w:r>
    </w:p>
    <w:p w14:paraId="64F70C1A" w14:textId="4BA48774" w:rsidR="006615F7" w:rsidRPr="00A82ADA" w:rsidRDefault="001D386F" w:rsidP="001D386F">
      <w:pPr>
        <w:tabs>
          <w:tab w:val="left" w:pos="4536"/>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B109EB">
        <w:rPr>
          <w:rFonts w:ascii="Arial" w:eastAsia="Times New Roman" w:hAnsi="Arial" w:cs="Arial"/>
          <w:lang w:eastAsia="cs-CZ"/>
        </w:rPr>
        <w:t>-mail:</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p>
    <w:p w14:paraId="74983462" w14:textId="719F28EE" w:rsidR="006615F7" w:rsidRPr="00B109EB" w:rsidRDefault="001D386F" w:rsidP="001D386F">
      <w:pPr>
        <w:tabs>
          <w:tab w:val="left" w:pos="4536"/>
        </w:tabs>
        <w:spacing w:after="0" w:line="240" w:lineRule="auto"/>
        <w:ind w:right="-284"/>
        <w:rPr>
          <w:rFonts w:ascii="Arial" w:eastAsia="Times New Roman" w:hAnsi="Arial" w:cs="Arial"/>
          <w:lang w:eastAsia="cs-CZ"/>
        </w:rPr>
      </w:pPr>
      <w:r>
        <w:rPr>
          <w:rFonts w:ascii="Arial" w:eastAsia="Times New Roman" w:hAnsi="Arial" w:cs="Arial"/>
          <w:lang w:eastAsia="cs-CZ"/>
        </w:rPr>
        <w:t>B</w:t>
      </w:r>
      <w:r w:rsidR="006615F7" w:rsidRPr="00B109EB">
        <w:rPr>
          <w:rFonts w:ascii="Arial" w:eastAsia="Times New Roman" w:hAnsi="Arial" w:cs="Arial"/>
          <w:lang w:eastAsia="cs-CZ"/>
        </w:rPr>
        <w:t>ankovní spojení:</w:t>
      </w:r>
      <w:r>
        <w:rPr>
          <w:rFonts w:ascii="Arial" w:eastAsia="Times New Roman" w:hAnsi="Arial" w:cs="Arial"/>
          <w:lang w:eastAsia="cs-CZ"/>
        </w:rPr>
        <w:tab/>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r w:rsidR="006615F7" w:rsidRPr="00B109EB">
        <w:rPr>
          <w:rFonts w:ascii="Arial" w:eastAsia="Times New Roman" w:hAnsi="Arial" w:cs="Arial"/>
          <w:lang w:eastAsia="cs-CZ"/>
        </w:rPr>
        <w:tab/>
      </w:r>
    </w:p>
    <w:p w14:paraId="0E1E85DF" w14:textId="0D663ADB"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w:t>
      </w:r>
      <w:r w:rsidR="001D386F">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2BB414A4" w:rsidR="006615F7" w:rsidRPr="00B109EB" w:rsidRDefault="006615F7" w:rsidP="001D386F">
      <w:pPr>
        <w:tabs>
          <w:tab w:val="left" w:pos="4536"/>
        </w:tabs>
        <w:spacing w:after="0" w:line="240"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4B7058CB" w:rsidR="006615F7" w:rsidRPr="00B109EB" w:rsidRDefault="006615F7" w:rsidP="001D386F">
      <w:pPr>
        <w:tabs>
          <w:tab w:val="left" w:pos="4536"/>
        </w:tabs>
        <w:spacing w:after="0" w:line="240"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C19E360"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bookmarkStart w:id="3" w:name="_Hlk119999415"/>
      <w:r w:rsidR="00797426" w:rsidRPr="00797426">
        <w:rPr>
          <w:rFonts w:ascii="Arial" w:eastAsia="Times New Roman" w:hAnsi="Arial" w:cs="Arial"/>
          <w:lang w:eastAsia="cs-CZ"/>
        </w:rPr>
        <w:t>Realizace vodní nádrž VN 1 a polní cesty VPC 4.17 v k. ú. Koloveč</w:t>
      </w:r>
      <w:bookmarkEnd w:id="3"/>
      <w:r w:rsidR="001F221D" w:rsidRPr="00797426">
        <w:rPr>
          <w:rFonts w:ascii="Arial" w:eastAsia="Times New Roman" w:hAnsi="Arial" w:cs="Arial"/>
          <w:bCs/>
          <w:snapToGrid w:val="0"/>
          <w:lang w:eastAsia="cs-CZ"/>
        </w:rPr>
        <w:t xml:space="preserve"> </w:t>
      </w:r>
      <w:r w:rsidR="00065713" w:rsidRPr="00797426">
        <w:rPr>
          <w:rFonts w:ascii="Arial" w:eastAsia="Times New Roman" w:hAnsi="Arial" w:cs="Arial"/>
          <w:bCs/>
          <w:snapToGrid w:val="0"/>
        </w:rPr>
        <w:t>(dále jen „veřejná zakázka“)</w:t>
      </w:r>
      <w:r w:rsidR="00065713" w:rsidRPr="00797426">
        <w:rPr>
          <w:rFonts w:ascii="Arial" w:eastAsia="Times New Roman" w:hAnsi="Arial" w:cs="Arial"/>
        </w:rPr>
        <w:t>.</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866382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363526">
        <w:rPr>
          <w:rFonts w:ascii="Arial" w:eastAsia="Times New Roman" w:hAnsi="Arial" w:cs="Arial"/>
          <w:lang w:eastAsia="cs-CZ"/>
        </w:rPr>
        <w:t>xx.11.2022</w:t>
      </w:r>
    </w:p>
    <w:p w14:paraId="5A5795A9" w14:textId="2E39AAD4"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363526">
        <w:rPr>
          <w:rFonts w:ascii="Arial" w:eastAsia="Times New Roman" w:hAnsi="Arial" w:cs="Arial"/>
          <w:lang w:eastAsia="cs-CZ"/>
        </w:rPr>
        <w:t>bude doplněno po ukončení ZŘ</w:t>
      </w:r>
    </w:p>
    <w:p w14:paraId="6D155E1E" w14:textId="316135D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363526">
        <w:rPr>
          <w:rFonts w:ascii="Arial" w:eastAsia="Times New Roman" w:hAnsi="Arial" w:cs="Arial"/>
          <w:lang w:eastAsia="cs-CZ"/>
        </w:rPr>
        <w:t>30.09.2022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6DAB3E3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363526">
        <w:rPr>
          <w:rFonts w:ascii="Arial" w:hAnsi="Arial" w:cs="Arial"/>
        </w:rPr>
        <w:t> k. ú. Koloveč</w:t>
      </w:r>
      <w:r w:rsidRPr="00B109EB">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06B3433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363526">
        <w:rPr>
          <w:rFonts w:ascii="Arial" w:hAnsi="Arial" w:cs="Arial"/>
        </w:rPr>
        <w:t>Vodní nádrž VN 1 v k. ú. Koloveč</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649B7DF"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 xml:space="preserve">k řádnému dokončení díla, funkčnosti provozu nebo respektování závazných pokynů schvalovacích orgánů (závazných povolení, např. stavebních povolení, kolaudačních </w:t>
      </w:r>
      <w:r w:rsidRPr="00B109EB">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68790631"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A43E9E" w:rsidRPr="0029278F">
        <w:rPr>
          <w:rFonts w:ascii="Arial" w:eastAsia="Calibri" w:hAnsi="Arial" w:cs="Arial"/>
          <w:b/>
          <w:bCs/>
          <w:color w:val="000000"/>
        </w:rPr>
        <w:t>Vodní nádrž VN 1 v k. ú. Koloveč</w:t>
      </w:r>
      <w:r w:rsidRPr="00B109EB">
        <w:rPr>
          <w:rFonts w:ascii="Arial" w:hAnsi="Arial" w:cs="Arial"/>
          <w:b/>
        </w:rPr>
        <w:t xml:space="preserve">  </w:t>
      </w:r>
    </w:p>
    <w:p w14:paraId="7A9E54C5" w14:textId="1AEE65C6" w:rsidR="00D6259E" w:rsidRPr="00A82ADA" w:rsidRDefault="00D6259E" w:rsidP="00D6259E">
      <w:pPr>
        <w:jc w:val="both"/>
        <w:rPr>
          <w:rFonts w:ascii="Arial" w:hAnsi="Arial" w:cs="Arial"/>
          <w:bCs/>
        </w:rPr>
      </w:pPr>
      <w:r w:rsidRPr="00B109EB">
        <w:rPr>
          <w:rFonts w:ascii="Arial" w:hAnsi="Arial" w:cs="Arial"/>
        </w:rPr>
        <w:t xml:space="preserve">Místo stavby:        </w:t>
      </w:r>
      <w:r w:rsidR="00DA1FD5">
        <w:rPr>
          <w:rFonts w:ascii="Arial" w:hAnsi="Arial" w:cs="Arial"/>
        </w:rPr>
        <w:t>k. ú. Koloveč</w:t>
      </w:r>
      <w:r w:rsidR="00DA1FD5" w:rsidRPr="00AC2A97">
        <w:rPr>
          <w:rFonts w:ascii="Arial" w:hAnsi="Arial" w:cs="Arial"/>
        </w:rPr>
        <w:t xml:space="preserve">, </w:t>
      </w:r>
      <w:r w:rsidR="00DA1FD5">
        <w:rPr>
          <w:rFonts w:ascii="Arial" w:hAnsi="Arial" w:cs="Arial"/>
        </w:rPr>
        <w:t>městys</w:t>
      </w:r>
      <w:r w:rsidR="00DA1FD5" w:rsidRPr="00AC2A97">
        <w:rPr>
          <w:rFonts w:ascii="Arial" w:hAnsi="Arial" w:cs="Arial"/>
        </w:rPr>
        <w:t xml:space="preserve"> </w:t>
      </w:r>
      <w:r w:rsidR="00DA1FD5">
        <w:rPr>
          <w:rFonts w:ascii="Arial" w:hAnsi="Arial" w:cs="Arial"/>
        </w:rPr>
        <w:t>Koloveč</w:t>
      </w:r>
      <w:r w:rsidR="00DA1FD5" w:rsidRPr="00AC2A97">
        <w:rPr>
          <w:rFonts w:ascii="Arial" w:hAnsi="Arial" w:cs="Arial"/>
        </w:rPr>
        <w:t>, okres Domažlice, Plzeňský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D192290"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016001">
        <w:rPr>
          <w:rFonts w:ascii="Arial2" w:eastAsia="Calibri" w:hAnsi="Arial2" w:cs="Arial2"/>
        </w:rPr>
        <w:t>Vodohospodářský atelier, s.r.o.</w:t>
      </w:r>
      <w:r w:rsidRPr="00016001">
        <w:rPr>
          <w:rFonts w:ascii="Arial" w:hAnsi="Arial" w:cs="Arial"/>
          <w:bCs/>
        </w:rPr>
        <w:t>,</w:t>
      </w:r>
      <w:r w:rsidRPr="00B109EB">
        <w:rPr>
          <w:rFonts w:ascii="Arial" w:hAnsi="Arial" w:cs="Arial"/>
        </w:rPr>
        <w:t xml:space="preserve"> č. zakázky </w:t>
      </w:r>
      <w:r w:rsidR="00016001">
        <w:rPr>
          <w:rFonts w:ascii="Arial" w:hAnsi="Arial" w:cs="Arial"/>
        </w:rPr>
        <w:t>12/21</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524D2F87" w14:textId="15D9CBC0" w:rsidR="00016001" w:rsidRPr="00016001" w:rsidRDefault="00016001" w:rsidP="00016001">
      <w:pPr>
        <w:pStyle w:val="Odstavecseseznamem"/>
        <w:numPr>
          <w:ilvl w:val="0"/>
          <w:numId w:val="4"/>
        </w:numPr>
        <w:jc w:val="both"/>
        <w:rPr>
          <w:rFonts w:ascii="Arial" w:hAnsi="Arial" w:cs="Arial"/>
          <w:lang w:val="x-none"/>
        </w:rPr>
      </w:pPr>
      <w:r w:rsidRPr="00993C38">
        <w:rPr>
          <w:rFonts w:ascii="Arial" w:hAnsi="Arial" w:cs="Arial"/>
        </w:rPr>
        <w:t>Z</w:t>
      </w:r>
      <w:r w:rsidRPr="00993C38">
        <w:rPr>
          <w:rFonts w:ascii="Arial" w:hAnsi="Arial" w:cs="Arial"/>
          <w:lang w:val="x-none"/>
        </w:rPr>
        <w:t>a</w:t>
      </w:r>
      <w:r>
        <w:rPr>
          <w:rFonts w:ascii="Arial" w:hAnsi="Arial" w:cs="Arial"/>
        </w:rPr>
        <w:t>jiště</w:t>
      </w:r>
      <w:r w:rsidRPr="00993C38">
        <w:rPr>
          <w:rFonts w:ascii="Arial" w:hAnsi="Arial" w:cs="Arial"/>
          <w:lang w:val="x-none"/>
        </w:rPr>
        <w:t>ní</w:t>
      </w:r>
      <w:r w:rsidR="00627E3F">
        <w:rPr>
          <w:rFonts w:ascii="Arial" w:hAnsi="Arial" w:cs="Arial"/>
        </w:rPr>
        <w:t xml:space="preserve"> </w:t>
      </w:r>
      <w:r w:rsidRPr="00993C38">
        <w:rPr>
          <w:rFonts w:ascii="Arial" w:hAnsi="Arial" w:cs="Arial"/>
          <w:lang w:val="x-none"/>
        </w:rPr>
        <w:t>dodávek materiálů a zařízení nezbytných pro řádné dokončení díla</w:t>
      </w:r>
      <w:r w:rsidRPr="00993C38">
        <w:rPr>
          <w:rFonts w:ascii="Arial" w:hAnsi="Arial" w:cs="Arial"/>
        </w:rPr>
        <w:t xml:space="preserve">.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3BA20EE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 xml:space="preserve">k archeologickým nálezům dle §176, odst. 1 zákona č. 183/2006 Sb. o územním plánování a stavebním řádu (dále jen „stavební zákon“), je zhotovitel povinen neprodleně oznámit nález objednateli, stavebnímu úřadu a orgánu státní </w:t>
      </w:r>
      <w:r w:rsidRPr="0D0362A8">
        <w:rPr>
          <w:rFonts w:ascii="Arial" w:hAnsi="Arial" w:cs="Arial"/>
        </w:rPr>
        <w:lastRenderedPageBreak/>
        <w:t>památkové péče nebo orgánu ochrany přírody a zároveň učinit opatření nezbytná k tomu, aby nález nebyl poškozen nebo zničen, a práce v místě nálezu přerušit.</w:t>
      </w:r>
    </w:p>
    <w:p w14:paraId="5D763773" w14:textId="7353C11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627E3F">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3AE01A59" w:rsidR="00961436" w:rsidRPr="00EA61EF" w:rsidRDefault="0D0362A8" w:rsidP="00EA61EF">
      <w:pPr>
        <w:pStyle w:val="Odstavecseseznamem"/>
        <w:ind w:left="1571"/>
        <w:rPr>
          <w:rFonts w:ascii="Arial" w:hAnsi="Arial" w:cs="Arial"/>
        </w:rPr>
      </w:pPr>
      <w:r w:rsidRPr="00266726">
        <w:rPr>
          <w:rFonts w:ascii="Arial" w:hAnsi="Arial" w:cs="Arial"/>
        </w:rPr>
        <w:t>Prověření mocnosti finální vrstvy kontrolními vrty provedenými na své náklady, v místech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2CD363E7"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DE6DCF" w:rsidRPr="00DE6DCF">
        <w:rPr>
          <w:rFonts w:ascii="Arial" w:hAnsi="Arial" w:cs="Arial"/>
        </w:rPr>
        <w:t>MěÚ Domažlice</w:t>
      </w:r>
      <w:r w:rsidRPr="00B109EB">
        <w:rPr>
          <w:rFonts w:ascii="Arial" w:hAnsi="Arial" w:cs="Arial"/>
        </w:rPr>
        <w:t xml:space="preserve"> dne </w:t>
      </w:r>
      <w:r w:rsidR="00DE6DCF">
        <w:rPr>
          <w:rFonts w:ascii="Arial" w:hAnsi="Arial" w:cs="Arial"/>
        </w:rPr>
        <w:t>30.09.2022,</w:t>
      </w:r>
      <w:r w:rsidRPr="00B109EB">
        <w:rPr>
          <w:rFonts w:ascii="Arial" w:hAnsi="Arial" w:cs="Arial"/>
        </w:rPr>
        <w:t xml:space="preserve"> č.j. </w:t>
      </w:r>
      <w:r w:rsidR="00DE6DCF" w:rsidRPr="00DE6DCF">
        <w:rPr>
          <w:rFonts w:ascii="Arial" w:hAnsi="Arial" w:cs="Arial"/>
        </w:rPr>
        <w:t>MeDO-65512/2022-Kitz-DS</w:t>
      </w:r>
      <w:r w:rsidRPr="00B109EB">
        <w:rPr>
          <w:rFonts w:ascii="Arial" w:hAnsi="Arial" w:cs="Arial"/>
        </w:rPr>
        <w:t xml:space="preserve"> které nabylo právní moci dne </w:t>
      </w:r>
      <w:r w:rsidR="00DE6DCF">
        <w:rPr>
          <w:rFonts w:ascii="Arial" w:hAnsi="Arial" w:cs="Arial"/>
        </w:rPr>
        <w:t>26.10.2022.</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ABDF8A1"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lastRenderedPageBreak/>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52D7B645" w:rsidR="00E6175B" w:rsidRPr="00B109EB" w:rsidRDefault="00E6175B" w:rsidP="00E6175B">
      <w:pPr>
        <w:pStyle w:val="Odstavecseseznamem"/>
        <w:rPr>
          <w:rFonts w:ascii="Arial" w:hAnsi="Arial" w:cs="Arial"/>
        </w:rPr>
      </w:pPr>
      <w:r w:rsidRPr="00B109EB">
        <w:rPr>
          <w:rFonts w:ascii="Arial" w:hAnsi="Arial" w:cs="Arial"/>
        </w:rPr>
        <w:t xml:space="preserve">DPH </w:t>
      </w:r>
      <w:r w:rsidR="00562C6B">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4EBE18E3"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51DFB3AC"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AF1F7A0" w14:textId="0B5D9C3C" w:rsidR="00AC6C17" w:rsidRPr="00CB354D" w:rsidRDefault="00CC70FE" w:rsidP="00CB354D">
      <w:pPr>
        <w:pStyle w:val="Odstavecseseznamem"/>
        <w:numPr>
          <w:ilvl w:val="0"/>
          <w:numId w:val="6"/>
        </w:numPr>
        <w:jc w:val="both"/>
        <w:rPr>
          <w:rFonts w:ascii="Arial" w:hAnsi="Arial" w:cs="Arial"/>
        </w:rPr>
      </w:pPr>
      <w:r w:rsidRPr="00CB354D">
        <w:rPr>
          <w:rFonts w:ascii="Arial" w:hAnsi="Arial" w:cs="Arial"/>
          <w:iCs/>
        </w:rPr>
        <w:t xml:space="preserve">Fakturace bude prováděna po dokončení jednotlivých fakturačních celků stanovených dle </w:t>
      </w:r>
      <w:r w:rsidR="00C74F38">
        <w:rPr>
          <w:rFonts w:ascii="Arial" w:hAnsi="Arial" w:cs="Arial"/>
          <w:iCs/>
        </w:rPr>
        <w:t>uzlových bodů</w:t>
      </w:r>
      <w:r w:rsidRPr="00CB354D">
        <w:rPr>
          <w:rFonts w:ascii="Arial" w:hAnsi="Arial" w:cs="Arial"/>
          <w:iCs/>
        </w:rPr>
        <w:t xml:space="preserve"> a to na základě zhotovitelem vyhotoveného a objednatelem potvrzeného schvalovacího protokolu o </w:t>
      </w:r>
      <w:r w:rsidR="00D65CC9" w:rsidRPr="00CB354D">
        <w:rPr>
          <w:rFonts w:ascii="Arial" w:hAnsi="Arial" w:cs="Arial"/>
          <w:iCs/>
        </w:rPr>
        <w:t>provedení</w:t>
      </w:r>
      <w:r w:rsidRPr="00CB354D">
        <w:rPr>
          <w:rFonts w:ascii="Arial" w:hAnsi="Arial" w:cs="Arial"/>
          <w:iCs/>
        </w:rPr>
        <w:t xml:space="preserve"> prací</w:t>
      </w:r>
      <w:r w:rsidR="00C00D2F" w:rsidRPr="00CB354D">
        <w:rPr>
          <w:rFonts w:ascii="Arial" w:hAnsi="Arial" w:cs="Arial"/>
          <w:iCs/>
        </w:rPr>
        <w:t xml:space="preserve"> </w:t>
      </w:r>
      <w:bookmarkStart w:id="15" w:name="_Hlk13050247"/>
      <w:r w:rsidR="00C00D2F" w:rsidRPr="00CB354D">
        <w:rPr>
          <w:rFonts w:ascii="Arial" w:hAnsi="Arial" w:cs="Arial"/>
          <w:iCs/>
        </w:rPr>
        <w:t>nejpozději do 15.11. příslušného roku</w:t>
      </w:r>
      <w:r w:rsidRPr="00CB354D">
        <w:rPr>
          <w:rFonts w:ascii="Arial" w:hAnsi="Arial" w:cs="Arial"/>
          <w:iCs/>
        </w:rPr>
        <w:t xml:space="preserve">. </w:t>
      </w:r>
      <w:bookmarkEnd w:id="15"/>
      <w:r w:rsidRPr="00CB354D">
        <w:rPr>
          <w:rFonts w:ascii="Arial" w:hAnsi="Arial" w:cs="Arial"/>
          <w:iCs/>
        </w:rPr>
        <w:t>Bez tohoto potvrzeného protokolu nesmí být faktura vystavena. Součástí faktury budou soupisy provedených prací odsouhlasené technickým dozorem stavebníka</w:t>
      </w:r>
      <w:r w:rsidR="0073434C" w:rsidRPr="00CB354D">
        <w:rPr>
          <w:rFonts w:ascii="Arial" w:hAnsi="Arial" w:cs="Arial"/>
          <w:iCs/>
        </w:rPr>
        <w:t xml:space="preserve"> a potvrzené objednatelem</w:t>
      </w:r>
      <w:r w:rsidRPr="00CB354D">
        <w:rPr>
          <w:rFonts w:ascii="Arial" w:hAnsi="Arial" w:cs="Arial"/>
          <w:iCs/>
        </w:rPr>
        <w:t>. Zhotovitel označí každou fakturu textem "dílčí"</w:t>
      </w:r>
      <w:r w:rsidR="00C00D2F" w:rsidRPr="00CB354D">
        <w:rPr>
          <w:rFonts w:ascii="Arial" w:hAnsi="Arial" w:cs="Arial"/>
          <w:iCs/>
        </w:rPr>
        <w:t xml:space="preserve"> </w:t>
      </w:r>
      <w:r w:rsidRPr="00CB354D">
        <w:rPr>
          <w:rFonts w:ascii="Arial" w:hAnsi="Arial" w:cs="Arial"/>
          <w:iCs/>
        </w:rPr>
        <w:t>s označením fakturačního celku. Poslední faktura bude vystavena do 15 kalendářních dnů od protokolárního p</w:t>
      </w:r>
      <w:r w:rsidR="00325832" w:rsidRPr="00CB354D">
        <w:rPr>
          <w:rFonts w:ascii="Arial" w:hAnsi="Arial" w:cs="Arial"/>
          <w:iCs/>
        </w:rPr>
        <w:t>ředání a převzetí díla dle této smlouvy</w:t>
      </w:r>
      <w:r w:rsidRPr="00CB354D">
        <w:rPr>
          <w:rFonts w:ascii="Arial" w:hAnsi="Arial" w:cs="Arial"/>
          <w:iCs/>
        </w:rPr>
        <w:t>. Součástí faktury budou objednatelem odsouhlasené soupisy provedených prací. Faktura bude doručena objednateli nejdéle do 15.11. příslušného roku a bude označena textem „konečná“.</w:t>
      </w:r>
      <w:bookmarkStart w:id="16" w:name="_Hlk36121528"/>
      <w:r w:rsidR="009F6051" w:rsidRPr="00CB354D">
        <w:rPr>
          <w:rFonts w:ascii="Arial" w:hAnsi="Arial" w:cs="Arial"/>
          <w:iCs/>
        </w:rPr>
        <w:t xml:space="preserve">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155495D0"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předloží objednateli nejméně deset dní před vystavením </w:t>
      </w:r>
      <w:r w:rsidR="00B01BC0" w:rsidRPr="00C45168">
        <w:rPr>
          <w:rFonts w:ascii="Arial" w:hAnsi="Arial" w:cs="Arial"/>
        </w:rPr>
        <w:lastRenderedPageBreak/>
        <w:t>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7"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7"/>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650F8011"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AF2443">
        <w:rPr>
          <w:rFonts w:ascii="Arial" w:hAnsi="Arial" w:cs="Arial"/>
        </w:rPr>
        <w:t>Domažlice, Haltravská 438, 344 01 Domažlice.</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8"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8"/>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3F44C60B" w14:textId="4D8859E0" w:rsidR="00E6175B" w:rsidRPr="005F0D84" w:rsidRDefault="00CC70FE" w:rsidP="006B54C6">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lastRenderedPageBreak/>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1737C7C2" w14:textId="05B64DEB" w:rsidR="00A537FB" w:rsidRDefault="00A537FB" w:rsidP="00FB44CA">
      <w:pPr>
        <w:pStyle w:val="Odstavecseseznamem"/>
        <w:numPr>
          <w:ilvl w:val="0"/>
          <w:numId w:val="18"/>
        </w:numPr>
        <w:jc w:val="both"/>
        <w:rPr>
          <w:rFonts w:ascii="Arial" w:hAnsi="Arial" w:cs="Arial"/>
        </w:rPr>
      </w:pPr>
      <w:bookmarkStart w:id="19" w:name="_Ref376374899"/>
      <w:bookmarkStart w:id="20" w:name="_Ref376425265"/>
      <w:r>
        <w:rPr>
          <w:rFonts w:ascii="Arial" w:hAnsi="Arial" w:cs="Arial"/>
        </w:rPr>
        <w:t xml:space="preserve">Dílo bude dokončeno nejpozději </w:t>
      </w:r>
      <w:r w:rsidRPr="003F1C57">
        <w:rPr>
          <w:rFonts w:ascii="Arial" w:hAnsi="Arial" w:cs="Arial"/>
          <w:b/>
          <w:bCs/>
        </w:rPr>
        <w:t>do</w:t>
      </w:r>
      <w:r>
        <w:rPr>
          <w:rFonts w:ascii="Arial" w:hAnsi="Arial" w:cs="Arial"/>
        </w:rPr>
        <w:t xml:space="preserve"> </w:t>
      </w:r>
      <w:r w:rsidR="003F1C57" w:rsidRPr="003F1C57">
        <w:rPr>
          <w:rFonts w:ascii="Arial" w:hAnsi="Arial" w:cs="Arial"/>
          <w:b/>
          <w:bCs/>
        </w:rPr>
        <w:t>260 dní od nabytí účinnosti smlouvy</w:t>
      </w:r>
      <w:r>
        <w:rPr>
          <w:rFonts w:ascii="Arial" w:hAnsi="Arial" w:cs="Arial"/>
        </w:rPr>
        <w:t>.</w:t>
      </w:r>
    </w:p>
    <w:p w14:paraId="29528334" w14:textId="6688552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9"/>
      <w:bookmarkEnd w:id="20"/>
    </w:p>
    <w:p w14:paraId="2AE3FC8F" w14:textId="4AA5F875" w:rsidR="00245C7B" w:rsidRPr="003F1C57" w:rsidRDefault="00245C7B" w:rsidP="003F1C57">
      <w:pPr>
        <w:pStyle w:val="Odstavecseseznamem"/>
        <w:numPr>
          <w:ilvl w:val="0"/>
          <w:numId w:val="21"/>
        </w:numPr>
        <w:jc w:val="both"/>
        <w:rPr>
          <w:rFonts w:ascii="Arial" w:hAnsi="Arial" w:cs="Arial"/>
          <w:b/>
          <w:bCs/>
        </w:rPr>
      </w:pPr>
      <w:r w:rsidRPr="00B109EB">
        <w:rPr>
          <w:rFonts w:ascii="Arial" w:hAnsi="Arial" w:cs="Arial"/>
        </w:rPr>
        <w:t xml:space="preserve">Termín předání a převzetí staveniště: </w:t>
      </w:r>
      <w:r w:rsidR="003F1C57" w:rsidRPr="003F1C57">
        <w:rPr>
          <w:rFonts w:ascii="Arial" w:hAnsi="Arial" w:cs="Arial"/>
          <w:b/>
          <w:bCs/>
        </w:rPr>
        <w:t>5 dnů od nabytí účinnosti smlouvy</w:t>
      </w:r>
      <w:r w:rsidR="003F1C57">
        <w:rPr>
          <w:rFonts w:ascii="Arial" w:hAnsi="Arial" w:cs="Arial"/>
          <w:b/>
          <w:bCs/>
        </w:rPr>
        <w:t>.</w:t>
      </w:r>
    </w:p>
    <w:p w14:paraId="075CBBD1" w14:textId="58C1163A" w:rsidR="00245C7B" w:rsidRPr="003F1C57" w:rsidRDefault="00245C7B" w:rsidP="003F1C57">
      <w:pPr>
        <w:pStyle w:val="Odstavecseseznamem"/>
        <w:numPr>
          <w:ilvl w:val="0"/>
          <w:numId w:val="21"/>
        </w:numPr>
        <w:jc w:val="both"/>
        <w:rPr>
          <w:rFonts w:ascii="Arial" w:hAnsi="Arial" w:cs="Arial"/>
          <w:b/>
          <w:bCs/>
        </w:rPr>
      </w:pPr>
      <w:r w:rsidRPr="00B109EB">
        <w:rPr>
          <w:rFonts w:ascii="Arial" w:hAnsi="Arial" w:cs="Arial"/>
        </w:rPr>
        <w:t xml:space="preserve">Termín zahájení stavebních prací: </w:t>
      </w:r>
      <w:r w:rsidR="003F1C57" w:rsidRPr="003F1C57">
        <w:rPr>
          <w:rFonts w:ascii="Arial" w:hAnsi="Arial" w:cs="Arial"/>
          <w:b/>
          <w:bCs/>
        </w:rPr>
        <w:t>10 dnů od nabytí účinnosti smlouvy</w:t>
      </w:r>
      <w:r w:rsidR="003F1C57" w:rsidRPr="003F1C57">
        <w:rPr>
          <w:rFonts w:ascii="Arial" w:hAnsi="Arial" w:cs="Arial"/>
          <w:b/>
          <w:bCs/>
        </w:rPr>
        <w:t>.</w:t>
      </w:r>
    </w:p>
    <w:p w14:paraId="0B9DE771" w14:textId="60E1EF07" w:rsidR="00245C7B" w:rsidRPr="003F1C57" w:rsidRDefault="00245C7B" w:rsidP="003F1C57">
      <w:pPr>
        <w:pStyle w:val="Odstavecseseznamem"/>
        <w:numPr>
          <w:ilvl w:val="0"/>
          <w:numId w:val="21"/>
        </w:numPr>
        <w:jc w:val="both"/>
        <w:rPr>
          <w:rFonts w:ascii="Arial" w:hAnsi="Arial" w:cs="Arial"/>
          <w:b/>
          <w:bCs/>
        </w:rPr>
      </w:pPr>
      <w:bookmarkStart w:id="21" w:name="_Ref376426038"/>
      <w:r w:rsidRPr="00B109EB">
        <w:rPr>
          <w:rFonts w:ascii="Arial" w:hAnsi="Arial" w:cs="Arial"/>
        </w:rPr>
        <w:t xml:space="preserve">Termín dokončení stavebních prací: </w:t>
      </w:r>
      <w:bookmarkEnd w:id="21"/>
      <w:r w:rsidR="003F1C57" w:rsidRPr="003F1C57">
        <w:rPr>
          <w:rFonts w:ascii="Arial" w:hAnsi="Arial" w:cs="Arial"/>
          <w:b/>
          <w:bCs/>
        </w:rPr>
        <w:t>260 dní od nabytí účinnosti smlouvy</w:t>
      </w:r>
      <w:r w:rsidR="003F1C57" w:rsidRPr="003F1C57">
        <w:rPr>
          <w:rFonts w:ascii="Arial" w:hAnsi="Arial" w:cs="Arial"/>
          <w:b/>
          <w:bCs/>
        </w:rPr>
        <w:t>.</w:t>
      </w:r>
    </w:p>
    <w:p w14:paraId="220F2D06" w14:textId="3F281B36" w:rsidR="00D921FC" w:rsidRPr="003F1C57" w:rsidRDefault="00D921FC" w:rsidP="003F1C57">
      <w:pPr>
        <w:pStyle w:val="Odstavecseseznamem"/>
        <w:numPr>
          <w:ilvl w:val="0"/>
          <w:numId w:val="21"/>
        </w:numPr>
        <w:jc w:val="both"/>
        <w:rPr>
          <w:rFonts w:ascii="Arial" w:hAnsi="Arial" w:cs="Arial"/>
          <w:b/>
          <w:bCs/>
        </w:rPr>
      </w:pPr>
      <w:r w:rsidRPr="00B109EB">
        <w:rPr>
          <w:rFonts w:ascii="Arial" w:hAnsi="Arial" w:cs="Arial"/>
        </w:rPr>
        <w:t xml:space="preserve">Termín dokončení </w:t>
      </w:r>
      <w:r w:rsidR="00287253">
        <w:rPr>
          <w:rFonts w:ascii="Arial" w:hAnsi="Arial" w:cs="Arial"/>
        </w:rPr>
        <w:t>výsadby zeleně</w:t>
      </w:r>
      <w:r w:rsidRPr="00B109EB">
        <w:rPr>
          <w:rFonts w:ascii="Arial" w:hAnsi="Arial" w:cs="Arial"/>
        </w:rPr>
        <w:t xml:space="preserve">: </w:t>
      </w:r>
      <w:r w:rsidR="003F1C57" w:rsidRPr="003F1C57">
        <w:rPr>
          <w:rFonts w:ascii="Arial" w:hAnsi="Arial" w:cs="Arial"/>
          <w:b/>
          <w:bCs/>
        </w:rPr>
        <w:t>260 dní od nabytí účinnosti smlouvy</w:t>
      </w:r>
      <w:r w:rsidR="003F1C57" w:rsidRPr="003F1C57">
        <w:rPr>
          <w:rFonts w:ascii="Arial" w:hAnsi="Arial" w:cs="Arial"/>
          <w:b/>
          <w:bCs/>
        </w:rPr>
        <w:t>.</w:t>
      </w:r>
    </w:p>
    <w:p w14:paraId="43C49B77" w14:textId="1F752CA6" w:rsidR="00245C7B" w:rsidRPr="003F1C57" w:rsidRDefault="00C241A3" w:rsidP="003F1C57">
      <w:pPr>
        <w:pStyle w:val="Odstavecseseznamem"/>
        <w:numPr>
          <w:ilvl w:val="0"/>
          <w:numId w:val="21"/>
        </w:numPr>
        <w:jc w:val="both"/>
        <w:rPr>
          <w:rFonts w:ascii="Arial" w:hAnsi="Arial" w:cs="Arial"/>
          <w:b/>
          <w:bCs/>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3F1C57" w:rsidRPr="003F1C57">
        <w:rPr>
          <w:rFonts w:ascii="Arial" w:hAnsi="Arial" w:cs="Arial"/>
          <w:b/>
          <w:bCs/>
        </w:rPr>
        <w:t>267 dní od nabytí účinnosti smlouvy</w:t>
      </w:r>
      <w:r w:rsidR="003F1C57" w:rsidRPr="003F1C57">
        <w:rPr>
          <w:rFonts w:ascii="Arial" w:hAnsi="Arial" w:cs="Arial"/>
          <w:b/>
          <w:bCs/>
        </w:rPr>
        <w:t>.</w:t>
      </w:r>
    </w:p>
    <w:p w14:paraId="688CEDA8" w14:textId="0A6F3033" w:rsidR="00C241A3" w:rsidRPr="00B109EB" w:rsidRDefault="00245C7B" w:rsidP="001216DB">
      <w:pPr>
        <w:pStyle w:val="Odstavecseseznamem"/>
        <w:jc w:val="both"/>
        <w:rPr>
          <w:rFonts w:ascii="Arial" w:hAnsi="Arial" w:cs="Arial"/>
        </w:rPr>
      </w:pPr>
      <w:bookmarkStart w:id="22" w:name="_Ref376426040"/>
      <w:r w:rsidRPr="00B109EB">
        <w:rPr>
          <w:rFonts w:ascii="Arial" w:hAnsi="Arial" w:cs="Arial"/>
        </w:rPr>
        <w:t>(protokolární předání a převzetí řádně dokončeného díla</w:t>
      </w:r>
      <w:bookmarkEnd w:id="22"/>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0550C717" w14:textId="084F6795" w:rsidR="00245C7B" w:rsidRPr="00B109EB" w:rsidRDefault="00245C7B" w:rsidP="00245C7B">
      <w:pPr>
        <w:pStyle w:val="Odstavecseseznamem"/>
        <w:jc w:val="both"/>
        <w:rPr>
          <w:rFonts w:ascii="Arial" w:hAnsi="Arial" w:cs="Arial"/>
          <w:i/>
        </w:rPr>
      </w:pPr>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69458662" w:rsidR="00245C7B" w:rsidRPr="00E71B46" w:rsidRDefault="00245C7B" w:rsidP="00245C7B">
      <w:pPr>
        <w:pStyle w:val="Odstavecseseznamem"/>
        <w:jc w:val="both"/>
        <w:rPr>
          <w:rFonts w:ascii="Arial" w:hAnsi="Arial" w:cs="Arial"/>
          <w:b/>
          <w:bCs/>
          <w:iCs/>
        </w:rPr>
      </w:pPr>
      <w:r w:rsidRPr="00E71B46">
        <w:rPr>
          <w:rFonts w:ascii="Arial" w:hAnsi="Arial" w:cs="Arial"/>
          <w:b/>
          <w:bCs/>
          <w:iCs/>
        </w:rPr>
        <w:t>(Doplní zhotovitel dle časového harmonogramu postupu prací z nabídky)</w:t>
      </w:r>
    </w:p>
    <w:p w14:paraId="15E4F0CC" w14:textId="163DFFB6" w:rsidR="00245C7B" w:rsidRPr="00B109EB" w:rsidRDefault="00341053" w:rsidP="00245C7B">
      <w:pPr>
        <w:pStyle w:val="Odstavecseseznamem"/>
        <w:jc w:val="both"/>
        <w:rPr>
          <w:rFonts w:ascii="Arial" w:hAnsi="Arial" w:cs="Arial"/>
        </w:rPr>
      </w:pPr>
      <w:r>
        <w:rPr>
          <w:rFonts w:ascii="Arial" w:hAnsi="Arial" w:cs="Arial"/>
        </w:rPr>
        <w:lastRenderedPageBreak/>
        <w:t>SO 01</w:t>
      </w:r>
      <w:r w:rsidR="00676951">
        <w:rPr>
          <w:rFonts w:ascii="Arial" w:hAnsi="Arial" w:cs="Arial"/>
        </w:rPr>
        <w:t>.1 Hráz</w:t>
      </w:r>
      <w:r w:rsidR="00C24129">
        <w:rPr>
          <w:rFonts w:ascii="Arial" w:hAnsi="Arial" w:cs="Arial"/>
        </w:rPr>
        <w:tab/>
      </w:r>
      <w:r>
        <w:rPr>
          <w:rFonts w:ascii="Arial" w:hAnsi="Arial" w:cs="Arial"/>
        </w:rPr>
        <w:t xml:space="preserve"> </w:t>
      </w:r>
      <w:r>
        <w:rPr>
          <w:rFonts w:ascii="Arial" w:hAnsi="Arial" w:cs="Arial"/>
        </w:rPr>
        <w:tab/>
      </w:r>
      <w:r w:rsidR="00F4307F">
        <w:rPr>
          <w:rFonts w:ascii="Arial" w:hAnsi="Arial" w:cs="Arial"/>
        </w:rPr>
        <w:tab/>
      </w:r>
      <w:r w:rsidR="00F4307F">
        <w:rPr>
          <w:rFonts w:ascii="Arial" w:hAnsi="Arial" w:cs="Arial"/>
        </w:rPr>
        <w:tab/>
      </w:r>
      <w:r>
        <w:rPr>
          <w:rFonts w:ascii="Arial" w:hAnsi="Arial" w:cs="Arial"/>
        </w:rPr>
        <w:t>t</w:t>
      </w:r>
      <w:r w:rsidR="00245C7B" w:rsidRPr="00B109EB">
        <w:rPr>
          <w:rFonts w:ascii="Arial" w:hAnsi="Arial" w:cs="Arial"/>
        </w:rPr>
        <w:t xml:space="preserve">ermín plnění do: </w:t>
      </w:r>
      <w:r w:rsidR="00245C7B" w:rsidRPr="00B109EB">
        <w:rPr>
          <w:rFonts w:ascii="Arial" w:hAnsi="Arial" w:cs="Arial"/>
          <w:b/>
          <w:bCs/>
          <w:highlight w:val="yellow"/>
          <w:lang w:val="en-US"/>
        </w:rPr>
        <w:t>[DOPLNIT]</w:t>
      </w:r>
      <w:r w:rsidR="00245C7B" w:rsidRPr="00B109EB">
        <w:rPr>
          <w:rFonts w:ascii="Arial" w:hAnsi="Arial" w:cs="Arial"/>
        </w:rPr>
        <w:t xml:space="preserve"> </w:t>
      </w:r>
    </w:p>
    <w:p w14:paraId="0AF67344" w14:textId="28651B6B" w:rsidR="00245C7B" w:rsidRPr="00B109EB" w:rsidRDefault="00676951" w:rsidP="00245C7B">
      <w:pPr>
        <w:pStyle w:val="Odstavecseseznamem"/>
        <w:jc w:val="both"/>
        <w:rPr>
          <w:rFonts w:ascii="Arial" w:hAnsi="Arial" w:cs="Arial"/>
          <w:bCs/>
          <w:lang w:val="en-US"/>
        </w:rPr>
      </w:pPr>
      <w:r>
        <w:rPr>
          <w:rFonts w:ascii="Arial" w:hAnsi="Arial" w:cs="Arial"/>
        </w:rPr>
        <w:t>SO 01.2 Zátopa</w:t>
      </w:r>
      <w:r w:rsidR="00245C7B" w:rsidRPr="00B109EB">
        <w:rPr>
          <w:rFonts w:ascii="Arial" w:hAnsi="Arial" w:cs="Arial"/>
        </w:rPr>
        <w:t xml:space="preserve">   </w:t>
      </w:r>
      <w:r>
        <w:rPr>
          <w:rFonts w:ascii="Arial" w:hAnsi="Arial" w:cs="Arial"/>
        </w:rPr>
        <w:tab/>
      </w:r>
      <w:r w:rsidR="00F4307F">
        <w:rPr>
          <w:rFonts w:ascii="Arial" w:hAnsi="Arial" w:cs="Arial"/>
        </w:rPr>
        <w:tab/>
      </w:r>
      <w:r w:rsidR="00F4307F">
        <w:rPr>
          <w:rFonts w:ascii="Arial" w:hAnsi="Arial" w:cs="Arial"/>
        </w:rPr>
        <w:tab/>
      </w:r>
      <w:r>
        <w:rPr>
          <w:rFonts w:ascii="Arial" w:hAnsi="Arial" w:cs="Arial"/>
        </w:rPr>
        <w:t>te</w:t>
      </w:r>
      <w:r w:rsidR="00245C7B" w:rsidRPr="00B109EB">
        <w:rPr>
          <w:rFonts w:ascii="Arial" w:hAnsi="Arial" w:cs="Arial"/>
        </w:rPr>
        <w:t xml:space="preserve">rmín plnění do: </w:t>
      </w:r>
      <w:r w:rsidR="00245C7B" w:rsidRPr="00B109EB">
        <w:rPr>
          <w:rFonts w:ascii="Arial" w:hAnsi="Arial" w:cs="Arial"/>
          <w:b/>
          <w:bCs/>
          <w:highlight w:val="yellow"/>
          <w:lang w:val="en-US"/>
        </w:rPr>
        <w:t>[DOPLNIT]</w:t>
      </w:r>
    </w:p>
    <w:p w14:paraId="2BB0B12D" w14:textId="49D9A799" w:rsidR="00245C7B" w:rsidRDefault="00F4307F" w:rsidP="00245C7B">
      <w:pPr>
        <w:pStyle w:val="Odstavecseseznamem"/>
        <w:jc w:val="both"/>
        <w:rPr>
          <w:rFonts w:ascii="Arial" w:hAnsi="Arial" w:cs="Arial"/>
          <w:b/>
          <w:bCs/>
          <w:lang w:val="en-US"/>
        </w:rPr>
      </w:pPr>
      <w:r w:rsidRPr="00A5385A">
        <w:rPr>
          <w:rFonts w:ascii="Arial2" w:eastAsia="Calibri" w:hAnsi="Arial2" w:cs="Arial2"/>
        </w:rPr>
        <w:t>SO 01.</w:t>
      </w:r>
      <w:r>
        <w:rPr>
          <w:rFonts w:ascii="Arial2" w:eastAsia="Calibri" w:hAnsi="Arial2" w:cs="Arial2"/>
        </w:rPr>
        <w:t>3</w:t>
      </w:r>
      <w:r w:rsidRPr="00A5385A">
        <w:rPr>
          <w:rFonts w:ascii="Arial2" w:eastAsia="Calibri" w:hAnsi="Arial2" w:cs="Arial2"/>
        </w:rPr>
        <w:t xml:space="preserve"> Výpustný objekt</w:t>
      </w:r>
      <w:r>
        <w:rPr>
          <w:rFonts w:ascii="Arial2" w:eastAsia="Calibri" w:hAnsi="Arial2" w:cs="Arial2"/>
        </w:rPr>
        <w:tab/>
      </w:r>
      <w:r>
        <w:rPr>
          <w:rFonts w:ascii="Arial2" w:eastAsia="Calibri" w:hAnsi="Arial2" w:cs="Arial2"/>
        </w:rPr>
        <w:tab/>
      </w:r>
      <w:r w:rsidR="00245C7B" w:rsidRPr="00B109EB">
        <w:rPr>
          <w:rFonts w:ascii="Arial" w:hAnsi="Arial" w:cs="Arial"/>
        </w:rPr>
        <w:t xml:space="preserve">termín plnění do: </w:t>
      </w:r>
      <w:r w:rsidR="00245C7B" w:rsidRPr="00B109EB">
        <w:rPr>
          <w:rFonts w:ascii="Arial" w:hAnsi="Arial" w:cs="Arial"/>
          <w:b/>
          <w:bCs/>
          <w:highlight w:val="yellow"/>
          <w:lang w:val="en-US"/>
        </w:rPr>
        <w:t>[DOPLNIT]</w:t>
      </w:r>
    </w:p>
    <w:p w14:paraId="1444A86F" w14:textId="7111B805" w:rsidR="00F4307F" w:rsidRPr="00B109EB" w:rsidRDefault="00F4307F" w:rsidP="00F4307F">
      <w:pPr>
        <w:pStyle w:val="Odstavecseseznamem"/>
        <w:jc w:val="both"/>
        <w:rPr>
          <w:rFonts w:ascii="Arial" w:hAnsi="Arial" w:cs="Arial"/>
        </w:rPr>
      </w:pPr>
      <w:r w:rsidRPr="00A5385A">
        <w:rPr>
          <w:rFonts w:ascii="Arial2" w:eastAsia="Calibri" w:hAnsi="Arial2" w:cs="Arial2"/>
        </w:rPr>
        <w:t>SO 01.</w:t>
      </w:r>
      <w:r w:rsidR="00F53D58">
        <w:rPr>
          <w:rFonts w:ascii="Arial2" w:eastAsia="Calibri" w:hAnsi="Arial2" w:cs="Arial2"/>
        </w:rPr>
        <w:t>4</w:t>
      </w:r>
      <w:r w:rsidRPr="00A5385A">
        <w:rPr>
          <w:rFonts w:ascii="Arial2" w:eastAsia="Calibri" w:hAnsi="Arial2" w:cs="Arial2"/>
        </w:rPr>
        <w:t xml:space="preserve"> </w:t>
      </w:r>
      <w:r>
        <w:rPr>
          <w:rFonts w:ascii="Arial2" w:eastAsia="Calibri" w:hAnsi="Arial2" w:cs="Arial2"/>
        </w:rPr>
        <w:t>Bezpečnostní přeliv</w:t>
      </w:r>
      <w:r>
        <w:rPr>
          <w:rFonts w:ascii="Arial2" w:eastAsia="Calibri" w:hAnsi="Arial2" w:cs="Arial2"/>
        </w:rPr>
        <w:tab/>
      </w:r>
      <w:r>
        <w:rPr>
          <w:rFonts w:ascii="Arial2" w:eastAsia="Calibri" w:hAnsi="Arial2" w:cs="Arial2"/>
        </w:rPr>
        <w:tab/>
      </w:r>
      <w:r w:rsidRPr="00B109EB">
        <w:rPr>
          <w:rFonts w:ascii="Arial" w:hAnsi="Arial" w:cs="Arial"/>
        </w:rPr>
        <w:t xml:space="preserve">termín plnění do: </w:t>
      </w:r>
      <w:r w:rsidRPr="00B109EB">
        <w:rPr>
          <w:rFonts w:ascii="Arial" w:hAnsi="Arial" w:cs="Arial"/>
          <w:b/>
          <w:bCs/>
          <w:highlight w:val="yellow"/>
          <w:lang w:val="en-US"/>
        </w:rPr>
        <w:t>[DOPLNIT]</w:t>
      </w:r>
    </w:p>
    <w:p w14:paraId="0A87DE6B" w14:textId="1BE229F6" w:rsidR="00F4307F" w:rsidRPr="00B109EB" w:rsidRDefault="00F4307F" w:rsidP="00F4307F">
      <w:pPr>
        <w:pStyle w:val="Odstavecseseznamem"/>
        <w:jc w:val="both"/>
        <w:rPr>
          <w:rFonts w:ascii="Arial" w:hAnsi="Arial" w:cs="Arial"/>
        </w:rPr>
      </w:pPr>
      <w:r w:rsidRPr="00A5385A">
        <w:rPr>
          <w:rFonts w:ascii="Arial2" w:eastAsia="Calibri" w:hAnsi="Arial2" w:cs="Arial2"/>
        </w:rPr>
        <w:t>SO 01.</w:t>
      </w:r>
      <w:r w:rsidR="00F53D58">
        <w:rPr>
          <w:rFonts w:ascii="Arial2" w:eastAsia="Calibri" w:hAnsi="Arial2" w:cs="Arial2"/>
        </w:rPr>
        <w:t>5</w:t>
      </w:r>
      <w:r w:rsidRPr="00A5385A">
        <w:rPr>
          <w:rFonts w:ascii="Arial2" w:eastAsia="Calibri" w:hAnsi="Arial2" w:cs="Arial2"/>
        </w:rPr>
        <w:t xml:space="preserve"> </w:t>
      </w:r>
      <w:r>
        <w:rPr>
          <w:rFonts w:ascii="Arial2" w:eastAsia="Calibri" w:hAnsi="Arial2" w:cs="Arial2"/>
        </w:rPr>
        <w:t>Tůň</w:t>
      </w:r>
      <w:r>
        <w:rPr>
          <w:rFonts w:ascii="Arial2" w:eastAsia="Calibri" w:hAnsi="Arial2" w:cs="Arial2"/>
        </w:rPr>
        <w:tab/>
      </w:r>
      <w:r>
        <w:rPr>
          <w:rFonts w:ascii="Arial2" w:eastAsia="Calibri" w:hAnsi="Arial2" w:cs="Arial2"/>
        </w:rPr>
        <w:tab/>
      </w:r>
      <w:r>
        <w:rPr>
          <w:rFonts w:ascii="Arial2" w:eastAsia="Calibri" w:hAnsi="Arial2" w:cs="Arial2"/>
        </w:rPr>
        <w:tab/>
      </w:r>
      <w:r>
        <w:rPr>
          <w:rFonts w:ascii="Arial2" w:eastAsia="Calibri" w:hAnsi="Arial2" w:cs="Arial2"/>
        </w:rPr>
        <w:tab/>
      </w:r>
      <w:r w:rsidRPr="00B109EB">
        <w:rPr>
          <w:rFonts w:ascii="Arial" w:hAnsi="Arial" w:cs="Arial"/>
        </w:rPr>
        <w:t xml:space="preserve">termín plnění do: </w:t>
      </w:r>
      <w:r w:rsidRPr="00B109EB">
        <w:rPr>
          <w:rFonts w:ascii="Arial" w:hAnsi="Arial" w:cs="Arial"/>
          <w:b/>
          <w:bCs/>
          <w:highlight w:val="yellow"/>
          <w:lang w:val="en-US"/>
        </w:rPr>
        <w:t>[DOPLNIT]</w:t>
      </w:r>
    </w:p>
    <w:p w14:paraId="0E6D5AE4" w14:textId="77777777" w:rsidR="00F4307F" w:rsidRPr="00B109EB" w:rsidRDefault="00F4307F" w:rsidP="00245C7B">
      <w:pPr>
        <w:pStyle w:val="Odstavecseseznamem"/>
        <w:jc w:val="both"/>
        <w:rPr>
          <w:rFonts w:ascii="Arial" w:hAnsi="Arial" w:cs="Arial"/>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885F2B">
      <w:pPr>
        <w:pStyle w:val="Odstavecseseznamem"/>
        <w:jc w:val="both"/>
        <w:rPr>
          <w:rFonts w:ascii="Arial" w:hAnsi="Arial" w:cs="Arial"/>
        </w:rPr>
      </w:pP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4A5E564C" w:rsidR="00C447B2" w:rsidRPr="00AF038D" w:rsidRDefault="00D74831" w:rsidP="00D80F3F">
      <w:pPr>
        <w:pStyle w:val="Odstavecseseznamem"/>
        <w:jc w:val="both"/>
        <w:rPr>
          <w:rFonts w:ascii="Arial" w:hAnsi="Arial" w:cs="Arial"/>
        </w:rPr>
      </w:pPr>
      <w:bookmarkStart w:id="25" w:name="_Hlk40281055"/>
      <w:r>
        <w:rPr>
          <w:rFonts w:ascii="Arial" w:hAnsi="Arial" w:cs="Arial"/>
          <w:highlight w:val="yellow"/>
        </w:rPr>
        <w:t xml:space="preserve"> </w:t>
      </w:r>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BF3CD72"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zákona s odkazem na další související předpisy stavbyvedoucího, přičemž tato osoba musí splňovat podmínky stanovené v zákoně č. 360/1992 Sb., o výkonu povolání autorizovaných architektů a</w:t>
      </w:r>
      <w:r w:rsidR="00DC7F6D">
        <w:rPr>
          <w:rFonts w:ascii="Arial" w:hAnsi="Arial" w:cs="Arial"/>
        </w:rPr>
        <w:t xml:space="preserve"> </w:t>
      </w:r>
      <w:r w:rsidRPr="00B109EB">
        <w:rPr>
          <w:rFonts w:ascii="Arial" w:hAnsi="Arial" w:cs="Arial"/>
        </w:rPr>
        <w:t>o výkonu povolání autorizovaných inženýrů 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lastRenderedPageBreak/>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D37548F" w:rsidR="00D22680" w:rsidRPr="00F53D58" w:rsidRDefault="00065713" w:rsidP="00F53D58">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00A9E67B" w:rsidR="00E73632" w:rsidRDefault="00065713" w:rsidP="00F53D58">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10FBB555" w14:textId="77777777" w:rsidR="00F53D58" w:rsidRPr="00F53D58" w:rsidRDefault="00F53D58" w:rsidP="00F53D58">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A918987"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790C72">
        <w:rPr>
          <w:rFonts w:ascii="Arial" w:hAnsi="Arial" w:cs="Arial"/>
        </w:rPr>
        <w:t xml:space="preserve"> 16 000 000.</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w:t>
      </w:r>
      <w:r w:rsidRPr="00B109EB">
        <w:rPr>
          <w:rFonts w:ascii="Arial" w:hAnsi="Arial" w:cs="Arial"/>
        </w:rPr>
        <w:lastRenderedPageBreak/>
        <w:t>zhotovitelova lhůta pro plnění závazků, vyplývajících z této smlouvy a zhotovitel není v prodlení. Termíny plnění dle této smlouvy budou prodlouženy o dobu, po kterou budou odstraňovány vady projektové dokumentace.</w:t>
      </w:r>
    </w:p>
    <w:p w14:paraId="725C0466" w14:textId="17903B4B" w:rsidR="003E578B" w:rsidRDefault="003E578B" w:rsidP="001216DB">
      <w:pPr>
        <w:jc w:val="center"/>
        <w:rPr>
          <w:rFonts w:ascii="Arial" w:hAnsi="Arial" w:cs="Arial"/>
          <w:b/>
          <w:u w:val="single"/>
        </w:rPr>
      </w:pPr>
    </w:p>
    <w:p w14:paraId="133F6DD0" w14:textId="03647592" w:rsidR="00A44F97" w:rsidRDefault="00A44F97" w:rsidP="001216DB">
      <w:pPr>
        <w:jc w:val="center"/>
        <w:rPr>
          <w:rFonts w:ascii="Arial" w:hAnsi="Arial" w:cs="Arial"/>
          <w:b/>
          <w:u w:val="single"/>
        </w:rPr>
      </w:pPr>
    </w:p>
    <w:p w14:paraId="3FFF0D93" w14:textId="77777777" w:rsidR="00A44F97" w:rsidRPr="00B109EB" w:rsidRDefault="00A44F97"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r>
      <w:r w:rsidRPr="00B109EB">
        <w:rPr>
          <w:rFonts w:ascii="Arial" w:hAnsi="Arial" w:cs="Arial"/>
        </w:rPr>
        <w:lastRenderedPageBreak/>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043AF96C"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w:t>
      </w:r>
      <w:r w:rsidR="003D21B7" w:rsidRPr="00B109EB">
        <w:rPr>
          <w:rFonts w:ascii="Arial" w:hAnsi="Arial" w:cs="Arial"/>
        </w:rPr>
        <w:lastRenderedPageBreak/>
        <w:t>předání místo, kde je stavba prováděna.</w:t>
      </w:r>
      <w:r w:rsidRPr="00B109EB">
        <w:rPr>
          <w:rFonts w:ascii="Arial" w:hAnsi="Arial" w:cs="Arial"/>
        </w:rPr>
        <w:t xml:space="preserve"> Místem pro předání dokladů je Státní pozemkový úřad, Krajský pozemkový úřad pro </w:t>
      </w:r>
      <w:r w:rsidR="00A44F97">
        <w:rPr>
          <w:rFonts w:ascii="Arial" w:hAnsi="Arial" w:cs="Arial"/>
        </w:rPr>
        <w:t>Plzeňský kraj</w:t>
      </w:r>
      <w:r w:rsidRPr="007F72E0">
        <w:rPr>
          <w:rFonts w:ascii="Arial" w:hAnsi="Arial" w:cs="Arial"/>
          <w:bCs/>
        </w:rPr>
        <w:t xml:space="preserve">, Pobočka </w:t>
      </w:r>
      <w:r w:rsidR="00A44F97">
        <w:rPr>
          <w:rFonts w:ascii="Arial" w:hAnsi="Arial" w:cs="Arial"/>
          <w:bCs/>
        </w:rPr>
        <w:t>Domažlice.</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61AF1300"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406CF10E" w14:textId="77777777" w:rsidR="00C447B2" w:rsidRPr="00463F35" w:rsidRDefault="00C447B2" w:rsidP="00463F35">
      <w:pPr>
        <w:pStyle w:val="Odstavecseseznamem"/>
        <w:numPr>
          <w:ilvl w:val="0"/>
          <w:numId w:val="20"/>
        </w:numPr>
        <w:jc w:val="both"/>
        <w:rPr>
          <w:rFonts w:ascii="Arial" w:hAnsi="Arial" w:cs="Arial"/>
          <w:bCs/>
        </w:rPr>
      </w:pPr>
      <w:bookmarkStart w:id="32" w:name="_Hlk40281101"/>
      <w:r w:rsidRPr="00463F35">
        <w:rPr>
          <w:rFonts w:ascii="Arial" w:hAnsi="Arial" w:cs="Arial"/>
        </w:rPr>
        <w:t>Objednatel je povinen nejpozději do 5 pracovních dnů ode dne obdržení oznámení o dokončení díla zahájit přejímací řízení a řádně v něm pokračovat.</w:t>
      </w:r>
    </w:p>
    <w:bookmarkEnd w:id="32"/>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298"/>
      <w:r w:rsidRPr="00B109EB">
        <w:rPr>
          <w:rFonts w:cs="Arial"/>
          <w:b w:val="0"/>
          <w:szCs w:val="22"/>
          <w:u w:val="none"/>
        </w:rPr>
        <w:t>Dílo bylo dokončeno v souladu s touto smlouvou v rozsahu dle Čl. II. a v termínu dle Čl. V. této smlouvy.</w:t>
      </w:r>
      <w:bookmarkEnd w:id="33"/>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534"/>
      <w:r w:rsidRPr="00B109EB">
        <w:rPr>
          <w:rFonts w:cs="Arial"/>
          <w:b w:val="0"/>
          <w:szCs w:val="22"/>
          <w:u w:val="none"/>
        </w:rPr>
        <w:t>Staveniště bylo vyklizeno a případné úpravy okolí byly provedeny do 15 kalendářních dnů po předání a převzetí díla.</w:t>
      </w:r>
      <w:bookmarkEnd w:id="34"/>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793061B1" w14:textId="0D2AFD6C" w:rsidR="001216DB" w:rsidRDefault="00395F22" w:rsidP="00213A8E">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48C890" w14:textId="77777777" w:rsidR="00857A7D" w:rsidRPr="00857A7D" w:rsidRDefault="00857A7D" w:rsidP="00857A7D">
      <w:pPr>
        <w:pStyle w:val="Odstavecseseznamem"/>
        <w:jc w:val="both"/>
        <w:rPr>
          <w:rFonts w:ascii="Arial" w:hAnsi="Arial" w:cs="Arial"/>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14431C39"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 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5" w:name="_Hlk72400696"/>
      <w:r w:rsidR="00B43DB9">
        <w:rPr>
          <w:rFonts w:ascii="Arial" w:hAnsi="Arial" w:cs="Arial"/>
        </w:rPr>
        <w:t>, a to ve lhůtách počínajících dnem</w:t>
      </w:r>
      <w:bookmarkEnd w:id="35"/>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6"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6"/>
    </w:p>
    <w:p w14:paraId="529C66D2" w14:textId="7C085205" w:rsidR="00E06821" w:rsidRDefault="00E06821" w:rsidP="00FB44CA">
      <w:pPr>
        <w:pStyle w:val="Odstavecseseznamem"/>
        <w:numPr>
          <w:ilvl w:val="0"/>
          <w:numId w:val="19"/>
        </w:numPr>
        <w:jc w:val="both"/>
        <w:rPr>
          <w:rFonts w:ascii="Arial" w:hAnsi="Arial" w:cs="Arial"/>
        </w:rPr>
      </w:pPr>
      <w:bookmarkStart w:id="37" w:name="_Ref376379662"/>
      <w:r w:rsidRPr="00594BBC">
        <w:rPr>
          <w:rFonts w:ascii="Arial" w:hAnsi="Arial" w:cs="Arial"/>
        </w:rPr>
        <w:t xml:space="preserve">Zhotovitel se zavazuje uhradit smluvní pokutu ve výši </w:t>
      </w:r>
      <w:r w:rsidR="00857A7D">
        <w:rPr>
          <w:rFonts w:ascii="Arial" w:hAnsi="Arial" w:cs="Arial"/>
        </w:rPr>
        <w:t>1%</w:t>
      </w:r>
      <w:r w:rsidRPr="00594BBC">
        <w:rPr>
          <w:rFonts w:ascii="Arial" w:hAnsi="Arial" w:cs="Arial"/>
        </w:rPr>
        <w:t xml:space="preserve"> z celkové ceny díla bez DPH za každý i započatý kalendářní den prodlení s termínem zahájení prací dle této smlouvy.</w:t>
      </w:r>
    </w:p>
    <w:p w14:paraId="55216DA7" w14:textId="3BC7D377" w:rsidR="00E06821" w:rsidRPr="00857A7D" w:rsidRDefault="00E06821" w:rsidP="00857A7D">
      <w:pPr>
        <w:pStyle w:val="Odstavecseseznamem"/>
        <w:numPr>
          <w:ilvl w:val="0"/>
          <w:numId w:val="19"/>
        </w:numPr>
        <w:jc w:val="both"/>
        <w:rPr>
          <w:rFonts w:ascii="Arial" w:hAnsi="Arial" w:cs="Arial"/>
        </w:rPr>
      </w:pPr>
      <w:r w:rsidRPr="00857A7D">
        <w:rPr>
          <w:rFonts w:ascii="Arial" w:hAnsi="Arial" w:cs="Arial"/>
        </w:rPr>
        <w:t xml:space="preserve">Zhotovitel se zavazuje uhradit smluvní pokutu ve výši </w:t>
      </w:r>
      <w:r w:rsidR="00857A7D" w:rsidRPr="00857A7D">
        <w:rPr>
          <w:rFonts w:ascii="Arial" w:hAnsi="Arial" w:cs="Arial"/>
        </w:rPr>
        <w:t>0,5%</w:t>
      </w:r>
      <w:r w:rsidRPr="00857A7D">
        <w:rPr>
          <w:rFonts w:ascii="Arial" w:hAnsi="Arial" w:cs="Arial"/>
        </w:rPr>
        <w:t xml:space="preserve"> z celkové ceny díla bez DPH</w:t>
      </w:r>
      <w:r w:rsidRPr="00857A7D" w:rsidDel="00275DB5">
        <w:rPr>
          <w:rFonts w:ascii="Arial" w:hAnsi="Arial" w:cs="Arial"/>
        </w:rPr>
        <w:t xml:space="preserve"> </w:t>
      </w:r>
      <w:r w:rsidRPr="00857A7D">
        <w:rPr>
          <w:rFonts w:ascii="Arial" w:hAnsi="Arial" w:cs="Arial"/>
        </w:rPr>
        <w:t>za každý i započatý kalendářní den prodlení s dílčími termíny jednotlivých fází stavby dle této smlouvy</w:t>
      </w:r>
      <w:r w:rsidRPr="00857A7D">
        <w:rPr>
          <w:rFonts w:ascii="Arial" w:hAnsi="Arial" w:cs="Arial"/>
          <w:i/>
        </w:rPr>
        <w:t xml:space="preserve">. </w:t>
      </w:r>
    </w:p>
    <w:p w14:paraId="7E787C47" w14:textId="26E844F5"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B734E5">
        <w:rPr>
          <w:rFonts w:ascii="Arial" w:hAnsi="Arial" w:cs="Arial"/>
        </w:rPr>
        <w:t>1%</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7DC851D4"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 xml:space="preserve">V případě, kdy předávané dílo bude obsahovat vady a nedodělky, se zhotovitel zavazuje uhradit smluvní pokutu ve výši </w:t>
      </w:r>
      <w:r w:rsidR="002511BF">
        <w:rPr>
          <w:rFonts w:ascii="Arial" w:hAnsi="Arial" w:cs="Arial"/>
        </w:rPr>
        <w:t>1%</w:t>
      </w:r>
      <w:r w:rsidRPr="00BF1477">
        <w:rPr>
          <w:rFonts w:ascii="Arial" w:hAnsi="Arial" w:cs="Arial"/>
        </w:rPr>
        <w:t xml:space="preserve"> z celkové ceny díla bez DPH za každý i započatý kalendářní den prodlení se sjednaným termínem odstranění vad a nedodělků. </w:t>
      </w:r>
      <w:bookmarkStart w:id="38" w:name="_Hlk72322488"/>
      <w:bookmarkStart w:id="39" w:name="_Hlk72400800"/>
      <w:bookmarkEnd w:id="37"/>
      <w:r w:rsidR="00B43DB9" w:rsidRPr="00BF1477">
        <w:rPr>
          <w:rFonts w:ascii="Arial" w:hAnsi="Arial" w:cs="Arial"/>
        </w:rPr>
        <w:t xml:space="preserve"> </w:t>
      </w:r>
    </w:p>
    <w:p w14:paraId="364C3BF9" w14:textId="269A23A9"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DE2CD6">
        <w:rPr>
          <w:rFonts w:ascii="Arial" w:hAnsi="Arial" w:cs="Arial"/>
        </w:rPr>
        <w:t>0,05%</w:t>
      </w:r>
      <w:r w:rsidRPr="00D9780F">
        <w:rPr>
          <w:rFonts w:ascii="Arial" w:hAnsi="Arial" w:cs="Arial"/>
        </w:rPr>
        <w:t xml:space="preserve"> z celkové ceny díla bez DPH, za každou uplatněnou vadu.</w:t>
      </w:r>
      <w:bookmarkEnd w:id="38"/>
    </w:p>
    <w:bookmarkEnd w:id="39"/>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079C013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771876">
        <w:rPr>
          <w:rFonts w:ascii="Arial" w:hAnsi="Arial" w:cs="Arial"/>
        </w:rPr>
        <w:t>0,5% z ceny díla</w:t>
      </w:r>
      <w:r w:rsidRPr="00BF1477">
        <w:rPr>
          <w:rFonts w:ascii="Arial" w:hAnsi="Arial" w:cs="Arial"/>
        </w:rPr>
        <w:t xml:space="preserve">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532023D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636F18D6" w14:textId="4AE2ED8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3818B3B1" w14:textId="673EBA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povinností.</w:t>
      </w:r>
    </w:p>
    <w:p w14:paraId="26B260FF" w14:textId="6491FBD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771876">
        <w:rPr>
          <w:rFonts w:ascii="Arial" w:hAnsi="Arial" w:cs="Arial"/>
        </w:rPr>
        <w:t>2% z ceny díla</w:t>
      </w:r>
      <w:r w:rsidRPr="00BF1477">
        <w:rPr>
          <w:rFonts w:ascii="Arial" w:hAnsi="Arial" w:cs="Arial"/>
        </w:rPr>
        <w:t xml:space="preserve"> za každé jednotlivé porušení povinnosti.</w:t>
      </w:r>
    </w:p>
    <w:p w14:paraId="243FEC5B" w14:textId="415D893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A464A8">
        <w:rPr>
          <w:rFonts w:ascii="Arial" w:hAnsi="Arial" w:cs="Arial"/>
        </w:rPr>
        <w:t>3% z ceny díla</w:t>
      </w:r>
      <w:r w:rsidRPr="00BF1477">
        <w:rPr>
          <w:rFonts w:ascii="Arial" w:hAnsi="Arial" w:cs="Arial"/>
        </w:rPr>
        <w:t>,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čl.IV, odst.5, čl.VIII,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čl.XIII,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0025631D" w:rsidR="00B43DB9" w:rsidRPr="008E2BFD" w:rsidRDefault="00502776" w:rsidP="00750899">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E002AD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FD4CD3">
        <w:rPr>
          <w:rFonts w:ascii="Arial" w:hAnsi="Arial" w:cs="Arial"/>
        </w:rPr>
        <w:t>zadávacího</w:t>
      </w:r>
      <w:r w:rsidR="00FD4CD3">
        <w:rPr>
          <w:rFonts w:ascii="Arial" w:hAnsi="Arial" w:cs="Arial"/>
        </w:rPr>
        <w:t xml:space="preserve"> </w:t>
      </w:r>
      <w:r w:rsidRPr="00B109EB">
        <w:rPr>
          <w:rFonts w:ascii="Arial" w:hAnsi="Arial" w:cs="Arial"/>
        </w:rPr>
        <w:t xml:space="preserve">řízení na Veřejnou zakázku nebo bez předchozího souhlasu objednatele, </w:t>
      </w:r>
    </w:p>
    <w:p w14:paraId="27529C08" w14:textId="75E76420"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FD4CD3">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3845E203" w:rsidR="00175FEC" w:rsidRPr="00B109EB" w:rsidRDefault="003006AC" w:rsidP="001B7509">
      <w:pPr>
        <w:pStyle w:val="Odstavecseseznamem"/>
        <w:numPr>
          <w:ilvl w:val="2"/>
          <w:numId w:val="15"/>
        </w:numPr>
        <w:jc w:val="both"/>
        <w:rPr>
          <w:rFonts w:ascii="Arial" w:hAnsi="Arial" w:cs="Arial"/>
        </w:rPr>
      </w:pPr>
      <w:bookmarkStart w:id="40"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40"/>
    </w:p>
    <w:p w14:paraId="369480BB" w14:textId="3F37D67C"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smlouvy může být učiněno i prostřednictvím datové schránky podle zákona č. 300/2008 Sb., o elektronických úkonech 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 xml:space="preserve">a převzetí díla, tj. bude v něm podrobně popsán stav rozpracovanosti díla, provedeno jeho ohodnocení, vymezeny vady a nedodělky a sjednán způsob jejich odstranění. Objednatel má </w:t>
      </w:r>
      <w:r w:rsidR="00943F4A" w:rsidRPr="00B109EB">
        <w:rPr>
          <w:rFonts w:ascii="Arial" w:hAnsi="Arial" w:cs="Arial"/>
        </w:rPr>
        <w:lastRenderedPageBreak/>
        <w:t>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4B3DB33B"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2"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2"/>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Zhotovitel poskytuje objednateli nevýhradní oprávnění ke všem v úvahu přicházejícím způsobům užití předmětu ochrany a bez jakéhokoli omezení, to i v případě, pověřil-li </w:t>
      </w:r>
      <w:r w:rsidRPr="00B109EB">
        <w:rPr>
          <w:rFonts w:ascii="Arial" w:hAnsi="Arial" w:cs="Arial"/>
        </w:rPr>
        <w:lastRenderedPageBreak/>
        <w:t>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3"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3B5EC879"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FA14D9">
        <w:rPr>
          <w:rFonts w:ascii="Arial" w:hAnsi="Arial" w:cs="Arial"/>
        </w:rPr>
        <w:t xml:space="preserve"> Bc. Milan Mleziva</w:t>
      </w:r>
      <w:r w:rsidRPr="008377B5">
        <w:rPr>
          <w:rFonts w:ascii="Arial" w:hAnsi="Arial" w:cs="Arial"/>
        </w:rPr>
        <w:tab/>
      </w:r>
    </w:p>
    <w:p w14:paraId="7B7E62EB" w14:textId="12833BEA"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FA14D9">
        <w:rPr>
          <w:rFonts w:ascii="Arial" w:hAnsi="Arial" w:cs="Arial"/>
        </w:rPr>
        <w:t xml:space="preserve"> </w:t>
      </w:r>
      <w:r w:rsidR="00FA14D9">
        <w:rPr>
          <w:rFonts w:ascii="Arial" w:eastAsia="Lucida Sans Unicode" w:hAnsi="Arial" w:cs="Arial"/>
          <w:lang w:eastAsia="cs-CZ"/>
        </w:rPr>
        <w:t>+420 727 956 732</w:t>
      </w:r>
      <w:r w:rsidRPr="008377B5">
        <w:rPr>
          <w:rFonts w:ascii="Arial" w:hAnsi="Arial" w:cs="Arial"/>
        </w:rPr>
        <w:tab/>
      </w:r>
    </w:p>
    <w:p w14:paraId="3AA5C5A9" w14:textId="4364A126"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A14D9">
        <w:rPr>
          <w:rFonts w:ascii="Arial" w:hAnsi="Arial" w:cs="Arial"/>
        </w:rPr>
        <w:t>m</w:t>
      </w:r>
      <w:r w:rsidR="00FA14D9">
        <w:rPr>
          <w:rFonts w:ascii="Arial" w:eastAsia="Lucida Sans Unicode" w:hAnsi="Arial" w:cs="Arial"/>
          <w:lang w:eastAsia="cs-CZ"/>
        </w:rPr>
        <w:t>.mleziva</w:t>
      </w:r>
      <w:r w:rsidR="00FA14D9" w:rsidRPr="00D27B63">
        <w:rPr>
          <w:rFonts w:ascii="Arial" w:eastAsia="Lucida Sans Unicode" w:hAnsi="Arial" w:cs="Arial"/>
          <w:lang w:eastAsia="cs-CZ"/>
        </w:rPr>
        <w:t>@</w:t>
      </w:r>
      <w:r w:rsidR="00FA14D9" w:rsidRPr="00B109EB">
        <w:rPr>
          <w:rFonts w:ascii="Arial" w:eastAsia="Lucida Sans Unicode" w:hAnsi="Arial" w:cs="Arial"/>
          <w:lang w:eastAsia="cs-CZ"/>
        </w:rPr>
        <w:t>spucr.cz</w:t>
      </w:r>
    </w:p>
    <w:p w14:paraId="049CBAA4" w14:textId="0A118E92"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29278F">
        <w:rPr>
          <w:rFonts w:ascii="Arial" w:hAnsi="Arial" w:cs="Arial"/>
        </w:rPr>
        <w:t xml:space="preserve"> </w:t>
      </w:r>
      <w:r w:rsidR="0029278F" w:rsidRPr="00B109EB">
        <w:rPr>
          <w:rFonts w:ascii="Arial" w:hAnsi="Arial" w:cs="Arial"/>
          <w:b/>
          <w:bCs/>
          <w:highlight w:val="yellow"/>
          <w:lang w:val="en-US"/>
        </w:rPr>
        <w:t>[DOPLNIT]</w:t>
      </w:r>
    </w:p>
    <w:p w14:paraId="0BB0DBAE" w14:textId="660DB53B"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29278F">
        <w:rPr>
          <w:rFonts w:ascii="Arial" w:hAnsi="Arial" w:cs="Arial"/>
        </w:rPr>
        <w:t xml:space="preserve"> </w:t>
      </w:r>
      <w:r w:rsidR="0029278F" w:rsidRPr="00B109EB">
        <w:rPr>
          <w:rFonts w:ascii="Arial" w:hAnsi="Arial" w:cs="Arial"/>
          <w:b/>
          <w:bCs/>
          <w:highlight w:val="yellow"/>
          <w:lang w:val="en-US"/>
        </w:rPr>
        <w:t>[DOPLNIT]</w:t>
      </w:r>
      <w:r w:rsidRPr="008377B5">
        <w:rPr>
          <w:rFonts w:ascii="Arial" w:hAnsi="Arial" w:cs="Arial"/>
        </w:rPr>
        <w:tab/>
      </w:r>
    </w:p>
    <w:p w14:paraId="1AE85B3C" w14:textId="5D2781CE"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29278F">
        <w:rPr>
          <w:rFonts w:ascii="Arial" w:hAnsi="Arial" w:cs="Arial"/>
        </w:rPr>
        <w:t xml:space="preserve"> </w:t>
      </w:r>
      <w:r w:rsidR="0029278F" w:rsidRPr="00B109EB">
        <w:rPr>
          <w:rFonts w:ascii="Arial" w:hAnsi="Arial" w:cs="Arial"/>
          <w:b/>
          <w:bCs/>
          <w:highlight w:val="yellow"/>
          <w:lang w:val="en-US"/>
        </w:rPr>
        <w:t>[DOPLNIT]</w:t>
      </w:r>
      <w:r w:rsidRPr="008377B5">
        <w:rPr>
          <w:rFonts w:ascii="Arial" w:hAnsi="Arial" w:cs="Arial"/>
        </w:rPr>
        <w:tab/>
      </w:r>
    </w:p>
    <w:p w14:paraId="5F00C90A" w14:textId="08B822AD"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29278F">
        <w:rPr>
          <w:rFonts w:ascii="Arial" w:hAnsi="Arial" w:cs="Arial"/>
        </w:rPr>
        <w:t xml:space="preserve"> </w:t>
      </w:r>
      <w:r w:rsidR="0029278F" w:rsidRPr="00B109EB">
        <w:rPr>
          <w:rFonts w:ascii="Arial" w:hAnsi="Arial" w:cs="Arial"/>
          <w:b/>
          <w:bCs/>
          <w:highlight w:val="yellow"/>
          <w:lang w:val="en-US"/>
        </w:rPr>
        <w:t>[DOPLNIT]</w:t>
      </w:r>
    </w:p>
    <w:bookmarkEnd w:id="43"/>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lastRenderedPageBreak/>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667A68D"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FA14D9">
        <w:rPr>
          <w:rFonts w:ascii="Arial" w:hAnsi="Arial" w:cs="Arial"/>
        </w:rPr>
        <w:t> </w:t>
      </w:r>
      <w:r w:rsidR="00943F4A" w:rsidRPr="00FA14D9">
        <w:rPr>
          <w:rFonts w:ascii="Arial" w:hAnsi="Arial" w:cs="Arial"/>
        </w:rPr>
        <w:t>zadávacím</w:t>
      </w:r>
      <w:r w:rsidR="00FA14D9">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A4306A">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C41551" w:rsidRDefault="00902D17" w:rsidP="00FB44CA">
      <w:pPr>
        <w:pStyle w:val="Odstavecseseznamem"/>
        <w:numPr>
          <w:ilvl w:val="0"/>
          <w:numId w:val="12"/>
        </w:numPr>
        <w:jc w:val="both"/>
        <w:rPr>
          <w:rFonts w:ascii="Arial" w:hAnsi="Arial" w:cs="Arial"/>
        </w:rPr>
      </w:pPr>
      <w:bookmarkStart w:id="44"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C41551">
        <w:rPr>
          <w:rFonts w:ascii="Arial" w:hAnsi="Arial" w:cs="Arial"/>
        </w:rPr>
        <w:t>do 5 pracovních dnů od vzniku této skutečnosti</w:t>
      </w:r>
      <w:r w:rsidRPr="00C41551">
        <w:rPr>
          <w:rFonts w:ascii="Arial" w:hAnsi="Arial" w:cs="Arial"/>
        </w:rPr>
        <w:t>.</w:t>
      </w:r>
    </w:p>
    <w:bookmarkEnd w:id="44"/>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5"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03CA0ABF"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7480E896" w14:textId="0CB1945F" w:rsidR="00661ABF" w:rsidRDefault="00943F4A" w:rsidP="006F4C23">
      <w:pPr>
        <w:pStyle w:val="Odstavecseseznamem"/>
        <w:jc w:val="both"/>
        <w:rPr>
          <w:rFonts w:ascii="Arial" w:hAnsi="Arial" w:cs="Arial"/>
        </w:rPr>
      </w:pPr>
      <w:r w:rsidRPr="006F4C23">
        <w:rPr>
          <w:rFonts w:ascii="Arial" w:hAnsi="Arial" w:cs="Arial"/>
        </w:rPr>
        <w:t>V případě zjištěných nedostatků je zhotovitel povinen zajistit nápravu zjištěného stavu.</w:t>
      </w:r>
    </w:p>
    <w:p w14:paraId="1395B9AF" w14:textId="77777777" w:rsidR="006F4C23" w:rsidRPr="006F4C23" w:rsidRDefault="006F4C23" w:rsidP="006F4C23">
      <w:pPr>
        <w:pStyle w:val="Odstavecseseznamem"/>
        <w:jc w:val="both"/>
        <w:rPr>
          <w:rFonts w:ascii="Arial" w:hAnsi="Arial" w:cs="Arial"/>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6" w:name="_Hlk13049894"/>
      <w:bookmarkStart w:id="47"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2A633056" w14:textId="7C4A1B27" w:rsidR="008A35B3" w:rsidRPr="000A5B10" w:rsidRDefault="000D6487" w:rsidP="000A5B10">
      <w:pPr>
        <w:pStyle w:val="Odstavecseseznamem"/>
        <w:numPr>
          <w:ilvl w:val="0"/>
          <w:numId w:val="22"/>
        </w:numPr>
        <w:jc w:val="both"/>
        <w:rPr>
          <w:rFonts w:ascii="Arial" w:hAnsi="Arial" w:cs="Arial"/>
        </w:rPr>
      </w:pPr>
      <w:bookmarkStart w:id="48" w:name="_Hlk13049910"/>
      <w:bookmarkEnd w:id="46"/>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bookmarkEnd w:id="47"/>
      <w:bookmarkEnd w:id="48"/>
      <w:r w:rsidR="000A5B10">
        <w:rPr>
          <w:rFonts w:ascii="Arial" w:hAnsi="Arial" w:cs="Arial"/>
        </w:rPr>
        <w:t xml:space="preserve"> </w:t>
      </w:r>
      <w:r w:rsidR="008A35B3" w:rsidRPr="000A5B10">
        <w:rPr>
          <w:rFonts w:ascii="Arial" w:hAnsi="Arial" w:cs="Arial"/>
        </w:rPr>
        <w:t>Bez ohledu na předchozí ustanovení budou nepodstatné změny závazku ze smlouvy (víceprací či méněprací) vždy řešeny v souladu se ZZVZ (§222)</w:t>
      </w:r>
      <w:r w:rsidR="005523C2" w:rsidRPr="000A5B10">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47BB2365"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A5B10">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20138C0" w:rsidR="006B54C6" w:rsidRDefault="006B54C6" w:rsidP="001216DB">
      <w:pPr>
        <w:rPr>
          <w:rFonts w:ascii="Arial" w:hAnsi="Arial" w:cs="Arial"/>
          <w:b/>
          <w:u w:val="single"/>
        </w:rPr>
      </w:pPr>
    </w:p>
    <w:p w14:paraId="33EB1736" w14:textId="5CE63706" w:rsidR="006F4C23" w:rsidRDefault="006F4C23" w:rsidP="001216DB">
      <w:pPr>
        <w:rPr>
          <w:rFonts w:ascii="Arial" w:hAnsi="Arial" w:cs="Arial"/>
          <w:b/>
          <w:u w:val="single"/>
        </w:rPr>
      </w:pPr>
    </w:p>
    <w:p w14:paraId="06D9DB2B" w14:textId="77777777" w:rsidR="006F4C23" w:rsidRPr="00B109EB" w:rsidRDefault="006F4C23"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73DB0" w:rsidRDefault="00A779FC" w:rsidP="00FB44CA">
      <w:pPr>
        <w:pStyle w:val="Odstavecseseznamem"/>
        <w:numPr>
          <w:ilvl w:val="0"/>
          <w:numId w:val="11"/>
        </w:numPr>
        <w:jc w:val="both"/>
        <w:rPr>
          <w:rFonts w:ascii="Arial" w:hAnsi="Arial" w:cs="Arial"/>
        </w:rPr>
      </w:pPr>
      <w:r w:rsidRPr="00173DB0">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9"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9"/>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0" w:name="_Hlk99089982"/>
      <w:r>
        <w:rPr>
          <w:rFonts w:ascii="Arial" w:hAnsi="Arial" w:cs="Arial"/>
        </w:rPr>
        <w:t xml:space="preserve">Přílohou č. 4 této smlouvy jsou </w:t>
      </w:r>
      <w:bookmarkStart w:id="51" w:name="_Hlk99090050"/>
      <w:r>
        <w:rPr>
          <w:rFonts w:ascii="Arial" w:hAnsi="Arial" w:cs="Arial"/>
        </w:rPr>
        <w:t>podmínky povinné publicity NPO</w:t>
      </w:r>
      <w:bookmarkEnd w:id="51"/>
    </w:p>
    <w:p w14:paraId="6D883B1A" w14:textId="77777777" w:rsidR="00175FEC" w:rsidRPr="006B351B" w:rsidRDefault="00175FEC" w:rsidP="00FB44CA">
      <w:pPr>
        <w:pStyle w:val="Odstavecseseznamem"/>
        <w:numPr>
          <w:ilvl w:val="0"/>
          <w:numId w:val="11"/>
        </w:numPr>
        <w:jc w:val="both"/>
        <w:rPr>
          <w:rFonts w:ascii="Arial" w:hAnsi="Arial" w:cs="Arial"/>
        </w:rPr>
      </w:pPr>
      <w:bookmarkStart w:id="52" w:name="_Hlk72402628"/>
      <w:bookmarkEnd w:id="50"/>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2"/>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A13626F"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lastRenderedPageBreak/>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173DB0">
        <w:rPr>
          <w:rFonts w:ascii="Arial" w:hAnsi="Arial" w:cs="Arial"/>
          <w:color w:val="201F1E"/>
          <w:shd w:val="clear" w:color="auto" w:fill="FFFFFF"/>
        </w:rPr>
        <w:t> </w:t>
      </w:r>
      <w:r w:rsidR="004E49B9" w:rsidRPr="00173DB0">
        <w:rPr>
          <w:rFonts w:ascii="Arial" w:hAnsi="Arial" w:cs="Arial"/>
          <w:color w:val="201F1E"/>
          <w:shd w:val="clear" w:color="auto" w:fill="FFFFFF"/>
        </w:rPr>
        <w:t>zadávacím</w:t>
      </w:r>
      <w:r w:rsidR="00173DB0">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7A0DD38"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173DB0">
        <w:rPr>
          <w:rFonts w:ascii="Arial" w:hAnsi="Arial" w:cs="Arial"/>
          <w:color w:val="201F1E"/>
          <w:shd w:val="clear" w:color="auto" w:fill="FFFFFF"/>
        </w:rPr>
        <w:t>zadávacího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w:t>
      </w:r>
      <w:r w:rsidR="00173DB0">
        <w:rPr>
          <w:rFonts w:ascii="Arial" w:hAnsi="Arial" w:cs="Arial"/>
          <w:color w:val="201F1E"/>
          <w:shd w:val="clear" w:color="auto" w:fill="FFFFFF"/>
        </w:rPr>
        <w:t>0</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A2644B9" w:rsidR="00943F4A" w:rsidRDefault="00943F4A" w:rsidP="0D0362A8">
      <w:pPr>
        <w:pStyle w:val="Odstavecseseznamem"/>
        <w:jc w:val="both"/>
        <w:rPr>
          <w:rFonts w:ascii="Arial" w:hAnsi="Arial" w:cs="Arial"/>
          <w:highlight w:val="red"/>
        </w:rPr>
      </w:pPr>
    </w:p>
    <w:p w14:paraId="1FA30969" w14:textId="775DA71F" w:rsidR="00CE5D7B" w:rsidRPr="00CE5D7B" w:rsidRDefault="00CE5D7B" w:rsidP="0D0362A8">
      <w:pPr>
        <w:pStyle w:val="Odstavecseseznamem"/>
        <w:jc w:val="both"/>
        <w:rPr>
          <w:rFonts w:ascii="Arial" w:hAnsi="Arial" w:cs="Arial"/>
        </w:rPr>
      </w:pPr>
      <w:r w:rsidRPr="00CE5D7B">
        <w:rPr>
          <w:rFonts w:ascii="Arial" w:hAnsi="Arial" w:cs="Arial"/>
        </w:rPr>
        <w:t>V Plzni dne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V ……. dne</w:t>
      </w:r>
    </w:p>
    <w:p w14:paraId="172FE70A" w14:textId="77777777" w:rsidR="00CE5D7B" w:rsidRPr="00CE5D7B" w:rsidRDefault="00CE5D7B" w:rsidP="00CE5D7B">
      <w:pPr>
        <w:pStyle w:val="Odstavecseseznamem"/>
        <w:jc w:val="both"/>
        <w:rPr>
          <w:rFonts w:ascii="Arial" w:hAnsi="Arial" w:cs="Arial"/>
        </w:rPr>
      </w:pPr>
      <w:r w:rsidRPr="00CE5D7B">
        <w:rPr>
          <w:rFonts w:ascii="Arial" w:hAnsi="Arial" w:cs="Arial"/>
        </w:rPr>
        <w:t>Viz elektronický podpis</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Viz elektronický podpis</w:t>
      </w:r>
    </w:p>
    <w:p w14:paraId="10117D36" w14:textId="38016D7D" w:rsidR="00CE5D7B" w:rsidRDefault="00CE5D7B" w:rsidP="0D0362A8">
      <w:pPr>
        <w:pStyle w:val="Odstavecseseznamem"/>
        <w:jc w:val="both"/>
        <w:rPr>
          <w:rFonts w:ascii="Arial" w:hAnsi="Arial" w:cs="Arial"/>
          <w:highlight w:val="red"/>
        </w:rPr>
      </w:pPr>
    </w:p>
    <w:p w14:paraId="360B5E85" w14:textId="3B47DE06" w:rsidR="00CE5D7B" w:rsidRPr="00CE5D7B" w:rsidRDefault="00CE5D7B" w:rsidP="00CE5D7B">
      <w:pPr>
        <w:pStyle w:val="Odstavecseseznamem"/>
        <w:jc w:val="both"/>
        <w:rPr>
          <w:rFonts w:ascii="Arial" w:hAnsi="Arial" w:cs="Arial"/>
          <w:b/>
          <w:bCs/>
        </w:rPr>
      </w:pPr>
      <w:r w:rsidRPr="00CE5D7B">
        <w:rPr>
          <w:rFonts w:ascii="Arial" w:hAnsi="Arial" w:cs="Arial"/>
          <w:b/>
          <w:bCs/>
        </w:rPr>
        <w:t>Za objednatele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Pr="00CE5D7B">
        <w:rPr>
          <w:rFonts w:ascii="Arial" w:hAnsi="Arial" w:cs="Arial"/>
          <w:b/>
          <w:bCs/>
        </w:rPr>
        <w:t xml:space="preserve">Za </w:t>
      </w:r>
      <w:r>
        <w:rPr>
          <w:rFonts w:ascii="Arial" w:hAnsi="Arial" w:cs="Arial"/>
          <w:b/>
          <w:bCs/>
        </w:rPr>
        <w:t>zhotovitele</w:t>
      </w:r>
    </w:p>
    <w:p w14:paraId="29D218E5" w14:textId="4F1D571B" w:rsidR="00CE5D7B" w:rsidRDefault="00CE5D7B" w:rsidP="0D0362A8">
      <w:pPr>
        <w:pStyle w:val="Odstavecseseznamem"/>
        <w:jc w:val="both"/>
        <w:rPr>
          <w:rFonts w:ascii="Arial" w:hAnsi="Arial" w:cs="Arial"/>
          <w:b/>
          <w:bCs/>
        </w:rPr>
      </w:pPr>
    </w:p>
    <w:p w14:paraId="33A3993A" w14:textId="03EBFFB4" w:rsidR="00CE5D7B" w:rsidRPr="00CE5D7B" w:rsidRDefault="00CE5D7B" w:rsidP="0D0362A8">
      <w:pPr>
        <w:pStyle w:val="Odstavecseseznamem"/>
        <w:jc w:val="both"/>
        <w:rPr>
          <w:rFonts w:ascii="Arial" w:hAnsi="Arial" w:cs="Arial"/>
        </w:rPr>
      </w:pPr>
      <w:r w:rsidRPr="00CE5D7B">
        <w:rPr>
          <w:rFonts w:ascii="Arial" w:hAnsi="Arial" w:cs="Arial"/>
        </w:rPr>
        <w:t>Elektronicky podepsáno</w:t>
      </w:r>
      <w:r w:rsidRPr="00CE5D7B">
        <w:rPr>
          <w:rFonts w:ascii="Arial" w:hAnsi="Arial" w:cs="Arial"/>
        </w:rPr>
        <w:tab/>
      </w:r>
      <w:r w:rsidRPr="00CE5D7B">
        <w:rPr>
          <w:rFonts w:ascii="Arial" w:hAnsi="Arial" w:cs="Arial"/>
        </w:rPr>
        <w:tab/>
      </w:r>
      <w:r w:rsidRPr="00CE5D7B">
        <w:rPr>
          <w:rFonts w:ascii="Arial" w:hAnsi="Arial" w:cs="Arial"/>
        </w:rPr>
        <w:tab/>
      </w:r>
      <w:r w:rsidRPr="00CE5D7B">
        <w:rPr>
          <w:rFonts w:ascii="Arial" w:hAnsi="Arial" w:cs="Arial"/>
        </w:rPr>
        <w:tab/>
        <w:t>Elektronicky podepsáno</w:t>
      </w:r>
    </w:p>
    <w:p w14:paraId="555C3A49" w14:textId="4E34D910" w:rsidR="00CE5D7B" w:rsidRDefault="00CE5D7B" w:rsidP="0D0362A8">
      <w:pPr>
        <w:pStyle w:val="Odstavecseseznamem"/>
        <w:jc w:val="both"/>
        <w:rPr>
          <w:rFonts w:ascii="Arial" w:hAnsi="Arial" w:cs="Arial"/>
          <w:highlight w:val="red"/>
        </w:rPr>
      </w:pPr>
    </w:p>
    <w:p w14:paraId="5C780CC8" w14:textId="25E5E446" w:rsidR="00CE5D7B" w:rsidRDefault="00CE5D7B" w:rsidP="0D0362A8">
      <w:pPr>
        <w:pStyle w:val="Odstavecseseznamem"/>
        <w:jc w:val="both"/>
        <w:rPr>
          <w:rFonts w:ascii="Arial" w:hAnsi="Arial" w:cs="Arial"/>
          <w:highlight w:val="red"/>
        </w:rPr>
      </w:pPr>
    </w:p>
    <w:p w14:paraId="7F731B61" w14:textId="77777777" w:rsidR="00CE5D7B" w:rsidRPr="00B109EB" w:rsidRDefault="00CE5D7B" w:rsidP="0D0362A8">
      <w:pPr>
        <w:pStyle w:val="Odstavecseseznamem"/>
        <w:jc w:val="both"/>
        <w:rPr>
          <w:rFonts w:ascii="Arial" w:hAnsi="Arial" w:cs="Arial"/>
          <w:highlight w:val="red"/>
        </w:rPr>
      </w:pPr>
    </w:p>
    <w:p w14:paraId="64253B2F" w14:textId="67691122" w:rsidR="00CE5D7B" w:rsidRPr="00104159" w:rsidRDefault="00CE5D7B" w:rsidP="00CE5D7B">
      <w:pPr>
        <w:spacing w:after="0"/>
        <w:ind w:left="708"/>
        <w:rPr>
          <w:rFonts w:ascii="Arial" w:hAnsi="Arial" w:cs="Arial"/>
          <w:szCs w:val="24"/>
        </w:rPr>
      </w:pPr>
      <w:bookmarkStart w:id="53" w:name="Text16"/>
      <w:r w:rsidRPr="00104159">
        <w:rPr>
          <w:rFonts w:ascii="Arial" w:hAnsi="Arial" w:cs="Arial"/>
          <w:szCs w:val="24"/>
        </w:rPr>
        <w:t>……………………………………….</w:t>
      </w:r>
      <w:r>
        <w:rPr>
          <w:rFonts w:ascii="Arial" w:hAnsi="Arial" w:cs="Arial"/>
          <w:szCs w:val="24"/>
        </w:rPr>
        <w:tab/>
      </w:r>
      <w:r>
        <w:rPr>
          <w:rFonts w:ascii="Arial" w:hAnsi="Arial" w:cs="Arial"/>
          <w:szCs w:val="24"/>
        </w:rPr>
        <w:tab/>
      </w:r>
      <w:r>
        <w:rPr>
          <w:rFonts w:ascii="Arial" w:hAnsi="Arial" w:cs="Arial"/>
          <w:szCs w:val="24"/>
        </w:rPr>
        <w:tab/>
      </w:r>
      <w:r w:rsidRPr="00104159">
        <w:rPr>
          <w:rFonts w:ascii="Arial" w:hAnsi="Arial" w:cs="Arial"/>
          <w:szCs w:val="24"/>
        </w:rPr>
        <w:t>……………………………………….</w:t>
      </w:r>
      <w:r w:rsidRPr="00104159">
        <w:rPr>
          <w:rFonts w:ascii="Arial" w:hAnsi="Arial" w:cs="Arial"/>
          <w:szCs w:val="24"/>
        </w:rPr>
        <w:br/>
      </w:r>
      <w:bookmarkEnd w:id="53"/>
      <w:r w:rsidRPr="00104159">
        <w:rPr>
          <w:rFonts w:ascii="Arial" w:hAnsi="Arial" w:cs="Arial"/>
          <w:b/>
          <w:szCs w:val="24"/>
        </w:rPr>
        <w:t>Ing. J</w:t>
      </w:r>
      <w:r>
        <w:rPr>
          <w:rFonts w:ascii="Arial" w:hAnsi="Arial" w:cs="Arial"/>
          <w:b/>
          <w:szCs w:val="24"/>
        </w:rPr>
        <w:t>iří Papež</w:t>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r>
      <w:r>
        <w:rPr>
          <w:rFonts w:ascii="Arial" w:hAnsi="Arial" w:cs="Arial"/>
          <w:b/>
          <w:szCs w:val="24"/>
        </w:rPr>
        <w:tab/>
        <w:t>statutární orgán dle výpisu OR</w:t>
      </w:r>
    </w:p>
    <w:p w14:paraId="035C775C" w14:textId="370D4D1A" w:rsidR="00CE5D7B" w:rsidRPr="00104159" w:rsidRDefault="00CE5D7B" w:rsidP="00CE5D7B">
      <w:pPr>
        <w:spacing w:after="0"/>
        <w:ind w:firstLine="708"/>
        <w:rPr>
          <w:rFonts w:ascii="Arial" w:hAnsi="Arial" w:cs="Arial"/>
          <w:szCs w:val="24"/>
        </w:rPr>
      </w:pPr>
      <w:r>
        <w:rPr>
          <w:rFonts w:ascii="Arial" w:hAnsi="Arial" w:cs="Arial"/>
          <w:szCs w:val="24"/>
        </w:rPr>
        <w:t>ředitel</w:t>
      </w:r>
      <w:r w:rsidRPr="00104159">
        <w:rPr>
          <w:rFonts w:ascii="Arial" w:hAnsi="Arial" w:cs="Arial"/>
          <w:szCs w:val="24"/>
        </w:rPr>
        <w:t xml:space="preserve"> </w:t>
      </w:r>
      <w:r>
        <w:rPr>
          <w:rFonts w:ascii="Arial" w:hAnsi="Arial" w:cs="Arial"/>
          <w:szCs w:val="24"/>
        </w:rPr>
        <w:t>KPÚ pro Plzeňský kraj</w:t>
      </w:r>
      <w:r w:rsidRPr="00104159">
        <w:rPr>
          <w:rFonts w:ascii="Arial" w:hAnsi="Arial" w:cs="Arial"/>
          <w:szCs w:val="24"/>
        </w:rPr>
        <w:t xml:space="preserve"> </w:t>
      </w:r>
    </w:p>
    <w:p w14:paraId="0D5BAC83" w14:textId="77777777" w:rsidR="00CE5D7B" w:rsidRPr="00104159" w:rsidRDefault="00CE5D7B" w:rsidP="00CE5D7B">
      <w:pPr>
        <w:spacing w:after="0"/>
        <w:ind w:firstLine="708"/>
        <w:rPr>
          <w:rFonts w:ascii="Arial" w:hAnsi="Arial" w:cs="Arial"/>
          <w:szCs w:val="24"/>
        </w:rPr>
      </w:pPr>
      <w:r w:rsidRPr="00104159">
        <w:rPr>
          <w:rFonts w:ascii="Arial" w:hAnsi="Arial" w:cs="Arial"/>
          <w:szCs w:val="24"/>
        </w:rPr>
        <w:t>Státní pozemkový úřad</w:t>
      </w:r>
    </w:p>
    <w:p w14:paraId="52294BE7" w14:textId="600A79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0CE2B47B" w14:textId="006F8547"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515895FC" w14:textId="4E7ED04B"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7209BA30" w14:textId="7A38C7AF"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6F517557" w14:textId="77777777" w:rsidR="00CE5D7B" w:rsidRDefault="00CE5D7B" w:rsidP="00175FEC">
      <w:pPr>
        <w:autoSpaceDE w:val="0"/>
        <w:autoSpaceDN w:val="0"/>
        <w:adjustRightInd w:val="0"/>
        <w:spacing w:before="100" w:beforeAutospacing="1" w:after="120"/>
        <w:jc w:val="both"/>
        <w:rPr>
          <w:rFonts w:ascii="Arial" w:hAnsi="Arial" w:cs="Arial"/>
          <w:b/>
          <w:bCs/>
          <w:sz w:val="24"/>
          <w:szCs w:val="24"/>
          <w:u w:val="single"/>
        </w:rPr>
      </w:pPr>
    </w:p>
    <w:p w14:paraId="60933F0F" w14:textId="3AF7BAEE"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4CCAFEB2" w14:textId="2299E262"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048E9CC7" w14:textId="6E21233B"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08517D55" w14:textId="6EB9A901"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639587E4" w14:textId="77777777" w:rsidR="006F4C23" w:rsidRDefault="006F4C23" w:rsidP="00175FEC">
      <w:pPr>
        <w:autoSpaceDE w:val="0"/>
        <w:autoSpaceDN w:val="0"/>
        <w:adjustRightInd w:val="0"/>
        <w:spacing w:before="100" w:beforeAutospacing="1" w:after="120"/>
        <w:jc w:val="both"/>
        <w:rPr>
          <w:rFonts w:ascii="Arial" w:hAnsi="Arial" w:cs="Arial"/>
          <w:b/>
          <w:bCs/>
          <w:sz w:val="24"/>
          <w:szCs w:val="24"/>
          <w:u w:val="single"/>
        </w:rPr>
      </w:pPr>
    </w:p>
    <w:p w14:paraId="2D3F551D" w14:textId="71B0FDF1"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2E0B0089" w14:textId="3892A4E4"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w:t>
      </w:r>
    </w:p>
    <w:p w14:paraId="3A60A550" w14:textId="77777777" w:rsidR="002C6A94" w:rsidRPr="002C6A94" w:rsidRDefault="002C6A94" w:rsidP="002C6A94">
      <w:pPr>
        <w:jc w:val="both"/>
        <w:rPr>
          <w:rFonts w:ascii="Arial" w:hAnsi="Arial" w:cs="Arial"/>
          <w:u w:val="single"/>
        </w:rPr>
      </w:pPr>
      <w:r w:rsidRPr="002C6A94">
        <w:rPr>
          <w:rFonts w:ascii="Arial" w:eastAsia="Calibri" w:hAnsi="Arial" w:cs="Arial"/>
          <w:b/>
          <w:bCs/>
          <w:color w:val="000000"/>
        </w:rPr>
        <w:t>Charakteristika stavby - Vodní nádrž VN 1 v k. ú. Koloveč</w:t>
      </w:r>
    </w:p>
    <w:p w14:paraId="28B2C8E1" w14:textId="77777777" w:rsidR="002C6A94" w:rsidRPr="002C6A94" w:rsidRDefault="002C6A94" w:rsidP="002C6A94">
      <w:pPr>
        <w:jc w:val="both"/>
        <w:rPr>
          <w:rFonts w:ascii="Arial" w:hAnsi="Arial" w:cs="Arial"/>
        </w:rPr>
      </w:pPr>
      <w:r w:rsidRPr="002C6A94">
        <w:rPr>
          <w:rFonts w:ascii="Arial" w:hAnsi="Arial" w:cs="Arial"/>
          <w:b/>
          <w:bCs/>
        </w:rPr>
        <w:t>Vodní nádrž VN1</w:t>
      </w:r>
      <w:r w:rsidRPr="002C6A94">
        <w:rPr>
          <w:rFonts w:ascii="Arial" w:hAnsi="Arial" w:cs="Arial"/>
        </w:rPr>
        <w:t xml:space="preserve"> - Dno nádrže bude po vyhloubení upraveno v předepsaném sklonu. Bude sejmuta vrstva humózní hlíny o mocnosti 0,3 m. Sklon svahů bude upraven na 1:6. V místě stávajícího koryta vodního toku, který je ve dně opevněn žlabovkami, bude ponechána odtoková strouha o hloubce 0,5 m. V rámci stavby jsou v okolí nádrže mimo vodní hladinu navrženy výsadby stromů (dub letní, olše lepkavá) a keřů (svída krvavá, krušina olšová, vrba popelavá). Je navržena jedna liniová výsadba stromů podél břehu nádrže a dvě skupinové výsadby stromů a keřů. </w:t>
      </w:r>
    </w:p>
    <w:p w14:paraId="6DD118E8" w14:textId="77777777" w:rsidR="002C6A94" w:rsidRPr="002C6A94" w:rsidRDefault="002C6A94" w:rsidP="002C6A94">
      <w:pPr>
        <w:jc w:val="both"/>
        <w:rPr>
          <w:rFonts w:ascii="Arial" w:hAnsi="Arial" w:cs="Arial"/>
        </w:rPr>
      </w:pPr>
      <w:r w:rsidRPr="002C6A94">
        <w:rPr>
          <w:rFonts w:ascii="Arial" w:hAnsi="Arial" w:cs="Arial"/>
          <w:b/>
          <w:bCs/>
        </w:rPr>
        <w:t>SO 01.1 Hráz</w:t>
      </w:r>
      <w:r w:rsidRPr="002C6A94">
        <w:rPr>
          <w:rFonts w:ascii="Arial" w:hAnsi="Arial" w:cs="Arial"/>
        </w:rPr>
        <w:t xml:space="preserve"> - Hráz vodní nádrže bude provedena jako zemní, homogenní se sklony svahů návodního 1:3,3 a vzdušného límce 1:2,2. Maximální výška hráze nádrže nade dnem nádrže je 3,8 m. Šířka hráze v koruně je 3,0 m. Délka hráze je 149,6 m. Koruna hráze, návodní svah po opevnění a vzdušný svah budou ohumusovány a osety travou. Návodní svah bude opevněn pohozem lomového kamene frakce 63-125 mm s urovnáním v tl. 0,3 m na filtrační vrstvu z drcenného kameniva 0-32 mm tl. 0,1 m. Terén pod hrází bude upraven a oset travou. </w:t>
      </w:r>
    </w:p>
    <w:p w14:paraId="09B56CD4" w14:textId="77777777" w:rsidR="002C6A94" w:rsidRPr="002C6A94" w:rsidRDefault="002C6A94" w:rsidP="002C6A94">
      <w:pPr>
        <w:spacing w:after="120"/>
        <w:jc w:val="both"/>
        <w:rPr>
          <w:rFonts w:ascii="Arial" w:hAnsi="Arial" w:cs="Arial"/>
        </w:rPr>
      </w:pPr>
      <w:r w:rsidRPr="002C6A94">
        <w:rPr>
          <w:rFonts w:ascii="Arial" w:hAnsi="Arial" w:cs="Arial"/>
          <w:b/>
          <w:bCs/>
        </w:rPr>
        <w:t>SO 01.2 Zátopa</w:t>
      </w:r>
      <w:r w:rsidRPr="002C6A94">
        <w:rPr>
          <w:rFonts w:ascii="Arial" w:hAnsi="Arial" w:cs="Arial"/>
        </w:rPr>
        <w:t xml:space="preserve"> - </w:t>
      </w:r>
      <w:r w:rsidRPr="00F50BE8">
        <w:rPr>
          <w:rFonts w:ascii="Arial" w:eastAsia="Times New Roman" w:hAnsi="Arial" w:cs="Arial"/>
          <w:szCs w:val="24"/>
        </w:rPr>
        <w:t>Na ploše p.č. 2341 bude sejmuta vrstva humózní hlíny o mocnosti 0,3 m. Dno nádrže bude</w:t>
      </w:r>
      <w:r w:rsidRPr="002C6A94">
        <w:rPr>
          <w:rFonts w:ascii="Arial" w:hAnsi="Arial" w:cs="Arial"/>
        </w:rPr>
        <w:t xml:space="preserve"> </w:t>
      </w:r>
      <w:r w:rsidRPr="00F50BE8">
        <w:rPr>
          <w:rFonts w:ascii="Arial" w:eastAsia="Times New Roman" w:hAnsi="Arial" w:cs="Arial"/>
          <w:szCs w:val="24"/>
        </w:rPr>
        <w:t xml:space="preserve">po vyhloubení upraveno v předepsaném sklonu. Základová spára bude převzata za přítomnosti geologa (geotechnika). Sklon svahů bude upraven na 1:6. Vhodná vytěžená zemina se použije do násypu hráze nádrže. V místě stávajícího koryta vodního toku, který je ve dně opevněn žlabovkami, bude ponechána odtoková strouha o hloubce 0,5 m. Žlabovky ve dně budou zachovány. </w:t>
      </w:r>
      <w:r w:rsidRPr="002C6A94">
        <w:rPr>
          <w:rFonts w:ascii="Arial" w:eastAsia="Times New Roman" w:hAnsi="Arial" w:cs="Arial"/>
          <w:szCs w:val="24"/>
        </w:rPr>
        <w:t>V případě výskytu drenáže na ploše zátopy a pod hrází je nutné drenáž odstranit tak, aby nebyla zdrojem možných poruch, především průsaků vody z nádrže.</w:t>
      </w:r>
      <w:r w:rsidRPr="002C6A94">
        <w:rPr>
          <w:rFonts w:ascii="Arial" w:hAnsi="Arial" w:cs="Arial"/>
        </w:rPr>
        <w:t xml:space="preserve"> </w:t>
      </w:r>
      <w:r w:rsidRPr="002C6A94">
        <w:rPr>
          <w:rFonts w:ascii="Arial" w:hAnsi="Arial" w:cs="Arial"/>
          <w:szCs w:val="24"/>
        </w:rPr>
        <w:t>Z pozemků nad nádrží mimo těleso hráze lze drenáž uloženou ve výšce nad vodní hladinu zaústit do nádrže (do vodní hladiny). Veškeré drenáže a potrubí pod hrází musí být odstraněny a hráz vodotěsně provedena a zavázána do nepropustného podloží tak, aby byl eliminován veškerý možný průsak vody pod hrází.</w:t>
      </w:r>
    </w:p>
    <w:p w14:paraId="101CADE7" w14:textId="77777777" w:rsidR="002C6A94" w:rsidRPr="002C6A94" w:rsidRDefault="002C6A94" w:rsidP="002C6A94">
      <w:pPr>
        <w:jc w:val="both"/>
        <w:rPr>
          <w:rFonts w:ascii="Arial" w:hAnsi="Arial" w:cs="Arial"/>
        </w:rPr>
      </w:pPr>
      <w:r w:rsidRPr="002C6A94">
        <w:rPr>
          <w:rFonts w:ascii="Arial" w:hAnsi="Arial" w:cs="Arial"/>
          <w:b/>
          <w:bCs/>
        </w:rPr>
        <w:t>SO 01.3 Bezpečnostní přeliv</w:t>
      </w:r>
      <w:r w:rsidRPr="002C6A94">
        <w:rPr>
          <w:rFonts w:ascii="Arial" w:hAnsi="Arial" w:cs="Arial"/>
        </w:rPr>
        <w:t xml:space="preserve"> - V tělese hráze bude vybudován bezpečnostní přeliv, který umožní převedení průtoků Q100. Přímý bezpečnostní přeliv převede bezpečně Q100 (10,1m3/s) při výšce přepadového paprsku 0,5 m. Přeliv je navržen jako přímý, umístěný v koruně hráze. Bude tvořen snížením koruny hráze o 1,0 m v délce 17,0 m. Přelivná hrana bude provedena ze dvou prahů z betonu C30/37, mezi kterými je prostor opevněn kamennou dlažbou do betonu tl. 500 mm. Přechod mezi přelivnou hranou a korunou hráze je proveden ve sklonu 1:5, zpevněn betonovými prahy a opevněn kamennou dlažbou do betonu. Šířka odpovídá šířce koruny hráze – 3,0 m. </w:t>
      </w:r>
    </w:p>
    <w:p w14:paraId="374822D4" w14:textId="77777777" w:rsidR="002C6A94" w:rsidRPr="002C6A94" w:rsidRDefault="002C6A94" w:rsidP="002C6A94">
      <w:pPr>
        <w:jc w:val="both"/>
        <w:rPr>
          <w:rFonts w:ascii="Arial" w:hAnsi="Arial" w:cs="Arial"/>
        </w:rPr>
      </w:pPr>
      <w:r w:rsidRPr="002C6A94">
        <w:rPr>
          <w:rFonts w:ascii="Arial" w:hAnsi="Arial" w:cs="Arial"/>
          <w:b/>
          <w:bCs/>
        </w:rPr>
        <w:t>SO 01.3 Výpustný objekt</w:t>
      </w:r>
      <w:r w:rsidRPr="002C6A94">
        <w:rPr>
          <w:rFonts w:ascii="Arial" w:hAnsi="Arial" w:cs="Arial"/>
        </w:rPr>
        <w:t xml:space="preserve"> - Jedná se o monolitickou betonovou konstrukci obdélníkového půdorysu z vyztuženého vodostavebního betonu C30/37 XA1. Výztuž je navržena z KARI sítě 150/150/8 mm, krytí výztuže 50 mm. Objekt bude založen na vyztužené podkladní desce z betonu C30/37 tloušťky 0,08 m. Nátok do požeráku bude zajištovat nátokový objekt 1,1x0,85m z vodostavebního betonu C30/37 vyztuženého KARi sítí 150/150/8mm. S osazenou dlužovou stěnou a česlemi. Odtokové železobetonové potrubí DN 400 bude v celé délce obetonováno vodostavebním betonem C30/37 XA1, který bude vyztužen KARI sítí 150/150/8 mm s krytím 50 mm. Potrubí je vyústěno do opevněného koryta vodoteče trubní výustí. Konstrukce trubní výusti je navržena z vyztuženého vodostavebního betonu C30/37 XA1 (KARI síť 150/150/8 mm, krytí 50 mm). Dno před požerákem bude opevněno záhozem z lomového kamene 80-200kg. Koryto pod trubní výustí bude opevněno v </w:t>
      </w:r>
      <w:r w:rsidRPr="002C6A94">
        <w:rPr>
          <w:rFonts w:ascii="Arial" w:hAnsi="Arial" w:cs="Arial"/>
        </w:rPr>
        <w:lastRenderedPageBreak/>
        <w:t xml:space="preserve">délce 13,0 m záhozem z lomového kamene o hmotnosti 80 – 200 kg ukončeným stabilizačním prahem z betonu. </w:t>
      </w:r>
    </w:p>
    <w:p w14:paraId="656CE36C" w14:textId="77777777" w:rsidR="002C6A94" w:rsidRPr="002C6A94" w:rsidRDefault="002C6A94" w:rsidP="002C6A94">
      <w:pPr>
        <w:jc w:val="both"/>
        <w:rPr>
          <w:rFonts w:ascii="Arial" w:hAnsi="Arial" w:cs="Arial"/>
        </w:rPr>
      </w:pPr>
      <w:r w:rsidRPr="002C6A94">
        <w:rPr>
          <w:rFonts w:ascii="Arial" w:hAnsi="Arial" w:cs="Arial"/>
          <w:b/>
          <w:bCs/>
        </w:rPr>
        <w:t>SO 01.4 Bezpečnostní přeliv</w:t>
      </w:r>
      <w:r w:rsidRPr="002C6A94">
        <w:rPr>
          <w:rFonts w:ascii="Arial" w:hAnsi="Arial" w:cs="Arial"/>
        </w:rPr>
        <w:t xml:space="preserve"> - V tělese hráze bude vybudován bezpečnostní přeliv, který umožní převedení průtoků Q100. Přímý bezpečnostní přeliv převede bezpečně Q100 (10,1m3/s) při výšce přepadového paprsku 0,5 m. Přeliv je navržen jako přímý, umístěný v koruně hráze. Bude tvořen snížením koruny hráze o 1,0 m v délce 17,0 m. Přelivná hrana bude provedena ze dvou prahů z betonu C30/37, mezi kterými je prostor opevněn kamennou dlažbou do betonu tl. 500 mm. Přechod mezi přelivnou hranou a korunou hráze je proveden ve sklonu 1:5, zpevněn betonovými prahy a opevněn kamennou dlažbou do betonu. Šířka odpovídá šířce koruny hráze – 3,0 m. </w:t>
      </w:r>
    </w:p>
    <w:p w14:paraId="1D5DA038" w14:textId="77777777" w:rsidR="002C6A94" w:rsidRPr="002C6A94" w:rsidRDefault="002C6A94" w:rsidP="002C6A94">
      <w:pPr>
        <w:jc w:val="both"/>
        <w:rPr>
          <w:rFonts w:ascii="Arial" w:hAnsi="Arial" w:cs="Arial"/>
        </w:rPr>
      </w:pPr>
      <w:r w:rsidRPr="002C6A94">
        <w:rPr>
          <w:rFonts w:ascii="Arial" w:hAnsi="Arial" w:cs="Arial"/>
          <w:b/>
          <w:bCs/>
        </w:rPr>
        <w:t>SO 01.5 Tůň</w:t>
      </w:r>
      <w:r w:rsidRPr="002C6A94">
        <w:rPr>
          <w:rFonts w:ascii="Arial" w:hAnsi="Arial" w:cs="Arial"/>
        </w:rPr>
        <w:t xml:space="preserve"> - Na ploše bude nejdříve sejmuta humózní hlína o mocnosti 0,3 m. Vodní tůň o celkové ploše 870 m2 bude vybudována prostým vyhloubením v terénu. Sklon svahů je navržen mírný 1:6. Dno bude výškově proměnlivé po max. hloubku tůně 1,7 m. Mělčiny budou přirozeně přecházet na okolní terén. V okolí tůně nebudou vysazovány stromy a keře, pouze emerzní makrofyta (rákos, orobinec), a to z důvodu nezastínění vodní plochy tůně. </w:t>
      </w:r>
    </w:p>
    <w:p w14:paraId="2EA4027C" w14:textId="77777777" w:rsidR="00D10170" w:rsidRDefault="00D10170" w:rsidP="00175FEC">
      <w:pPr>
        <w:autoSpaceDE w:val="0"/>
        <w:autoSpaceDN w:val="0"/>
        <w:adjustRightInd w:val="0"/>
        <w:spacing w:before="100" w:beforeAutospacing="1" w:after="120"/>
        <w:jc w:val="both"/>
        <w:rPr>
          <w:rFonts w:ascii="Arial" w:hAnsi="Arial" w:cs="Arial"/>
          <w:b/>
          <w:bCs/>
          <w:sz w:val="24"/>
          <w:szCs w:val="24"/>
          <w:u w:val="single"/>
        </w:rPr>
      </w:pPr>
    </w:p>
    <w:p w14:paraId="735E0FD4" w14:textId="5383ED86"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073C1A54" w14:textId="0AAAEC19"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5A301EE6" w14:textId="6A419975"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71A8FC5C" w14:textId="7AE653F9"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71306FB7" w14:textId="6A3AADD9"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682C4D19" w14:textId="0696AE2C"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A48BA6" w14:textId="0C8E4BF4"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4A0491A7" w14:textId="2C548E7C"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42EAE438" w14:textId="48420286"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2767A1C7" w14:textId="4DB613A1"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1BD423" w14:textId="0FA63BF4"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7756AF11" w14:textId="53871E8E"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01ABFF56" w14:textId="3E6F403D"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4D002E44" w14:textId="1AFBC9D6"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B0C6F75" w14:textId="77777777" w:rsidR="002C6A94" w:rsidRDefault="002C6A94" w:rsidP="00175FEC">
      <w:pPr>
        <w:autoSpaceDE w:val="0"/>
        <w:autoSpaceDN w:val="0"/>
        <w:adjustRightInd w:val="0"/>
        <w:spacing w:before="100" w:beforeAutospacing="1" w:after="120"/>
        <w:jc w:val="both"/>
        <w:rPr>
          <w:rFonts w:ascii="Arial" w:hAnsi="Arial" w:cs="Arial"/>
          <w:b/>
          <w:bCs/>
          <w:sz w:val="24"/>
          <w:szCs w:val="24"/>
          <w:u w:val="single"/>
        </w:rPr>
      </w:pPr>
    </w:p>
    <w:p w14:paraId="5D625EE4" w14:textId="77777777" w:rsidR="009007D7" w:rsidRDefault="009007D7"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4"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4"/>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5"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5"/>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2B97E79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6" w:name="_Hlk100048186"/>
            <w:r w:rsidRPr="006146FF">
              <w:rPr>
                <w:rFonts w:ascii="Arial" w:eastAsia="Times New Roman" w:hAnsi="Arial" w:cs="Arial"/>
                <w:lang w:eastAsia="cs-CZ"/>
              </w:rPr>
              <w:t xml:space="preserve">po ukončení </w:t>
            </w:r>
            <w:bookmarkEnd w:id="56"/>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F64F81">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C77454">
      <w:headerReference w:type="default" r:id="rId17"/>
      <w:footerReference w:type="default" r:id="rId18"/>
      <w:headerReference w:type="first" r:id="rId19"/>
      <w:footerReference w:type="first" r:id="rId20"/>
      <w:pgSz w:w="11906" w:h="16838"/>
      <w:pgMar w:top="1417"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45922" w14:textId="77777777" w:rsidR="00F50D93" w:rsidRDefault="00F50D93" w:rsidP="006C3D15">
      <w:pPr>
        <w:spacing w:after="0" w:line="240" w:lineRule="auto"/>
      </w:pPr>
      <w:r>
        <w:separator/>
      </w:r>
    </w:p>
  </w:endnote>
  <w:endnote w:type="continuationSeparator" w:id="0">
    <w:p w14:paraId="6D407743" w14:textId="77777777" w:rsidR="00F50D93" w:rsidRDefault="00F50D93" w:rsidP="006C3D15">
      <w:pPr>
        <w:spacing w:after="0" w:line="240" w:lineRule="auto"/>
      </w:pPr>
      <w:r>
        <w:continuationSeparator/>
      </w:r>
    </w:p>
  </w:endnote>
  <w:endnote w:type="continuationNotice" w:id="1">
    <w:p w14:paraId="0643D985" w14:textId="77777777" w:rsidR="00F50D93" w:rsidRDefault="00F50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2">
    <w:altName w:val="Arial"/>
    <w:panose1 w:val="00000000000000000000"/>
    <w:charset w:val="EE"/>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6494541C"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D10170">
          <w:rPr>
            <w:rFonts w:ascii="Arial" w:hAnsi="Arial" w:cs="Arial"/>
          </w:rPr>
          <w:t>3</w:t>
        </w:r>
        <w:r w:rsidR="001A6D0D">
          <w:rPr>
            <w:rFonts w:ascii="Arial" w:hAnsi="Arial" w:cs="Arial"/>
          </w:rPr>
          <w:t>2</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F48ED" w14:textId="77777777" w:rsidR="00F50D93" w:rsidRDefault="00F50D93" w:rsidP="006C3D15">
      <w:pPr>
        <w:spacing w:after="0" w:line="240" w:lineRule="auto"/>
      </w:pPr>
      <w:r>
        <w:separator/>
      </w:r>
    </w:p>
  </w:footnote>
  <w:footnote w:type="continuationSeparator" w:id="0">
    <w:p w14:paraId="27D087D0" w14:textId="77777777" w:rsidR="00F50D93" w:rsidRDefault="00F50D93" w:rsidP="006C3D15">
      <w:pPr>
        <w:spacing w:after="0" w:line="240" w:lineRule="auto"/>
      </w:pPr>
      <w:r>
        <w:continuationSeparator/>
      </w:r>
    </w:p>
  </w:footnote>
  <w:footnote w:type="continuationNotice" w:id="1">
    <w:p w14:paraId="6EE197C1" w14:textId="77777777" w:rsidR="00F50D93" w:rsidRDefault="00F50D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57725F2F" w:rsidR="001E05F2" w:rsidRPr="00B109EB" w:rsidRDefault="00402000" w:rsidP="004F0679">
    <w:pPr>
      <w:pStyle w:val="Zhlav"/>
      <w:rPr>
        <w:rFonts w:ascii="Arial" w:hAnsi="Arial" w:cs="Arial"/>
      </w:rPr>
    </w:pPr>
    <w:r>
      <w:rPr>
        <w:rFonts w:ascii="Arial" w:hAnsi="Arial" w:cs="Arial"/>
      </w:rPr>
      <w:t>Vodní nádrž VN 1</w:t>
    </w:r>
    <w:r w:rsidR="001E05F2" w:rsidRPr="00B109EB">
      <w:rPr>
        <w:rFonts w:ascii="Arial" w:hAnsi="Arial" w:cs="Arial"/>
      </w:rPr>
      <w:t xml:space="preserve"> </w:t>
    </w:r>
    <w:r>
      <w:rPr>
        <w:rFonts w:ascii="Arial" w:hAnsi="Arial" w:cs="Arial"/>
      </w:rPr>
      <w:t>v k. ú. Koloveč</w:t>
    </w:r>
    <w:r w:rsidR="001E05F2" w:rsidRPr="00B109EB">
      <w:rPr>
        <w:rFonts w:ascii="Arial" w:hAnsi="Arial" w:cs="Arial"/>
      </w:rPr>
      <w:t xml:space="preserve">                                                                                                                                                                                                                            </w:t>
    </w:r>
    <w:r w:rsidR="001E05F2">
      <w:rPr>
        <w:rFonts w:ascii="Arial" w:hAnsi="Arial" w:cs="Arial"/>
      </w:rPr>
      <w:tab/>
    </w:r>
    <w:r w:rsidR="001E05F2">
      <w:rPr>
        <w:rFonts w:ascii="Arial" w:hAnsi="Arial" w:cs="Arial"/>
      </w:rPr>
      <w:tab/>
    </w:r>
    <w:r w:rsidR="001E05F2"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B038E968"/>
    <w:lvl w:ilvl="0" w:tplc="BBCC306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44361D92"/>
    <w:lvl w:ilvl="0" w:tplc="CC847570">
      <w:start w:val="1"/>
      <w:numFmt w:val="decimal"/>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6001"/>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A5B10"/>
    <w:rsid w:val="000C4CA7"/>
    <w:rsid w:val="000D3386"/>
    <w:rsid w:val="000D6487"/>
    <w:rsid w:val="000D6F1A"/>
    <w:rsid w:val="000E32D5"/>
    <w:rsid w:val="000E4D9A"/>
    <w:rsid w:val="000E5D39"/>
    <w:rsid w:val="000F6C4B"/>
    <w:rsid w:val="000F77A2"/>
    <w:rsid w:val="001039F4"/>
    <w:rsid w:val="00107729"/>
    <w:rsid w:val="00110E44"/>
    <w:rsid w:val="001119B2"/>
    <w:rsid w:val="00114D00"/>
    <w:rsid w:val="00120149"/>
    <w:rsid w:val="001216DB"/>
    <w:rsid w:val="00124D14"/>
    <w:rsid w:val="00132170"/>
    <w:rsid w:val="0014530C"/>
    <w:rsid w:val="001529B2"/>
    <w:rsid w:val="00154381"/>
    <w:rsid w:val="00154533"/>
    <w:rsid w:val="00156E09"/>
    <w:rsid w:val="0016315C"/>
    <w:rsid w:val="00167D93"/>
    <w:rsid w:val="00173DB0"/>
    <w:rsid w:val="00175FEC"/>
    <w:rsid w:val="00196E8F"/>
    <w:rsid w:val="001A0D33"/>
    <w:rsid w:val="001A46FA"/>
    <w:rsid w:val="001A52E6"/>
    <w:rsid w:val="001A5639"/>
    <w:rsid w:val="001A5DFE"/>
    <w:rsid w:val="001A6D0D"/>
    <w:rsid w:val="001B14A5"/>
    <w:rsid w:val="001B38D9"/>
    <w:rsid w:val="001B5078"/>
    <w:rsid w:val="001B7509"/>
    <w:rsid w:val="001C0619"/>
    <w:rsid w:val="001C1841"/>
    <w:rsid w:val="001C4E4B"/>
    <w:rsid w:val="001C5C37"/>
    <w:rsid w:val="001D12E1"/>
    <w:rsid w:val="001D29EC"/>
    <w:rsid w:val="001D386F"/>
    <w:rsid w:val="001E05F2"/>
    <w:rsid w:val="001E0D88"/>
    <w:rsid w:val="001E26B9"/>
    <w:rsid w:val="001E3AD2"/>
    <w:rsid w:val="001E5FD9"/>
    <w:rsid w:val="001F221D"/>
    <w:rsid w:val="001F7F5E"/>
    <w:rsid w:val="002051F0"/>
    <w:rsid w:val="00211074"/>
    <w:rsid w:val="00213A8E"/>
    <w:rsid w:val="00213F09"/>
    <w:rsid w:val="00214EEE"/>
    <w:rsid w:val="00216C7F"/>
    <w:rsid w:val="00233763"/>
    <w:rsid w:val="00236C7F"/>
    <w:rsid w:val="002429E9"/>
    <w:rsid w:val="002449A1"/>
    <w:rsid w:val="00244C1D"/>
    <w:rsid w:val="00245C7B"/>
    <w:rsid w:val="002511BF"/>
    <w:rsid w:val="002523C4"/>
    <w:rsid w:val="002550B7"/>
    <w:rsid w:val="002563DE"/>
    <w:rsid w:val="00256DEE"/>
    <w:rsid w:val="00261948"/>
    <w:rsid w:val="0026369F"/>
    <w:rsid w:val="00263C20"/>
    <w:rsid w:val="002646D1"/>
    <w:rsid w:val="002660DE"/>
    <w:rsid w:val="00266726"/>
    <w:rsid w:val="00280E66"/>
    <w:rsid w:val="002849F3"/>
    <w:rsid w:val="00287253"/>
    <w:rsid w:val="0029278F"/>
    <w:rsid w:val="002927F3"/>
    <w:rsid w:val="00297A5F"/>
    <w:rsid w:val="002A0368"/>
    <w:rsid w:val="002A07D3"/>
    <w:rsid w:val="002A0E91"/>
    <w:rsid w:val="002A16F7"/>
    <w:rsid w:val="002A5E17"/>
    <w:rsid w:val="002B00C0"/>
    <w:rsid w:val="002B0A61"/>
    <w:rsid w:val="002B4243"/>
    <w:rsid w:val="002B5201"/>
    <w:rsid w:val="002C1B03"/>
    <w:rsid w:val="002C6A94"/>
    <w:rsid w:val="002E08DD"/>
    <w:rsid w:val="002E56CE"/>
    <w:rsid w:val="002F2126"/>
    <w:rsid w:val="003006AC"/>
    <w:rsid w:val="003014E2"/>
    <w:rsid w:val="00312ED6"/>
    <w:rsid w:val="003142B8"/>
    <w:rsid w:val="00325832"/>
    <w:rsid w:val="00332612"/>
    <w:rsid w:val="00341053"/>
    <w:rsid w:val="00344CA6"/>
    <w:rsid w:val="003462A7"/>
    <w:rsid w:val="00346559"/>
    <w:rsid w:val="00350B9E"/>
    <w:rsid w:val="00350C36"/>
    <w:rsid w:val="00356168"/>
    <w:rsid w:val="0036352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7879"/>
    <w:rsid w:val="003E578B"/>
    <w:rsid w:val="003E73F8"/>
    <w:rsid w:val="003F1C57"/>
    <w:rsid w:val="003F325C"/>
    <w:rsid w:val="004002D5"/>
    <w:rsid w:val="00402000"/>
    <w:rsid w:val="00410FFD"/>
    <w:rsid w:val="00414852"/>
    <w:rsid w:val="00415593"/>
    <w:rsid w:val="00420D8D"/>
    <w:rsid w:val="00423685"/>
    <w:rsid w:val="00423C70"/>
    <w:rsid w:val="00424592"/>
    <w:rsid w:val="004262EF"/>
    <w:rsid w:val="00430FE4"/>
    <w:rsid w:val="00451F41"/>
    <w:rsid w:val="00463206"/>
    <w:rsid w:val="00463F35"/>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2C6B"/>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5A05"/>
    <w:rsid w:val="005E1902"/>
    <w:rsid w:val="005E5625"/>
    <w:rsid w:val="005F0D84"/>
    <w:rsid w:val="005F4B4D"/>
    <w:rsid w:val="005F5745"/>
    <w:rsid w:val="005F707B"/>
    <w:rsid w:val="00603ADC"/>
    <w:rsid w:val="00616035"/>
    <w:rsid w:val="00616E93"/>
    <w:rsid w:val="00627E3F"/>
    <w:rsid w:val="006445FC"/>
    <w:rsid w:val="00646665"/>
    <w:rsid w:val="006615F7"/>
    <w:rsid w:val="00661ABF"/>
    <w:rsid w:val="0066341A"/>
    <w:rsid w:val="00666D64"/>
    <w:rsid w:val="00676951"/>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6F4C23"/>
    <w:rsid w:val="0070424C"/>
    <w:rsid w:val="00710434"/>
    <w:rsid w:val="00715A8A"/>
    <w:rsid w:val="007220A5"/>
    <w:rsid w:val="007247AD"/>
    <w:rsid w:val="00732414"/>
    <w:rsid w:val="0073434C"/>
    <w:rsid w:val="0073614D"/>
    <w:rsid w:val="00736E42"/>
    <w:rsid w:val="007428C4"/>
    <w:rsid w:val="0074363A"/>
    <w:rsid w:val="00745CF0"/>
    <w:rsid w:val="00750899"/>
    <w:rsid w:val="00754786"/>
    <w:rsid w:val="007553F3"/>
    <w:rsid w:val="00755995"/>
    <w:rsid w:val="007637B1"/>
    <w:rsid w:val="007677A4"/>
    <w:rsid w:val="00767F0A"/>
    <w:rsid w:val="00771876"/>
    <w:rsid w:val="007731E5"/>
    <w:rsid w:val="00774494"/>
    <w:rsid w:val="00777BEA"/>
    <w:rsid w:val="00790C72"/>
    <w:rsid w:val="00792BEE"/>
    <w:rsid w:val="007933F5"/>
    <w:rsid w:val="00794114"/>
    <w:rsid w:val="007958B9"/>
    <w:rsid w:val="00796802"/>
    <w:rsid w:val="00797426"/>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B87"/>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57A7D"/>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4E02"/>
    <w:rsid w:val="008E2BFD"/>
    <w:rsid w:val="008F2A99"/>
    <w:rsid w:val="008F6D4A"/>
    <w:rsid w:val="009007D7"/>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426"/>
    <w:rsid w:val="00A3480A"/>
    <w:rsid w:val="00A355F7"/>
    <w:rsid w:val="00A41A70"/>
    <w:rsid w:val="00A4306A"/>
    <w:rsid w:val="00A43E9E"/>
    <w:rsid w:val="00A44F97"/>
    <w:rsid w:val="00A464A8"/>
    <w:rsid w:val="00A51A77"/>
    <w:rsid w:val="00A537FB"/>
    <w:rsid w:val="00A62B0B"/>
    <w:rsid w:val="00A66775"/>
    <w:rsid w:val="00A779FC"/>
    <w:rsid w:val="00A82ADA"/>
    <w:rsid w:val="00A9203D"/>
    <w:rsid w:val="00A95153"/>
    <w:rsid w:val="00A95446"/>
    <w:rsid w:val="00AA0B7B"/>
    <w:rsid w:val="00AA1804"/>
    <w:rsid w:val="00AA7885"/>
    <w:rsid w:val="00AB4A72"/>
    <w:rsid w:val="00AC0256"/>
    <w:rsid w:val="00AC2FD2"/>
    <w:rsid w:val="00AC3271"/>
    <w:rsid w:val="00AC630D"/>
    <w:rsid w:val="00AC6C17"/>
    <w:rsid w:val="00AD3ADB"/>
    <w:rsid w:val="00AE76EE"/>
    <w:rsid w:val="00AF2443"/>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679BC"/>
    <w:rsid w:val="00B734E5"/>
    <w:rsid w:val="00B74450"/>
    <w:rsid w:val="00B751C5"/>
    <w:rsid w:val="00B76691"/>
    <w:rsid w:val="00B81B52"/>
    <w:rsid w:val="00B90DBE"/>
    <w:rsid w:val="00B90E36"/>
    <w:rsid w:val="00B956CF"/>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29"/>
    <w:rsid w:val="00C241A3"/>
    <w:rsid w:val="00C2561A"/>
    <w:rsid w:val="00C26A2C"/>
    <w:rsid w:val="00C27386"/>
    <w:rsid w:val="00C31241"/>
    <w:rsid w:val="00C40D9B"/>
    <w:rsid w:val="00C41551"/>
    <w:rsid w:val="00C4388E"/>
    <w:rsid w:val="00C447B2"/>
    <w:rsid w:val="00C45168"/>
    <w:rsid w:val="00C45BEC"/>
    <w:rsid w:val="00C52F3A"/>
    <w:rsid w:val="00C62701"/>
    <w:rsid w:val="00C74F38"/>
    <w:rsid w:val="00C77454"/>
    <w:rsid w:val="00C7787A"/>
    <w:rsid w:val="00C82E62"/>
    <w:rsid w:val="00C8483D"/>
    <w:rsid w:val="00C87EAD"/>
    <w:rsid w:val="00C93A04"/>
    <w:rsid w:val="00C93D07"/>
    <w:rsid w:val="00C94365"/>
    <w:rsid w:val="00CB354D"/>
    <w:rsid w:val="00CC6F5C"/>
    <w:rsid w:val="00CC70FE"/>
    <w:rsid w:val="00CD07BC"/>
    <w:rsid w:val="00CE2870"/>
    <w:rsid w:val="00CE3FBB"/>
    <w:rsid w:val="00CE5B3B"/>
    <w:rsid w:val="00CE5D7B"/>
    <w:rsid w:val="00CF1080"/>
    <w:rsid w:val="00D10170"/>
    <w:rsid w:val="00D1443A"/>
    <w:rsid w:val="00D14C57"/>
    <w:rsid w:val="00D17CED"/>
    <w:rsid w:val="00D205AF"/>
    <w:rsid w:val="00D20AA8"/>
    <w:rsid w:val="00D22680"/>
    <w:rsid w:val="00D25F6F"/>
    <w:rsid w:val="00D263E2"/>
    <w:rsid w:val="00D27B63"/>
    <w:rsid w:val="00D3556A"/>
    <w:rsid w:val="00D42EB2"/>
    <w:rsid w:val="00D434C2"/>
    <w:rsid w:val="00D61829"/>
    <w:rsid w:val="00D61C3D"/>
    <w:rsid w:val="00D6259E"/>
    <w:rsid w:val="00D65CC9"/>
    <w:rsid w:val="00D67BF4"/>
    <w:rsid w:val="00D71B37"/>
    <w:rsid w:val="00D74831"/>
    <w:rsid w:val="00D7609B"/>
    <w:rsid w:val="00D80F3F"/>
    <w:rsid w:val="00D829B6"/>
    <w:rsid w:val="00D83B0B"/>
    <w:rsid w:val="00D83B48"/>
    <w:rsid w:val="00D84C42"/>
    <w:rsid w:val="00D854B2"/>
    <w:rsid w:val="00D858F6"/>
    <w:rsid w:val="00D921FC"/>
    <w:rsid w:val="00D956C3"/>
    <w:rsid w:val="00DA02D2"/>
    <w:rsid w:val="00DA1FD5"/>
    <w:rsid w:val="00DB27EC"/>
    <w:rsid w:val="00DB6E95"/>
    <w:rsid w:val="00DC7F6D"/>
    <w:rsid w:val="00DD06A2"/>
    <w:rsid w:val="00DD27D2"/>
    <w:rsid w:val="00DD3251"/>
    <w:rsid w:val="00DD68E3"/>
    <w:rsid w:val="00DE26FC"/>
    <w:rsid w:val="00DE2CD6"/>
    <w:rsid w:val="00DE6DC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3943"/>
    <w:rsid w:val="00E65AEC"/>
    <w:rsid w:val="00E70ED7"/>
    <w:rsid w:val="00E71B46"/>
    <w:rsid w:val="00E73632"/>
    <w:rsid w:val="00E73F25"/>
    <w:rsid w:val="00E978DB"/>
    <w:rsid w:val="00EA4879"/>
    <w:rsid w:val="00EA4A24"/>
    <w:rsid w:val="00EA61EF"/>
    <w:rsid w:val="00EB2506"/>
    <w:rsid w:val="00EC1124"/>
    <w:rsid w:val="00ED05E5"/>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307F"/>
    <w:rsid w:val="00F44C35"/>
    <w:rsid w:val="00F50D93"/>
    <w:rsid w:val="00F53D58"/>
    <w:rsid w:val="00F6204C"/>
    <w:rsid w:val="00F64F81"/>
    <w:rsid w:val="00F6524A"/>
    <w:rsid w:val="00F66571"/>
    <w:rsid w:val="00F81BCF"/>
    <w:rsid w:val="00F8238F"/>
    <w:rsid w:val="00F8737C"/>
    <w:rsid w:val="00F90189"/>
    <w:rsid w:val="00FA14D9"/>
    <w:rsid w:val="00FA7DDC"/>
    <w:rsid w:val="00FB2E36"/>
    <w:rsid w:val="00FB44CA"/>
    <w:rsid w:val="00FC4053"/>
    <w:rsid w:val="00FC5FCF"/>
    <w:rsid w:val="00FC6F15"/>
    <w:rsid w:val="00FD4CD3"/>
    <w:rsid w:val="00FD5E08"/>
    <w:rsid w:val="00FE0156"/>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32</Pages>
  <Words>13346</Words>
  <Characters>78744</Characters>
  <Application>Microsoft Office Word</Application>
  <DocSecurity>0</DocSecurity>
  <Lines>656</Lines>
  <Paragraphs>183</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Hošková Žaneta Mgr.</cp:lastModifiedBy>
  <cp:revision>67</cp:revision>
  <cp:lastPrinted>2022-06-01T13:39:00Z</cp:lastPrinted>
  <dcterms:created xsi:type="dcterms:W3CDTF">2022-05-23T05:59:00Z</dcterms:created>
  <dcterms:modified xsi:type="dcterms:W3CDTF">2022-12-08T13:57:00Z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