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2EF46E5D"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855A97">
        <w:rPr>
          <w:rFonts w:cs="Arial"/>
          <w:b/>
          <w:szCs w:val="22"/>
        </w:rPr>
        <w:t>j</w:t>
      </w:r>
    </w:p>
    <w:p w14:paraId="20341B94" w14:textId="57DA6220"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549E8DDF"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7F1908">
        <w:rPr>
          <w:rFonts w:eastAsia="Lucida Sans Unicode" w:cs="Arial"/>
          <w:snapToGrid w:val="0"/>
          <w:szCs w:val="22"/>
        </w:rPr>
        <w:t>Mgr. Jiří Koudelka</w:t>
      </w:r>
      <w:r w:rsidR="00FC7228">
        <w:rPr>
          <w:rFonts w:eastAsia="Lucida Sans Unicode" w:cs="Arial"/>
          <w:snapToGrid w:val="0"/>
          <w:szCs w:val="22"/>
        </w:rPr>
        <w:t xml:space="preserve">, vedoucí Pobočky </w:t>
      </w:r>
      <w:r w:rsidR="007F1908">
        <w:rPr>
          <w:rFonts w:eastAsia="Lucida Sans Unicode" w:cs="Arial"/>
          <w:snapToGrid w:val="0"/>
          <w:szCs w:val="22"/>
        </w:rPr>
        <w:t>Prostějov</w:t>
      </w:r>
    </w:p>
    <w:p w14:paraId="741CBB41" w14:textId="16EE5675"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7F1908">
        <w:rPr>
          <w:rFonts w:eastAsia="Lucida Sans Unicode" w:cs="Arial"/>
          <w:snapToGrid w:val="0"/>
          <w:szCs w:val="22"/>
        </w:rPr>
        <w:t>Ing. Zdeněk Chudožilov</w:t>
      </w:r>
      <w:r>
        <w:rPr>
          <w:rFonts w:eastAsia="Lucida Sans Unicode" w:cs="Arial"/>
          <w:snapToGrid w:val="0"/>
          <w:szCs w:val="22"/>
        </w:rPr>
        <w:t xml:space="preserve">, Pobočka </w:t>
      </w:r>
      <w:r w:rsidR="007F1908">
        <w:rPr>
          <w:rFonts w:eastAsia="Lucida Sans Unicode" w:cs="Arial"/>
          <w:snapToGrid w:val="0"/>
          <w:szCs w:val="22"/>
        </w:rPr>
        <w:t>Prostějov</w:t>
      </w:r>
    </w:p>
    <w:p w14:paraId="0D48A447" w14:textId="3ADEF41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4C22AA">
        <w:rPr>
          <w:rFonts w:eastAsia="Lucida Sans Unicode" w:cs="Arial"/>
          <w:snapToGrid w:val="0"/>
          <w:szCs w:val="22"/>
        </w:rPr>
        <w:t xml:space="preserve"> 606</w:t>
      </w:r>
      <w:r w:rsidR="00930525" w:rsidRPr="00930525">
        <w:rPr>
          <w:rFonts w:eastAsia="Lucida Sans Unicode" w:cs="Arial"/>
          <w:szCs w:val="22"/>
        </w:rPr>
        <w:t xml:space="preserve"> </w:t>
      </w:r>
      <w:r w:rsidR="004C22AA">
        <w:rPr>
          <w:rFonts w:eastAsia="Lucida Sans Unicode" w:cs="Arial"/>
          <w:szCs w:val="22"/>
        </w:rPr>
        <w:t>683</w:t>
      </w:r>
      <w:r w:rsidR="00930525" w:rsidRPr="00930525">
        <w:rPr>
          <w:rFonts w:eastAsia="Lucida Sans Unicode" w:cs="Arial"/>
          <w:szCs w:val="22"/>
        </w:rPr>
        <w:t xml:space="preserve"> </w:t>
      </w:r>
      <w:r w:rsidR="008615AE">
        <w:rPr>
          <w:rFonts w:eastAsia="Lucida Sans Unicode" w:cs="Arial"/>
          <w:szCs w:val="22"/>
        </w:rPr>
        <w:t>401</w:t>
      </w:r>
    </w:p>
    <w:p w14:paraId="36D2EE6B" w14:textId="2438BAF1"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7F1908">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1DD45FFC"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C57FC1" w:rsidRPr="00C57FC1">
        <w:rPr>
          <w:rFonts w:cs="Arial"/>
          <w:b/>
          <w:spacing w:val="8"/>
          <w:szCs w:val="22"/>
        </w:rPr>
        <w:t xml:space="preserve">Projektová dokumentace akce "Protipovodňová opatření v </w:t>
      </w:r>
      <w:proofErr w:type="spellStart"/>
      <w:r w:rsidR="00C57FC1" w:rsidRPr="00C57FC1">
        <w:rPr>
          <w:rFonts w:cs="Arial"/>
          <w:b/>
          <w:spacing w:val="8"/>
          <w:szCs w:val="22"/>
        </w:rPr>
        <w:t>k.ú</w:t>
      </w:r>
      <w:proofErr w:type="spellEnd"/>
      <w:r w:rsidR="00C57FC1" w:rsidRPr="00C57FC1">
        <w:rPr>
          <w:rFonts w:cs="Arial"/>
          <w:b/>
          <w:spacing w:val="8"/>
          <w:szCs w:val="22"/>
        </w:rPr>
        <w:t>. Ondratice - I. etapa"</w:t>
      </w:r>
      <w:r w:rsidR="00C57FC1">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05D0C0F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51FE">
        <w:rPr>
          <w:rStyle w:val="l-L2Char"/>
          <w:rFonts w:cs="Arial"/>
          <w:b w:val="0"/>
          <w:szCs w:val="22"/>
          <w:u w:val="none"/>
        </w:rPr>
        <w:t xml:space="preserve"> </w:t>
      </w:r>
      <w:proofErr w:type="spellStart"/>
      <w:r w:rsidR="00E50B33" w:rsidRPr="00E50B33">
        <w:rPr>
          <w:rFonts w:ascii="Arial" w:hAnsi="Arial" w:cs="Arial"/>
          <w:bCs/>
          <w:snapToGrid w:val="0"/>
          <w:szCs w:val="22"/>
          <w:u w:val="none"/>
          <w:lang w:val="en-US"/>
        </w:rPr>
        <w:t>Protipovodňová</w:t>
      </w:r>
      <w:proofErr w:type="spellEnd"/>
      <w:r w:rsidR="00E50B33" w:rsidRPr="00E50B33">
        <w:rPr>
          <w:rFonts w:ascii="Arial" w:hAnsi="Arial" w:cs="Arial"/>
          <w:bCs/>
          <w:snapToGrid w:val="0"/>
          <w:szCs w:val="22"/>
          <w:u w:val="none"/>
          <w:lang w:val="en-US"/>
        </w:rPr>
        <w:t xml:space="preserve"> </w:t>
      </w:r>
      <w:proofErr w:type="spellStart"/>
      <w:r w:rsidR="00E50B33" w:rsidRPr="00E50B33">
        <w:rPr>
          <w:rFonts w:ascii="Arial" w:hAnsi="Arial" w:cs="Arial"/>
          <w:bCs/>
          <w:snapToGrid w:val="0"/>
          <w:szCs w:val="22"/>
          <w:u w:val="none"/>
          <w:lang w:val="en-US"/>
        </w:rPr>
        <w:t>opatření</w:t>
      </w:r>
      <w:proofErr w:type="spellEnd"/>
      <w:r w:rsidR="00E50B33" w:rsidRPr="00E50B33">
        <w:rPr>
          <w:rFonts w:ascii="Arial" w:hAnsi="Arial" w:cs="Arial"/>
          <w:bCs/>
          <w:snapToGrid w:val="0"/>
          <w:szCs w:val="22"/>
          <w:u w:val="none"/>
          <w:lang w:val="en-US"/>
        </w:rPr>
        <w:t xml:space="preserve"> v </w:t>
      </w:r>
      <w:proofErr w:type="spellStart"/>
      <w:r w:rsidR="00E50B33" w:rsidRPr="00E50B33">
        <w:rPr>
          <w:rFonts w:ascii="Arial" w:hAnsi="Arial" w:cs="Arial"/>
          <w:bCs/>
          <w:snapToGrid w:val="0"/>
          <w:szCs w:val="22"/>
          <w:u w:val="none"/>
          <w:lang w:val="en-US"/>
        </w:rPr>
        <w:t>k.ú</w:t>
      </w:r>
      <w:proofErr w:type="spellEnd"/>
      <w:r w:rsidR="00E50B33" w:rsidRPr="00E50B33">
        <w:rPr>
          <w:rFonts w:ascii="Arial" w:hAnsi="Arial" w:cs="Arial"/>
          <w:bCs/>
          <w:snapToGrid w:val="0"/>
          <w:szCs w:val="22"/>
          <w:u w:val="none"/>
          <w:lang w:val="en-US"/>
        </w:rPr>
        <w:t xml:space="preserve">. </w:t>
      </w:r>
      <w:proofErr w:type="spellStart"/>
      <w:r w:rsidR="00E50B33" w:rsidRPr="00E50B33">
        <w:rPr>
          <w:rFonts w:ascii="Arial" w:hAnsi="Arial" w:cs="Arial"/>
          <w:bCs/>
          <w:snapToGrid w:val="0"/>
          <w:szCs w:val="22"/>
          <w:u w:val="none"/>
          <w:lang w:val="en-US"/>
        </w:rPr>
        <w:t>Ondratice</w:t>
      </w:r>
      <w:proofErr w:type="spellEnd"/>
      <w:r w:rsidR="00E50B33" w:rsidRPr="00E50B33">
        <w:rPr>
          <w:rFonts w:ascii="Arial" w:hAnsi="Arial" w:cs="Arial"/>
          <w:bCs/>
          <w:snapToGrid w:val="0"/>
          <w:szCs w:val="22"/>
          <w:u w:val="none"/>
          <w:lang w:val="en-US"/>
        </w:rPr>
        <w:t xml:space="preserve"> - I. </w:t>
      </w:r>
      <w:proofErr w:type="spellStart"/>
      <w:r w:rsidR="00E50B33" w:rsidRPr="00E50B33">
        <w:rPr>
          <w:rFonts w:ascii="Arial" w:hAnsi="Arial" w:cs="Arial"/>
          <w:bCs/>
          <w:snapToGrid w:val="0"/>
          <w:szCs w:val="22"/>
          <w:u w:val="none"/>
          <w:lang w:val="en-US"/>
        </w:rPr>
        <w:t>etapa</w:t>
      </w:r>
      <w:proofErr w:type="spellEnd"/>
    </w:p>
    <w:p w14:paraId="20E141FE" w14:textId="78BCFD10"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8615AE">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E50B33">
        <w:rPr>
          <w:rFonts w:ascii="Arial" w:hAnsi="Arial" w:cs="Arial"/>
          <w:bCs/>
          <w:snapToGrid w:val="0"/>
          <w:szCs w:val="22"/>
          <w:u w:val="none"/>
          <w:lang w:val="en-US"/>
        </w:rPr>
        <w:t>Ondratice</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E50B33">
        <w:rPr>
          <w:rFonts w:ascii="Arial" w:hAnsi="Arial" w:cs="Arial"/>
          <w:bCs/>
          <w:snapToGrid w:val="0"/>
          <w:szCs w:val="22"/>
          <w:u w:val="none"/>
          <w:lang w:val="en-US"/>
        </w:rPr>
        <w:t>Ondratice</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6F4735B6" w14:textId="06B9E7BA" w:rsidR="000D158B" w:rsidRPr="000D158B" w:rsidRDefault="00A86610" w:rsidP="000D158B">
      <w:pPr>
        <w:pStyle w:val="Bezmezer"/>
        <w:spacing w:line="288" w:lineRule="auto"/>
        <w:ind w:left="709"/>
        <w:rPr>
          <w:rStyle w:val="l-L2Char"/>
          <w:szCs w:val="22"/>
          <w:lang w:eastAsia="en-US"/>
        </w:rPr>
      </w:pPr>
      <w:r w:rsidRPr="002C1794">
        <w:rPr>
          <w:rStyle w:val="l-L2Char"/>
          <w:rFonts w:cs="Arial"/>
          <w:szCs w:val="22"/>
        </w:rPr>
        <w:tab/>
      </w:r>
      <w:r w:rsidR="000D158B">
        <w:t>S</w:t>
      </w:r>
      <w:r w:rsidR="000D158B" w:rsidRPr="000D158B">
        <w:rPr>
          <w:rStyle w:val="l-L2Char"/>
          <w:szCs w:val="22"/>
          <w:lang w:eastAsia="en-US"/>
        </w:rPr>
        <w:t>O 01 – Suché poldry POL1, POL2</w:t>
      </w:r>
    </w:p>
    <w:p w14:paraId="1BCF85AA" w14:textId="19E483A7" w:rsidR="009806AC" w:rsidRPr="009806AC" w:rsidRDefault="000D158B" w:rsidP="000D158B">
      <w:pPr>
        <w:pStyle w:val="Bezmezer"/>
        <w:spacing w:line="288" w:lineRule="auto"/>
        <w:ind w:left="708" w:firstLine="708"/>
        <w:rPr>
          <w:rStyle w:val="l-L2Char"/>
          <w:szCs w:val="22"/>
          <w:lang w:eastAsia="en-US"/>
        </w:rPr>
      </w:pPr>
      <w:r w:rsidRPr="000D158B">
        <w:rPr>
          <w:rStyle w:val="l-L2Char"/>
          <w:szCs w:val="22"/>
          <w:lang w:eastAsia="en-US"/>
        </w:rPr>
        <w:t xml:space="preserve">SO 02 – OP </w:t>
      </w:r>
      <w:proofErr w:type="spellStart"/>
      <w:r w:rsidRPr="000D158B">
        <w:rPr>
          <w:rStyle w:val="l-L2Char"/>
          <w:szCs w:val="22"/>
          <w:lang w:eastAsia="en-US"/>
        </w:rPr>
        <w:t>odtrubnění</w:t>
      </w:r>
      <w:proofErr w:type="spellEnd"/>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w:t>
      </w:r>
      <w:r w:rsidRPr="004D5F78">
        <w:rPr>
          <w:rFonts w:cs="Arial"/>
          <w:b w:val="0"/>
          <w:szCs w:val="22"/>
          <w:u w:val="none"/>
        </w:rPr>
        <w:lastRenderedPageBreak/>
        <w:t xml:space="preserve">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lastRenderedPageBreak/>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5220337C"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8615AE">
        <w:rPr>
          <w:rFonts w:ascii="Arial" w:hAnsi="Arial" w:cs="Arial"/>
          <w:bCs/>
          <w:snapToGrid w:val="0"/>
          <w:szCs w:val="22"/>
        </w:rPr>
        <w:t>1</w:t>
      </w:r>
      <w:r w:rsidR="00A86610" w:rsidRPr="00A86610">
        <w:rPr>
          <w:rFonts w:ascii="Arial" w:hAnsi="Arial" w:cs="Arial"/>
          <w:bCs/>
          <w:snapToGrid w:val="0"/>
          <w:szCs w:val="22"/>
        </w:rPr>
        <w:t>.</w:t>
      </w:r>
      <w:r w:rsidR="00D95953">
        <w:rPr>
          <w:rFonts w:ascii="Arial" w:hAnsi="Arial" w:cs="Arial"/>
          <w:bCs/>
          <w:snapToGrid w:val="0"/>
          <w:szCs w:val="22"/>
        </w:rPr>
        <w:t>0</w:t>
      </w:r>
      <w:r w:rsidR="000410D8">
        <w:rPr>
          <w:rFonts w:ascii="Arial" w:hAnsi="Arial" w:cs="Arial"/>
          <w:bCs/>
          <w:snapToGrid w:val="0"/>
          <w:szCs w:val="22"/>
        </w:rPr>
        <w:t>5</w:t>
      </w:r>
      <w:r w:rsidR="00A86610" w:rsidRPr="00A86610">
        <w:rPr>
          <w:rFonts w:ascii="Arial" w:hAnsi="Arial" w:cs="Arial"/>
          <w:bCs/>
          <w:snapToGrid w:val="0"/>
          <w:szCs w:val="22"/>
        </w:rPr>
        <w:t>.202</w:t>
      </w:r>
      <w:r w:rsidR="00D95953">
        <w:rPr>
          <w:rFonts w:ascii="Arial" w:hAnsi="Arial" w:cs="Arial"/>
          <w:bCs/>
          <w:snapToGrid w:val="0"/>
          <w:szCs w:val="22"/>
        </w:rPr>
        <w:t>3</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0E0411D"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615AE">
        <w:rPr>
          <w:rStyle w:val="l-L2Char"/>
          <w:rFonts w:cs="Arial"/>
          <w:b w:val="0"/>
          <w:szCs w:val="22"/>
          <w:u w:val="none"/>
        </w:rPr>
        <w:t>Prostějov</w:t>
      </w:r>
      <w:r w:rsidR="007D4925">
        <w:rPr>
          <w:rStyle w:val="l-L2Char"/>
          <w:rFonts w:cs="Arial"/>
          <w:b w:val="0"/>
          <w:szCs w:val="22"/>
          <w:u w:val="none"/>
        </w:rPr>
        <w:t xml:space="preserve">, </w:t>
      </w:r>
      <w:r w:rsidR="008615AE">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w:t>
      </w:r>
      <w:r w:rsidR="008615AE">
        <w:rPr>
          <w:rStyle w:val="l-L2Char"/>
          <w:rFonts w:cs="Arial"/>
          <w:b w:val="0"/>
          <w:szCs w:val="22"/>
          <w:u w:val="none"/>
        </w:rPr>
        <w:t>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615AE">
        <w:rPr>
          <w:rStyle w:val="l-L2Char"/>
          <w:rFonts w:cs="Arial"/>
          <w:b w:val="0"/>
          <w:szCs w:val="22"/>
          <w:u w:val="none"/>
        </w:rPr>
        <w:t>Prostějov</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3FE5A6E1" w:rsidR="008C4E63"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683FD323" w14:textId="77777777" w:rsidR="005E1914" w:rsidRPr="004D5F78" w:rsidRDefault="005E1914" w:rsidP="005E1914">
      <w:pPr>
        <w:pStyle w:val="l-L1"/>
        <w:keepNext w:val="0"/>
        <w:numPr>
          <w:ilvl w:val="0"/>
          <w:numId w:val="0"/>
        </w:numPr>
        <w:spacing w:before="120" w:after="120"/>
        <w:ind w:left="737"/>
        <w:jc w:val="both"/>
        <w:rPr>
          <w:rStyle w:val="l-L2Char"/>
          <w:rFonts w:cs="Arial"/>
          <w:b w:val="0"/>
          <w:szCs w:val="22"/>
          <w:u w:val="none"/>
        </w:rPr>
      </w:pP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52D4AA3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615AE" w:rsidRPr="008615AE">
        <w:rPr>
          <w:rStyle w:val="l-L2Char"/>
          <w:rFonts w:cs="Arial"/>
          <w:b w:val="0"/>
          <w:szCs w:val="22"/>
          <w:u w:val="none"/>
        </w:rPr>
        <w:t>Prostějov, Aloise Krále 4, 796 01 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5310D7F0" w:rsidR="00830279" w:rsidRDefault="00830279" w:rsidP="00830279">
      <w:pPr>
        <w:pStyle w:val="l-L1"/>
        <w:keepNext w:val="0"/>
        <w:numPr>
          <w:ilvl w:val="0"/>
          <w:numId w:val="0"/>
        </w:numPr>
        <w:spacing w:before="120" w:after="120"/>
        <w:ind w:left="737"/>
        <w:jc w:val="both"/>
        <w:rPr>
          <w:rStyle w:val="l-L2Char"/>
          <w:rFonts w:cs="Arial"/>
          <w:b w:val="0"/>
          <w:szCs w:val="22"/>
          <w:u w:val="none"/>
        </w:rPr>
      </w:pPr>
    </w:p>
    <w:p w14:paraId="4838F2EB" w14:textId="4BCC0E51" w:rsidR="005E1914" w:rsidRDefault="005E1914" w:rsidP="00830279">
      <w:pPr>
        <w:pStyle w:val="l-L1"/>
        <w:keepNext w:val="0"/>
        <w:numPr>
          <w:ilvl w:val="0"/>
          <w:numId w:val="0"/>
        </w:numPr>
        <w:spacing w:before="120" w:after="120"/>
        <w:ind w:left="737"/>
        <w:jc w:val="both"/>
        <w:rPr>
          <w:rStyle w:val="l-L2Char"/>
          <w:rFonts w:cs="Arial"/>
          <w:b w:val="0"/>
          <w:szCs w:val="22"/>
          <w:u w:val="none"/>
        </w:rPr>
      </w:pPr>
    </w:p>
    <w:p w14:paraId="6E4E174F" w14:textId="44E12264" w:rsidR="005E1914" w:rsidRDefault="005E1914" w:rsidP="00830279">
      <w:pPr>
        <w:pStyle w:val="l-L1"/>
        <w:keepNext w:val="0"/>
        <w:numPr>
          <w:ilvl w:val="0"/>
          <w:numId w:val="0"/>
        </w:numPr>
        <w:spacing w:before="120" w:after="120"/>
        <w:ind w:left="737"/>
        <w:jc w:val="both"/>
        <w:rPr>
          <w:rStyle w:val="l-L2Char"/>
          <w:rFonts w:cs="Arial"/>
          <w:b w:val="0"/>
          <w:szCs w:val="22"/>
          <w:u w:val="none"/>
        </w:rPr>
      </w:pPr>
    </w:p>
    <w:p w14:paraId="0BF1375D" w14:textId="77777777" w:rsidR="005E1914" w:rsidRPr="005202FA" w:rsidRDefault="005E1914"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5905150"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3C7993">
        <w:rPr>
          <w:rStyle w:val="l-L2Char"/>
          <w:rFonts w:cs="Arial"/>
          <w:bCs/>
          <w:szCs w:val="22"/>
          <w:highlight w:val="yellow"/>
          <w:u w:val="none"/>
        </w:rPr>
        <w:t xml:space="preserve">60 </w:t>
      </w:r>
      <w:r w:rsidR="00F55051">
        <w:rPr>
          <w:rStyle w:val="l-L2Char"/>
          <w:rFonts w:cs="Arial"/>
          <w:bCs/>
          <w:szCs w:val="22"/>
          <w:highlight w:val="yellow"/>
          <w:u w:val="none"/>
        </w:rPr>
        <w:t>měsíců</w:t>
      </w:r>
      <w:r w:rsidR="00F70DAB" w:rsidRPr="003C7993">
        <w:rPr>
          <w:rStyle w:val="l-L2Char"/>
          <w:rFonts w:cs="Arial"/>
          <w:bCs/>
          <w:szCs w:val="22"/>
          <w:highlight w:val="yellow"/>
          <w:u w:val="none"/>
        </w:rPr>
        <w:t xml:space="preserve"> +</w:t>
      </w:r>
      <w:r w:rsidR="00F70DAB">
        <w:rPr>
          <w:rStyle w:val="l-L2Char"/>
          <w:rFonts w:cs="Arial"/>
          <w:b w:val="0"/>
          <w:szCs w:val="22"/>
          <w:highlight w:val="yellow"/>
          <w:u w:val="none"/>
        </w:rPr>
        <w:t xml:space="preserve"> </w:t>
      </w:r>
      <w:r w:rsidR="00F70DAB" w:rsidRPr="002F6773">
        <w:rPr>
          <w:rFonts w:ascii="Arial" w:hAnsi="Arial" w:cs="Arial"/>
          <w:bCs/>
          <w:snapToGrid w:val="0"/>
          <w:szCs w:val="22"/>
          <w:highlight w:val="yellow"/>
        </w:rPr>
        <w:t>[DOPLNIT]</w:t>
      </w:r>
      <w:r w:rsidR="00F70DAB">
        <w:rPr>
          <w:rFonts w:ascii="Arial" w:hAnsi="Arial" w:cs="Arial"/>
          <w:b w:val="0"/>
          <w:bCs/>
          <w:snapToGrid w:val="0"/>
          <w:szCs w:val="22"/>
          <w:u w:val="none"/>
        </w:rPr>
        <w:t xml:space="preserve"> </w:t>
      </w:r>
      <w:r w:rsidR="00F70DAB" w:rsidRPr="004D5F78">
        <w:rPr>
          <w:rStyle w:val="l-L2Char"/>
          <w:rFonts w:cs="Arial"/>
          <w:b w:val="0"/>
          <w:szCs w:val="22"/>
          <w:u w:val="none"/>
        </w:rPr>
        <w:t>měsíců</w:t>
      </w:r>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4700A30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F55051">
        <w:rPr>
          <w:rStyle w:val="l-L2Char"/>
          <w:rFonts w:cs="Arial"/>
          <w:bCs/>
          <w:szCs w:val="22"/>
          <w:highlight w:val="yellow"/>
          <w:u w:val="none"/>
        </w:rPr>
        <w:t>3</w:t>
      </w:r>
      <w:r w:rsidR="001A448F" w:rsidRPr="00F55051">
        <w:rPr>
          <w:rStyle w:val="l-L2Char"/>
          <w:rFonts w:cs="Arial"/>
          <w:bCs/>
          <w:szCs w:val="22"/>
          <w:highlight w:val="yellow"/>
          <w:u w:val="none"/>
        </w:rPr>
        <w:t>6</w:t>
      </w:r>
      <w:r w:rsidR="009C0AAF" w:rsidRPr="00F55051">
        <w:rPr>
          <w:rStyle w:val="l-L2Char"/>
          <w:rFonts w:cs="Arial"/>
          <w:bCs/>
          <w:szCs w:val="22"/>
          <w:highlight w:val="yellow"/>
          <w:u w:val="none"/>
        </w:rPr>
        <w:t xml:space="preserve"> </w:t>
      </w:r>
      <w:r w:rsidR="001A448F" w:rsidRPr="00F55051">
        <w:rPr>
          <w:rStyle w:val="l-L2Char"/>
          <w:rFonts w:cs="Arial"/>
          <w:bCs/>
          <w:szCs w:val="22"/>
          <w:highlight w:val="yellow"/>
          <w:u w:val="none"/>
        </w:rPr>
        <w:t>měsíců</w:t>
      </w:r>
      <w:r w:rsidR="009C0AAF" w:rsidRPr="00F55051">
        <w:rPr>
          <w:rStyle w:val="l-L2Char"/>
          <w:rFonts w:cs="Arial"/>
          <w:bCs/>
          <w:szCs w:val="22"/>
          <w:highlight w:val="yellow"/>
          <w:u w:val="none"/>
        </w:rPr>
        <w:t xml:space="preserve"> </w:t>
      </w:r>
      <w:r w:rsidR="00DB40C0" w:rsidRPr="00F55051">
        <w:rPr>
          <w:rStyle w:val="l-L2Char"/>
          <w:rFonts w:cs="Arial"/>
          <w:bCs/>
          <w:szCs w:val="22"/>
          <w:highlight w:val="yellow"/>
          <w:u w:val="none"/>
        </w:rPr>
        <w:t>+</w:t>
      </w:r>
      <w:r w:rsidR="00DB40C0" w:rsidRPr="001A448F">
        <w:rPr>
          <w:rStyle w:val="l-L2Char"/>
          <w:rFonts w:cs="Arial"/>
          <w:bCs/>
          <w:szCs w:val="22"/>
          <w:highlight w:val="yellow"/>
          <w:u w:val="none"/>
        </w:rPr>
        <w:t xml:space="preserve"> </w:t>
      </w:r>
      <w:r w:rsidR="00DB40C0" w:rsidRPr="00431134">
        <w:rPr>
          <w:rStyle w:val="l-L2Char"/>
          <w:rFonts w:cs="Arial"/>
          <w:bCs/>
          <w:szCs w:val="22"/>
          <w:highlight w:val="yellow"/>
          <w:u w:val="none"/>
        </w:rPr>
        <w:t>…</w:t>
      </w:r>
      <w:r w:rsidR="00DB40C0" w:rsidRPr="00D417FB">
        <w:rPr>
          <w:rStyle w:val="l-L2Char"/>
          <w:rFonts w:cs="Arial"/>
          <w:b w:val="0"/>
          <w:szCs w:val="22"/>
          <w:highlight w:val="yellow"/>
          <w:u w:val="none"/>
        </w:rPr>
        <w:t xml:space="preserve"> </w:t>
      </w:r>
      <w:r w:rsidR="00DB40C0" w:rsidRPr="002F6773">
        <w:rPr>
          <w:rFonts w:ascii="Arial" w:hAnsi="Arial" w:cs="Arial"/>
          <w:bCs/>
          <w:snapToGrid w:val="0"/>
          <w:szCs w:val="22"/>
          <w:highlight w:val="yellow"/>
        </w:rPr>
        <w:t>[DOPLNIT]</w:t>
      </w:r>
      <w:r w:rsidR="00DB40C0">
        <w:rPr>
          <w:rFonts w:ascii="Arial" w:hAnsi="Arial" w:cs="Arial"/>
          <w:b w:val="0"/>
          <w:bCs/>
          <w:snapToGrid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776D0E">
        <w:rPr>
          <w:rFonts w:ascii="Arial" w:hAnsi="Arial" w:cs="Arial"/>
          <w:b w:val="0"/>
          <w:iCs/>
          <w:szCs w:val="22"/>
          <w:u w:val="none"/>
        </w:rPr>
        <w:lastRenderedPageBreak/>
        <w:t xml:space="preserve">uvedené v této smlouvě zpracovává pro účely realizace, výkonu práv a povinností dle této smlouvy. Postupy a opatření se SPÚ zavazuje dodržovat po celou dobu trvání skartační 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lastRenderedPageBreak/>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6E53D839"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5972A4">
        <w:rPr>
          <w:rStyle w:val="l-L2Char"/>
          <w:szCs w:val="22"/>
          <w:lang w:eastAsia="en-US"/>
        </w:rPr>
        <w:t>Ing. Zdeněk Chudožilov</w:t>
      </w:r>
    </w:p>
    <w:p w14:paraId="5818A046" w14:textId="74185514"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0A65A2" w:rsidRPr="000A65A2">
        <w:rPr>
          <w:rFonts w:eastAsia="Lucida Sans Unicode" w:cs="Arial"/>
          <w:snapToGrid w:val="0"/>
          <w:szCs w:val="22"/>
        </w:rPr>
        <w:t>606 683 401</w:t>
      </w:r>
    </w:p>
    <w:p w14:paraId="43C977F1" w14:textId="0AE8022A"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proofErr w:type="gramStart"/>
      <w:r w:rsidR="005972A4">
        <w:rPr>
          <w:rFonts w:cs="Arial"/>
          <w:szCs w:val="22"/>
        </w:rPr>
        <w:t>z</w:t>
      </w:r>
      <w:r w:rsidR="000F14DC">
        <w:rPr>
          <w:rFonts w:cs="Arial"/>
          <w:szCs w:val="22"/>
        </w:rPr>
        <w:t>.</w:t>
      </w:r>
      <w:r w:rsidR="005972A4">
        <w:rPr>
          <w:rFonts w:cs="Arial"/>
          <w:szCs w:val="22"/>
        </w:rPr>
        <w:t>chudožilov</w:t>
      </w:r>
      <w:proofErr w:type="gramEnd"/>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w:t>
      </w:r>
      <w:r w:rsidRPr="00776D0E">
        <w:rPr>
          <w:rStyle w:val="l-L2Char"/>
          <w:rFonts w:cs="Arial"/>
          <w:b w:val="0"/>
          <w:szCs w:val="22"/>
          <w:u w:val="none"/>
        </w:rPr>
        <w:lastRenderedPageBreak/>
        <w:t xml:space="preserve">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465B904F" w14:textId="77777777" w:rsidR="005C7F61" w:rsidRPr="00681A19" w:rsidRDefault="005C7F61" w:rsidP="005C7F61">
      <w:pPr>
        <w:spacing w:after="0"/>
        <w:ind w:firstLine="492"/>
        <w:rPr>
          <w:b/>
        </w:rPr>
      </w:pPr>
      <w:r w:rsidRPr="00681A19">
        <w:rPr>
          <w:b/>
        </w:rPr>
        <w:t xml:space="preserve">SO 01 – </w:t>
      </w:r>
      <w:r>
        <w:rPr>
          <w:b/>
        </w:rPr>
        <w:t>Suché poldry POL1, POL2</w:t>
      </w:r>
    </w:p>
    <w:p w14:paraId="41BBF513" w14:textId="77777777" w:rsidR="005C7F61" w:rsidRDefault="005C7F61" w:rsidP="005C7F61">
      <w:pPr>
        <w:autoSpaceDE w:val="0"/>
        <w:autoSpaceDN w:val="0"/>
        <w:adjustRightInd w:val="0"/>
        <w:spacing w:after="0" w:line="240" w:lineRule="auto"/>
        <w:ind w:left="492"/>
        <w:jc w:val="both"/>
      </w:pPr>
      <w:r w:rsidRPr="00BA77E8">
        <w:rPr>
          <w:u w:val="single"/>
        </w:rPr>
        <w:t>Suchý poldr POL1</w:t>
      </w:r>
      <w:r>
        <w:t xml:space="preserve"> – plocha nádrže 0,7789 ha, objem cca 15 655 m</w:t>
      </w:r>
      <w:r w:rsidRPr="00BA77E8">
        <w:rPr>
          <w:vertAlign w:val="superscript"/>
        </w:rPr>
        <w:t>3</w:t>
      </w:r>
      <w:r>
        <w:t xml:space="preserve">, š. koruny hráze 4,0 m s možností pojezdu, hráz homogenní se spodní výpustí se sklonem návodního líce 1:3,3 a vzdušného líce 1:2,0. Součástí PD bude i projekční zpracování </w:t>
      </w:r>
      <w:proofErr w:type="spellStart"/>
      <w:r>
        <w:t>prefa</w:t>
      </w:r>
      <w:proofErr w:type="spellEnd"/>
      <w:r>
        <w:t xml:space="preserve"> mostu M1.</w:t>
      </w:r>
    </w:p>
    <w:p w14:paraId="62B5B397" w14:textId="77777777" w:rsidR="005C7F61" w:rsidRDefault="005C7F61" w:rsidP="005C7F61">
      <w:pPr>
        <w:autoSpaceDE w:val="0"/>
        <w:autoSpaceDN w:val="0"/>
        <w:adjustRightInd w:val="0"/>
        <w:spacing w:after="0" w:line="240" w:lineRule="auto"/>
        <w:ind w:left="492"/>
        <w:jc w:val="both"/>
      </w:pPr>
      <w:r w:rsidRPr="00BA77E8">
        <w:rPr>
          <w:u w:val="single"/>
        </w:rPr>
        <w:t>Suchý poldr POL</w:t>
      </w:r>
      <w:r>
        <w:rPr>
          <w:u w:val="single"/>
        </w:rPr>
        <w:t>2</w:t>
      </w:r>
      <w:r>
        <w:t xml:space="preserve"> – plocha nádrže 0,6879 ha, objem cca 12 893 m</w:t>
      </w:r>
      <w:r w:rsidRPr="00BA77E8">
        <w:rPr>
          <w:vertAlign w:val="superscript"/>
        </w:rPr>
        <w:t>3</w:t>
      </w:r>
      <w:r>
        <w:t>, š. koruny hráze 4,0 m s možností pojezdu, hráz homogenní se spodní výpustí se sklonem návodního líce 1:3,3 a vzdušného líce 1:2,0.</w:t>
      </w:r>
    </w:p>
    <w:p w14:paraId="6FB791F4" w14:textId="77777777" w:rsidR="005C7F61" w:rsidRDefault="005C7F61" w:rsidP="005C7F61">
      <w:pPr>
        <w:spacing w:after="0"/>
        <w:rPr>
          <w:b/>
        </w:rPr>
      </w:pPr>
    </w:p>
    <w:p w14:paraId="70671F45" w14:textId="77777777" w:rsidR="005C7F61" w:rsidRPr="00681A19" w:rsidRDefault="005C7F61" w:rsidP="005C7F61">
      <w:pPr>
        <w:spacing w:after="0"/>
        <w:ind w:firstLine="492"/>
        <w:rPr>
          <w:b/>
        </w:rPr>
      </w:pPr>
      <w:r w:rsidRPr="00681A19">
        <w:rPr>
          <w:b/>
        </w:rPr>
        <w:t>SO 0</w:t>
      </w:r>
      <w:r>
        <w:rPr>
          <w:b/>
        </w:rPr>
        <w:t>2</w:t>
      </w:r>
      <w:r w:rsidRPr="00681A19">
        <w:rPr>
          <w:b/>
        </w:rPr>
        <w:t xml:space="preserve"> – </w:t>
      </w:r>
      <w:r>
        <w:rPr>
          <w:b/>
        </w:rPr>
        <w:t xml:space="preserve">OP </w:t>
      </w:r>
      <w:proofErr w:type="spellStart"/>
      <w:r>
        <w:rPr>
          <w:b/>
        </w:rPr>
        <w:t>odtrubnění</w:t>
      </w:r>
      <w:proofErr w:type="spellEnd"/>
    </w:p>
    <w:p w14:paraId="3F278DFB" w14:textId="77777777" w:rsidR="005C7F61" w:rsidRDefault="005C7F61" w:rsidP="005C7F61">
      <w:pPr>
        <w:spacing w:after="0"/>
        <w:ind w:left="492"/>
        <w:jc w:val="both"/>
        <w:rPr>
          <w:bCs/>
        </w:rPr>
      </w:pPr>
      <w:r>
        <w:rPr>
          <w:bCs/>
        </w:rPr>
        <w:t>Plocha opatření cca 0,1335 ha, předmětem úpravy bude realizace otevření soutoku dvou vodních toků vč. vyprofilování nového koryta, revitalizace a osázení vlhkomilnými rostlinami. Celková délka úpravy činí cca 183,0 m.</w:t>
      </w:r>
    </w:p>
    <w:p w14:paraId="5D88D0B1" w14:textId="77777777" w:rsidR="00936FEC" w:rsidRDefault="00936FEC" w:rsidP="00011A48">
      <w:pPr>
        <w:pStyle w:val="Bezmezer"/>
        <w:spacing w:line="288" w:lineRule="auto"/>
        <w:ind w:firstLine="492"/>
        <w:rPr>
          <w:b/>
          <w:bCs/>
        </w:rPr>
      </w:pPr>
    </w:p>
    <w:p w14:paraId="4809B391" w14:textId="77777777" w:rsidR="00F03FBA" w:rsidRPr="00EC5E3E" w:rsidRDefault="00F03FBA" w:rsidP="00BF7045">
      <w:pPr>
        <w:autoSpaceDE w:val="0"/>
        <w:autoSpaceDN w:val="0"/>
        <w:adjustRightInd w:val="0"/>
        <w:spacing w:after="0" w:line="240" w:lineRule="auto"/>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59F34371" w:rsidR="00075B93" w:rsidRDefault="00075B93" w:rsidP="007F5A34">
      <w:pPr>
        <w:ind w:left="1212"/>
        <w:jc w:val="both"/>
        <w:rPr>
          <w:rStyle w:val="l-L2Char"/>
          <w:rFonts w:cs="Arial"/>
          <w:szCs w:val="22"/>
        </w:rPr>
      </w:pPr>
    </w:p>
    <w:p w14:paraId="646F388A" w14:textId="19D8F4F4" w:rsidR="005C7F61" w:rsidRDefault="005C7F61" w:rsidP="007F5A34">
      <w:pPr>
        <w:ind w:left="1212"/>
        <w:jc w:val="both"/>
        <w:rPr>
          <w:rStyle w:val="l-L2Char"/>
          <w:rFonts w:cs="Arial"/>
          <w:szCs w:val="22"/>
        </w:rPr>
      </w:pPr>
    </w:p>
    <w:p w14:paraId="333A00EB" w14:textId="53420DC3" w:rsidR="005C7F61" w:rsidRDefault="005C7F61" w:rsidP="007F5A34">
      <w:pPr>
        <w:ind w:left="1212"/>
        <w:jc w:val="both"/>
        <w:rPr>
          <w:rStyle w:val="l-L2Char"/>
          <w:rFonts w:cs="Arial"/>
          <w:szCs w:val="22"/>
        </w:rPr>
      </w:pPr>
    </w:p>
    <w:p w14:paraId="2816DC3D" w14:textId="77777777" w:rsidR="005C7F61" w:rsidRDefault="005C7F61" w:rsidP="007F5A34">
      <w:pPr>
        <w:ind w:left="1212"/>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7781CAF7"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E50B33">
        <w:rPr>
          <w:rStyle w:val="l-L2Char"/>
          <w:rFonts w:cs="Arial"/>
          <w:b w:val="0"/>
          <w:szCs w:val="22"/>
        </w:rPr>
        <w:t>Ondratice</w:t>
      </w:r>
    </w:p>
    <w:p w14:paraId="08BBC649" w14:textId="404B34F7"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r w:rsidR="00DE28A1">
        <w:rPr>
          <w:rStyle w:val="l-L2Char"/>
          <w:rFonts w:cs="Arial"/>
          <w:b w:val="0"/>
          <w:szCs w:val="22"/>
          <w:u w:val="none"/>
        </w:rPr>
        <w:t>Ge</w:t>
      </w:r>
      <w:r w:rsidR="00DD3F76">
        <w:rPr>
          <w:rStyle w:val="l-L2Char"/>
          <w:rFonts w:cs="Arial"/>
          <w:b w:val="0"/>
          <w:szCs w:val="22"/>
          <w:u w:val="none"/>
        </w:rPr>
        <w:t xml:space="preserve">ošrafo </w:t>
      </w:r>
      <w:r w:rsidR="002F1CD3" w:rsidRPr="002F1CD3">
        <w:rPr>
          <w:rStyle w:val="l-L2Char"/>
          <w:rFonts w:cs="Arial"/>
          <w:b w:val="0"/>
          <w:szCs w:val="22"/>
          <w:u w:val="none"/>
        </w:rPr>
        <w:t>s.r.o.</w:t>
      </w:r>
      <w:r w:rsidR="00DD3F76">
        <w:rPr>
          <w:rStyle w:val="l-L2Char"/>
          <w:rFonts w:cs="Arial"/>
          <w:b w:val="0"/>
          <w:szCs w:val="22"/>
          <w:u w:val="none"/>
        </w:rPr>
        <w:t>, Hradec Králové</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47810B5F"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bookmarkStart w:id="9" w:name="_Hlk29371828"/>
      <w:r w:rsidR="00DD3F76">
        <w:rPr>
          <w:rStyle w:val="l-L2Char"/>
          <w:rFonts w:cs="Arial"/>
          <w:b w:val="0"/>
          <w:szCs w:val="22"/>
          <w:u w:val="none"/>
        </w:rPr>
        <w:t xml:space="preserve">Geošrafo </w:t>
      </w:r>
      <w:r w:rsidR="00DD3F76" w:rsidRPr="002F1CD3">
        <w:rPr>
          <w:rStyle w:val="l-L2Char"/>
          <w:rFonts w:cs="Arial"/>
          <w:b w:val="0"/>
          <w:szCs w:val="22"/>
          <w:u w:val="none"/>
        </w:rPr>
        <w:t>s.r.o.</w:t>
      </w:r>
      <w:r w:rsidR="00DD3F76">
        <w:rPr>
          <w:rStyle w:val="l-L2Char"/>
          <w:rFonts w:cs="Arial"/>
          <w:b w:val="0"/>
          <w:szCs w:val="22"/>
          <w:u w:val="none"/>
        </w:rPr>
        <w:t>, Hradec Králové</w:t>
      </w:r>
      <w:r w:rsidR="00DD3F76" w:rsidRPr="00C25197">
        <w:rPr>
          <w:rStyle w:val="l-L2Char"/>
          <w:rFonts w:cs="Arial"/>
          <w:b w:val="0"/>
          <w:szCs w:val="22"/>
          <w:u w:val="none"/>
        </w:rPr>
        <w:t xml:space="preserve"> </w:t>
      </w:r>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E50B33">
        <w:rPr>
          <w:rStyle w:val="l-L2Char"/>
          <w:rFonts w:cs="Arial"/>
          <w:b w:val="0"/>
          <w:szCs w:val="22"/>
          <w:u w:val="none"/>
        </w:rPr>
        <w:t>Ondratice</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14558164"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V rámci pozemkových úprav 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3C42DA53"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sidR="00FC3276">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6BBE819C" w:rsidR="00ED6754" w:rsidRDefault="00ED6754" w:rsidP="00ED6754">
      <w:pPr>
        <w:widowControl w:val="0"/>
        <w:suppressAutoHyphens/>
        <w:spacing w:before="120" w:line="276" w:lineRule="auto"/>
        <w:rPr>
          <w:rFonts w:eastAsia="Lucida Sans Unicode" w:cs="Arial"/>
          <w:bCs/>
          <w:szCs w:val="22"/>
        </w:rPr>
      </w:pPr>
    </w:p>
    <w:sectPr w:rsidR="00ED6754">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3927D" w14:textId="77777777" w:rsidR="009555D9" w:rsidRDefault="009555D9">
      <w:r>
        <w:separator/>
      </w:r>
    </w:p>
  </w:endnote>
  <w:endnote w:type="continuationSeparator" w:id="0">
    <w:p w14:paraId="3D6F97B1" w14:textId="77777777" w:rsidR="009555D9" w:rsidRDefault="009555D9">
      <w:r>
        <w:continuationSeparator/>
      </w:r>
    </w:p>
  </w:endnote>
  <w:endnote w:type="continuationNotice" w:id="1">
    <w:p w14:paraId="175CD567" w14:textId="77777777" w:rsidR="009555D9" w:rsidRDefault="009555D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1DCB0" w14:textId="77777777" w:rsidR="009555D9" w:rsidRDefault="009555D9">
      <w:r>
        <w:separator/>
      </w:r>
    </w:p>
  </w:footnote>
  <w:footnote w:type="continuationSeparator" w:id="0">
    <w:p w14:paraId="7FE89DB3" w14:textId="77777777" w:rsidR="009555D9" w:rsidRDefault="009555D9">
      <w:r>
        <w:continuationSeparator/>
      </w:r>
    </w:p>
  </w:footnote>
  <w:footnote w:type="continuationNotice" w:id="1">
    <w:p w14:paraId="2D6BC0C4" w14:textId="77777777" w:rsidR="009555D9" w:rsidRDefault="009555D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10D8"/>
    <w:rsid w:val="000475F1"/>
    <w:rsid w:val="000524D5"/>
    <w:rsid w:val="00052B14"/>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65A2"/>
    <w:rsid w:val="000A787C"/>
    <w:rsid w:val="000B2FE7"/>
    <w:rsid w:val="000B713E"/>
    <w:rsid w:val="000B7640"/>
    <w:rsid w:val="000C108E"/>
    <w:rsid w:val="000C1A9F"/>
    <w:rsid w:val="000C3B9B"/>
    <w:rsid w:val="000C7CAD"/>
    <w:rsid w:val="000D158B"/>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56C21"/>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22AA"/>
    <w:rsid w:val="004C48D6"/>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2A4"/>
    <w:rsid w:val="00597BDF"/>
    <w:rsid w:val="005A0043"/>
    <w:rsid w:val="005A1830"/>
    <w:rsid w:val="005A32C1"/>
    <w:rsid w:val="005A39AC"/>
    <w:rsid w:val="005A7706"/>
    <w:rsid w:val="005B1884"/>
    <w:rsid w:val="005B3785"/>
    <w:rsid w:val="005B4AD0"/>
    <w:rsid w:val="005B692A"/>
    <w:rsid w:val="005C4E34"/>
    <w:rsid w:val="005C66B1"/>
    <w:rsid w:val="005C7F61"/>
    <w:rsid w:val="005D4D93"/>
    <w:rsid w:val="005D5020"/>
    <w:rsid w:val="005D6EED"/>
    <w:rsid w:val="005E1914"/>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0BF"/>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6F7F1F"/>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562D"/>
    <w:rsid w:val="0074683B"/>
    <w:rsid w:val="00750233"/>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6779"/>
    <w:rsid w:val="0078723B"/>
    <w:rsid w:val="00790CC9"/>
    <w:rsid w:val="0079106B"/>
    <w:rsid w:val="00792016"/>
    <w:rsid w:val="00795EEE"/>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1908"/>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55A97"/>
    <w:rsid w:val="008615AE"/>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36FEC"/>
    <w:rsid w:val="00940019"/>
    <w:rsid w:val="00940556"/>
    <w:rsid w:val="00941A95"/>
    <w:rsid w:val="00951789"/>
    <w:rsid w:val="00952520"/>
    <w:rsid w:val="0095373F"/>
    <w:rsid w:val="00953EC8"/>
    <w:rsid w:val="009555D9"/>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045"/>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57FC1"/>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A51FE"/>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833D5"/>
    <w:rsid w:val="00D95427"/>
    <w:rsid w:val="00D95953"/>
    <w:rsid w:val="00DA404F"/>
    <w:rsid w:val="00DB2E76"/>
    <w:rsid w:val="00DB31DA"/>
    <w:rsid w:val="00DB3718"/>
    <w:rsid w:val="00DB40C0"/>
    <w:rsid w:val="00DB4A73"/>
    <w:rsid w:val="00DB544E"/>
    <w:rsid w:val="00DC0156"/>
    <w:rsid w:val="00DC2688"/>
    <w:rsid w:val="00DD200E"/>
    <w:rsid w:val="00DD3F76"/>
    <w:rsid w:val="00DD696F"/>
    <w:rsid w:val="00DD78F0"/>
    <w:rsid w:val="00DE04FD"/>
    <w:rsid w:val="00DE06E9"/>
    <w:rsid w:val="00DE1361"/>
    <w:rsid w:val="00DE17AF"/>
    <w:rsid w:val="00DE24B6"/>
    <w:rsid w:val="00DE28A1"/>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0B33"/>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4A7E"/>
    <w:rsid w:val="00FB515C"/>
    <w:rsid w:val="00FC0B97"/>
    <w:rsid w:val="00FC3276"/>
    <w:rsid w:val="00FC6B30"/>
    <w:rsid w:val="00FC7228"/>
    <w:rsid w:val="00FD20AF"/>
    <w:rsid w:val="00FD2100"/>
    <w:rsid w:val="00FD2BEE"/>
    <w:rsid w:val="00FD32B1"/>
    <w:rsid w:val="00FD4C87"/>
    <w:rsid w:val="00FD5197"/>
    <w:rsid w:val="00FD70B5"/>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customXml/itemProps4.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16</Pages>
  <Words>5213</Words>
  <Characters>30761</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102</cp:revision>
  <cp:lastPrinted>2019-08-15T11:56:00Z</cp:lastPrinted>
  <dcterms:created xsi:type="dcterms:W3CDTF">2020-03-12T12:46:00Z</dcterms:created>
  <dcterms:modified xsi:type="dcterms:W3CDTF">2022-05-30T14:43:00Z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