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E867F" w14:textId="77777777" w:rsidR="005E2F8D" w:rsidRPr="00A43A6D" w:rsidRDefault="005E2F8D" w:rsidP="005E2F8D">
      <w:pPr>
        <w:pStyle w:val="Zkladntext"/>
        <w:spacing w:line="276" w:lineRule="auto"/>
        <w:jc w:val="right"/>
        <w:rPr>
          <w:rFonts w:ascii="Calibri" w:hAnsi="Calibri" w:cs="Calibri"/>
          <w:sz w:val="16"/>
          <w:szCs w:val="16"/>
        </w:rPr>
      </w:pPr>
      <w:r w:rsidRPr="00CF15FA">
        <w:rPr>
          <w:szCs w:val="24"/>
        </w:rPr>
        <w:tab/>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1086E6E4" w14:textId="07A2AD2F"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Děčín a Litoměřice</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3E1FFDD4" w14:textId="77777777" w:rsidR="00D25E76" w:rsidRPr="00377FB9" w:rsidRDefault="005E2F8D" w:rsidP="00377FB9">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D25E76" w:rsidRPr="00377FB9">
        <w:rPr>
          <w:rFonts w:ascii="Arial" w:eastAsia="Times New Roman" w:hAnsi="Arial" w:cs="Arial"/>
          <w:b/>
          <w:bCs/>
          <w:lang w:eastAsia="cs-CZ"/>
        </w:rPr>
        <w:t>Ing. Pavel Pojer</w:t>
      </w:r>
    </w:p>
    <w:p w14:paraId="70CFA37D" w14:textId="65ACD86C" w:rsidR="00D25E76" w:rsidRPr="00377FB9" w:rsidRDefault="00D25E76" w:rsidP="00377FB9">
      <w:pPr>
        <w:spacing w:line="240" w:lineRule="auto"/>
        <w:ind w:left="2832" w:firstLine="708"/>
        <w:jc w:val="both"/>
        <w:rPr>
          <w:rFonts w:ascii="Arial" w:eastAsia="Times New Roman" w:hAnsi="Arial" w:cs="Arial"/>
          <w:lang w:eastAsia="cs-CZ"/>
        </w:rPr>
      </w:pPr>
      <w:r w:rsidRPr="00377FB9">
        <w:rPr>
          <w:rFonts w:ascii="Arial" w:eastAsia="Times New Roman" w:hAnsi="Arial" w:cs="Arial"/>
          <w:lang w:eastAsia="cs-CZ"/>
        </w:rPr>
        <w:t>ředitel KPÚ pro Ústecký kraj</w:t>
      </w:r>
      <w:r w:rsidRPr="00377FB9">
        <w:rPr>
          <w:rFonts w:ascii="Arial" w:eastAsia="Times New Roman" w:hAnsi="Arial" w:cs="Arial"/>
          <w:lang w:eastAsia="cs-CZ"/>
        </w:rPr>
        <w:tab/>
      </w:r>
    </w:p>
    <w:p w14:paraId="1A2FD6D3" w14:textId="39BF217E" w:rsidR="00D25E76" w:rsidRPr="00377FB9" w:rsidRDefault="005E2F8D" w:rsidP="00377FB9">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413335" w:rsidRPr="00377FB9">
        <w:rPr>
          <w:rFonts w:ascii="Arial" w:eastAsia="Times New Roman" w:hAnsi="Arial" w:cs="Arial"/>
          <w:b/>
          <w:bCs/>
          <w:lang w:eastAsia="cs-CZ"/>
        </w:rPr>
        <w:t>Ing. Jiří Pavliš, DiS.</w:t>
      </w:r>
    </w:p>
    <w:p w14:paraId="3D700CF0" w14:textId="727074FA" w:rsidR="00413335" w:rsidRPr="00377FB9" w:rsidRDefault="00413335" w:rsidP="00413335">
      <w:pPr>
        <w:tabs>
          <w:tab w:val="left" w:pos="284"/>
          <w:tab w:val="left" w:pos="3544"/>
          <w:tab w:val="left" w:pos="4536"/>
        </w:tabs>
        <w:spacing w:line="240" w:lineRule="auto"/>
        <w:ind w:left="2552" w:hanging="2552"/>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377FB9">
        <w:rPr>
          <w:rFonts w:ascii="Arial" w:eastAsia="Times New Roman" w:hAnsi="Arial" w:cs="Arial"/>
          <w:lang w:eastAsia="cs-CZ"/>
        </w:rPr>
        <w:t xml:space="preserve">vedoucí oddělení správy majetku státu </w:t>
      </w:r>
    </w:p>
    <w:p w14:paraId="3006B195" w14:textId="632C451A" w:rsidR="00D25E76" w:rsidRPr="00377FB9" w:rsidRDefault="005E2F8D"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413335">
        <w:rPr>
          <w:rFonts w:ascii="Arial" w:eastAsia="Times New Roman" w:hAnsi="Arial" w:cs="Arial"/>
          <w:lang w:eastAsia="cs-CZ"/>
        </w:rPr>
        <w:t xml:space="preserve">DC: Ing. Sladký David, </w:t>
      </w:r>
      <w:r w:rsidR="00413335" w:rsidRPr="00386BDB">
        <w:rPr>
          <w:rFonts w:ascii="Arial" w:hAnsi="Arial" w:cs="Arial"/>
        </w:rPr>
        <w:t>+420 725 901 533</w:t>
      </w:r>
    </w:p>
    <w:p w14:paraId="0BD76B16" w14:textId="4F9E5884" w:rsidR="00D25E76" w:rsidRPr="00377FB9" w:rsidRDefault="00D25E76"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                                                          </w:t>
      </w:r>
      <w:r w:rsidR="00413335">
        <w:rPr>
          <w:rFonts w:ascii="Arial" w:eastAsia="Times New Roman" w:hAnsi="Arial" w:cs="Arial"/>
          <w:lang w:eastAsia="cs-CZ"/>
        </w:rPr>
        <w:t>LTM: Hamza Lukáš,</w:t>
      </w:r>
      <w:r w:rsidR="00413335" w:rsidRPr="00413335">
        <w:rPr>
          <w:rFonts w:ascii="Arial" w:hAnsi="Arial" w:cs="Arial"/>
        </w:rPr>
        <w:t xml:space="preserve"> </w:t>
      </w:r>
      <w:r w:rsidR="00413335" w:rsidRPr="007B2D3E">
        <w:rPr>
          <w:rFonts w:ascii="Arial" w:hAnsi="Arial" w:cs="Arial"/>
        </w:rPr>
        <w:t>+420 727 956 775</w:t>
      </w:r>
      <w:r w:rsidR="00413335">
        <w:rPr>
          <w:rFonts w:ascii="Arial" w:eastAsia="Times New Roman" w:hAnsi="Arial" w:cs="Arial"/>
          <w:lang w:eastAsia="cs-CZ"/>
        </w:rPr>
        <w:t xml:space="preserve"> </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lastRenderedPageBreak/>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2A38AFC5"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r w:rsidR="00377FB9">
        <w:rPr>
          <w:rFonts w:ascii="Arial" w:hAnsi="Arial" w:cs="Arial"/>
          <w:b/>
          <w:bCs/>
          <w:snapToGrid w:val="0"/>
          <w:lang w:val="en-US"/>
        </w:rPr>
        <w:t>okrese Děčín a Litoměřice</w:t>
      </w:r>
      <w:r w:rsidRPr="006E4FF3">
        <w:rPr>
          <w:rFonts w:ascii="Arial" w:hAnsi="Arial" w:cs="Arial"/>
        </w:rPr>
        <w:t xml:space="preserve">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26D26554"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Pr="006E4FF3">
        <w:rPr>
          <w:rFonts w:ascii="Arial" w:hAnsi="Arial" w:cs="Arial"/>
          <w:b/>
          <w:sz w:val="22"/>
          <w:szCs w:val="22"/>
        </w:rPr>
        <w:t>Zajištění údržby pozemků v </w:t>
      </w:r>
      <w:r w:rsidR="00377FB9">
        <w:rPr>
          <w:rFonts w:ascii="Arial" w:hAnsi="Arial" w:cs="Arial"/>
          <w:b/>
          <w:bCs/>
          <w:snapToGrid w:val="0"/>
          <w:lang w:val="en-US"/>
        </w:rPr>
        <w:t>okrese Děčín a Litoměřice</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1DE986DD"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7261A2" w:rsidRPr="007261A2">
        <w:rPr>
          <w:rFonts w:ascii="Arial" w:hAnsi="Arial" w:cs="Arial"/>
          <w:b/>
          <w:bCs/>
          <w:sz w:val="22"/>
          <w:szCs w:val="22"/>
        </w:rPr>
        <w:t>Děčín a Litoměřice</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6C9CDE7E"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003252B1" w:rsidRPr="003252B1">
        <w:rPr>
          <w:rFonts w:ascii="Arial" w:hAnsi="Arial" w:cs="Arial"/>
          <w:i/>
          <w:sz w:val="22"/>
          <w:szCs w:val="22"/>
        </w:rPr>
        <w:t>(vybrat služby z níže uvedeného seznamu, popřípadě doplnit)</w:t>
      </w:r>
      <w:r w:rsidRPr="006E4FF3">
        <w:rPr>
          <w:rFonts w:ascii="Arial" w:hAnsi="Arial" w:cs="Arial"/>
          <w:sz w:val="22"/>
          <w:szCs w:val="22"/>
        </w:rPr>
        <w:t xml:space="preserve"> </w:t>
      </w:r>
    </w:p>
    <w:p w14:paraId="358F2AFE" w14:textId="77777777"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6B0D7EE"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w:t>
      </w:r>
      <w:r w:rsidRPr="007261A2">
        <w:rPr>
          <w:rFonts w:ascii="Arial" w:hAnsi="Arial" w:cs="Arial"/>
          <w:sz w:val="22"/>
          <w:szCs w:val="22"/>
        </w:rPr>
        <w:t xml:space="preserve">okresů </w:t>
      </w:r>
      <w:r w:rsidR="007261A2" w:rsidRPr="007261A2">
        <w:rPr>
          <w:rFonts w:ascii="Arial" w:hAnsi="Arial" w:cs="Arial"/>
          <w:sz w:val="22"/>
          <w:szCs w:val="22"/>
          <w:shd w:val="clear" w:color="auto" w:fill="FFFFFF"/>
        </w:rPr>
        <w:t>Děčín a Litoměřice</w:t>
      </w:r>
      <w:r w:rsidRPr="007261A2">
        <w:rPr>
          <w:rFonts w:ascii="Arial" w:hAnsi="Arial" w:cs="Arial"/>
          <w:b/>
          <w:bCs/>
          <w:snapToGrid w:val="0"/>
          <w:sz w:val="22"/>
          <w:szCs w:val="22"/>
          <w:lang w:val="en-US"/>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FF2E67F"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31.12.2024</w:t>
      </w:r>
    </w:p>
    <w:p w14:paraId="58931098" w14:textId="77777777" w:rsidR="00CA53E0" w:rsidRPr="00CA53E0" w:rsidRDefault="00CA53E0" w:rsidP="00CA53E0">
      <w:pPr>
        <w:pStyle w:val="Odstavecseseznamem"/>
        <w:rPr>
          <w:rFonts w:ascii="Arial" w:hAnsi="Arial" w:cs="Arial"/>
          <w:color w:val="000000"/>
        </w:rPr>
      </w:pPr>
    </w:p>
    <w:p w14:paraId="7D97B681" w14:textId="6DD10C1D"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lastRenderedPageBreak/>
        <w:t xml:space="preserve">Platnost a účinnost této smlouvy končí uplynutím doby, na kterou byla tato smlouva uzavřena, nebo vyčerpáním částky </w:t>
      </w:r>
      <w:r w:rsidR="007261A2" w:rsidRPr="007261A2">
        <w:rPr>
          <w:rFonts w:ascii="Arial" w:hAnsi="Arial" w:cs="Arial"/>
          <w:b/>
          <w:bCs/>
          <w:iCs/>
          <w:sz w:val="22"/>
          <w:szCs w:val="22"/>
          <w:shd w:val="clear" w:color="auto" w:fill="FFFFFF"/>
        </w:rPr>
        <w:t>500 000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7261A2">
        <w:rPr>
          <w:rFonts w:ascii="Arial" w:hAnsi="Arial" w:cs="Arial"/>
          <w:color w:val="000000"/>
          <w:sz w:val="22"/>
          <w:szCs w:val="22"/>
        </w:rPr>
        <w:t xml:space="preserve">pět set tisíc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3DB7EBD1"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BB2F40" w:rsidRPr="00BB2F40">
        <w:rPr>
          <w:sz w:val="22"/>
          <w:szCs w:val="22"/>
        </w:rPr>
        <w:t>500 000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lastRenderedPageBreak/>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w:t>
      </w:r>
      <w:r w:rsidRPr="00F46B03">
        <w:rPr>
          <w:sz w:val="22"/>
          <w:szCs w:val="22"/>
        </w:rPr>
        <w:lastRenderedPageBreak/>
        <w:t xml:space="preserve">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5C119C3F" w:rsidR="00BB2F40" w:rsidRPr="00D13ED9" w:rsidRDefault="00BB2F40" w:rsidP="00D13ED9">
      <w:pPr>
        <w:pStyle w:val="Default"/>
        <w:spacing w:line="276" w:lineRule="auto"/>
        <w:jc w:val="both"/>
        <w:rPr>
          <w:sz w:val="22"/>
          <w:szCs w:val="22"/>
        </w:rPr>
      </w:pPr>
      <w:r w:rsidRPr="00D13ED9">
        <w:rPr>
          <w:sz w:val="22"/>
          <w:szCs w:val="22"/>
        </w:rPr>
        <w:t>Adresa pro doručení faktury</w:t>
      </w:r>
      <w:r w:rsidR="00D13ED9">
        <w:rPr>
          <w:sz w:val="22"/>
          <w:szCs w:val="22"/>
        </w:rPr>
        <w:t xml:space="preserve"> při plnění v okrese </w:t>
      </w:r>
      <w:r w:rsidR="00D13ED9" w:rsidRPr="00D13ED9">
        <w:rPr>
          <w:b/>
          <w:bCs/>
          <w:sz w:val="22"/>
          <w:szCs w:val="22"/>
        </w:rPr>
        <w:t>Děčín</w:t>
      </w:r>
      <w:r w:rsidRPr="00D13ED9">
        <w:rPr>
          <w:sz w:val="22"/>
          <w:szCs w:val="22"/>
        </w:rPr>
        <w:t>: Státní pozemkový úřad, Krajský pozemkový úřad pro Ústecký kraj, Pobočka Děčín, 28. října 979/19, 405 01 Děčín.</w:t>
      </w:r>
    </w:p>
    <w:p w14:paraId="09855B70" w14:textId="77777777" w:rsidR="00D13ED9" w:rsidRDefault="00D13ED9" w:rsidP="00D13ED9">
      <w:pPr>
        <w:pStyle w:val="Default"/>
        <w:spacing w:line="276" w:lineRule="auto"/>
        <w:jc w:val="both"/>
        <w:rPr>
          <w:sz w:val="22"/>
          <w:szCs w:val="22"/>
        </w:rPr>
      </w:pPr>
    </w:p>
    <w:p w14:paraId="7A8C220D" w14:textId="4742142B" w:rsidR="00BB2F40" w:rsidRPr="00D13ED9" w:rsidRDefault="00BB2F40" w:rsidP="00D13ED9">
      <w:pPr>
        <w:pStyle w:val="Default"/>
        <w:spacing w:line="276" w:lineRule="auto"/>
        <w:jc w:val="both"/>
        <w:rPr>
          <w:sz w:val="22"/>
          <w:szCs w:val="22"/>
        </w:rPr>
      </w:pPr>
      <w:r w:rsidRPr="00D13ED9">
        <w:rPr>
          <w:sz w:val="22"/>
          <w:szCs w:val="22"/>
        </w:rPr>
        <w:t>Adresa pro doručení faktury</w:t>
      </w:r>
      <w:r w:rsidR="00D93BC0">
        <w:rPr>
          <w:sz w:val="22"/>
          <w:szCs w:val="22"/>
        </w:rPr>
        <w:t xml:space="preserve"> při plnění v okrese </w:t>
      </w:r>
      <w:r w:rsidR="00D93BC0" w:rsidRPr="00D93BC0">
        <w:rPr>
          <w:b/>
          <w:bCs/>
          <w:sz w:val="22"/>
          <w:szCs w:val="22"/>
        </w:rPr>
        <w:t>Litoměřice</w:t>
      </w:r>
      <w:r w:rsidRPr="00D13ED9">
        <w:rPr>
          <w:sz w:val="22"/>
          <w:szCs w:val="22"/>
        </w:rPr>
        <w:t xml:space="preserve">: Státní pozemkový úřad, Krajský pozemkový úřad pro Ústecký kraj, Pobočka Litoměřice, Velká Krajská 44/1, 412 01 Litoměřice </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4AA11D99"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D93BC0" w:rsidRPr="00D93BC0">
        <w:rPr>
          <w:b/>
          <w:bCs/>
          <w:sz w:val="22"/>
          <w:szCs w:val="22"/>
          <w:shd w:val="clear" w:color="auto" w:fill="FFFFFF"/>
        </w:rPr>
        <w:t>500 000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w:t>
      </w:r>
      <w:r w:rsidRPr="00735115">
        <w:rPr>
          <w:sz w:val="22"/>
          <w:szCs w:val="22"/>
        </w:rPr>
        <w:lastRenderedPageBreak/>
        <w:t xml:space="preserve">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06391187" w:rsidR="00D96B58"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5662179F" w14:textId="77777777" w:rsidR="004E4047" w:rsidRPr="00735115" w:rsidRDefault="004E4047" w:rsidP="004E4047">
      <w:pPr>
        <w:pStyle w:val="Default"/>
        <w:spacing w:line="276" w:lineRule="auto"/>
        <w:jc w:val="both"/>
        <w:rPr>
          <w:sz w:val="22"/>
          <w:szCs w:val="22"/>
        </w:rPr>
      </w:pPr>
    </w:p>
    <w:p w14:paraId="71057FBA" w14:textId="402B4591" w:rsidR="00D93BC0" w:rsidRPr="00D13ED9" w:rsidRDefault="004E4047" w:rsidP="00D93BC0">
      <w:pPr>
        <w:pStyle w:val="Default"/>
        <w:spacing w:line="276" w:lineRule="auto"/>
        <w:jc w:val="both"/>
        <w:rPr>
          <w:sz w:val="22"/>
          <w:szCs w:val="22"/>
        </w:rPr>
      </w:pPr>
      <w:r>
        <w:rPr>
          <w:sz w:val="22"/>
          <w:szCs w:val="22"/>
        </w:rPr>
        <w:t>Fakturační a</w:t>
      </w:r>
      <w:r w:rsidR="00D93BC0" w:rsidRPr="00D13ED9">
        <w:rPr>
          <w:sz w:val="22"/>
          <w:szCs w:val="22"/>
        </w:rPr>
        <w:t xml:space="preserve">dresa </w:t>
      </w:r>
      <w:r w:rsidR="00D93BC0">
        <w:rPr>
          <w:sz w:val="22"/>
          <w:szCs w:val="22"/>
        </w:rPr>
        <w:t xml:space="preserve">při plnění v okrese </w:t>
      </w:r>
      <w:r w:rsidR="00D93BC0" w:rsidRPr="00D13ED9">
        <w:rPr>
          <w:b/>
          <w:bCs/>
          <w:sz w:val="22"/>
          <w:szCs w:val="22"/>
        </w:rPr>
        <w:t>Děčín</w:t>
      </w:r>
      <w:r w:rsidR="00D93BC0" w:rsidRPr="00D13ED9">
        <w:rPr>
          <w:sz w:val="22"/>
          <w:szCs w:val="22"/>
        </w:rPr>
        <w:t>: Státní pozemkový úřad, Krajský pozemkový úřad pro Ústecký kraj, Pobočka Děčín, 28. října 979/19, 405 01 Děčín.</w:t>
      </w:r>
    </w:p>
    <w:p w14:paraId="305EB692" w14:textId="77777777" w:rsidR="004E4047" w:rsidRDefault="004E4047" w:rsidP="00D93BC0">
      <w:pPr>
        <w:pStyle w:val="Default"/>
        <w:spacing w:line="276" w:lineRule="auto"/>
        <w:jc w:val="both"/>
        <w:rPr>
          <w:sz w:val="22"/>
          <w:szCs w:val="22"/>
        </w:rPr>
      </w:pPr>
    </w:p>
    <w:p w14:paraId="164E21D2" w14:textId="0D255B19" w:rsidR="00D93BC0" w:rsidRPr="00D13ED9" w:rsidRDefault="004E4047" w:rsidP="00D93BC0">
      <w:pPr>
        <w:pStyle w:val="Default"/>
        <w:spacing w:line="276" w:lineRule="auto"/>
        <w:jc w:val="both"/>
        <w:rPr>
          <w:sz w:val="22"/>
          <w:szCs w:val="22"/>
        </w:rPr>
      </w:pPr>
      <w:r>
        <w:rPr>
          <w:sz w:val="22"/>
          <w:szCs w:val="22"/>
        </w:rPr>
        <w:t>Fakturační a</w:t>
      </w:r>
      <w:r w:rsidR="00D93BC0" w:rsidRPr="00D13ED9">
        <w:rPr>
          <w:sz w:val="22"/>
          <w:szCs w:val="22"/>
        </w:rPr>
        <w:t xml:space="preserve">dresa </w:t>
      </w:r>
      <w:r w:rsidR="00D93BC0">
        <w:rPr>
          <w:sz w:val="22"/>
          <w:szCs w:val="22"/>
        </w:rPr>
        <w:t xml:space="preserve">při plnění v okrese </w:t>
      </w:r>
      <w:r w:rsidR="00D93BC0" w:rsidRPr="00D93BC0">
        <w:rPr>
          <w:b/>
          <w:bCs/>
          <w:sz w:val="22"/>
          <w:szCs w:val="22"/>
        </w:rPr>
        <w:t>Litoměřice</w:t>
      </w:r>
      <w:r w:rsidR="00D93BC0" w:rsidRPr="00D13ED9">
        <w:rPr>
          <w:sz w:val="22"/>
          <w:szCs w:val="22"/>
        </w:rPr>
        <w:t xml:space="preserve">: Státní pozemkový úřad, Krajský pozemkový úřad pro Ústecký kraj, Pobočka Litoměřice, Velká Krajská 44/1, 412 01 Litoměřice </w:t>
      </w:r>
    </w:p>
    <w:p w14:paraId="467AD335" w14:textId="77777777" w:rsidR="00D93BC0" w:rsidRPr="00D93BC0" w:rsidRDefault="00D93BC0" w:rsidP="00735115">
      <w:pPr>
        <w:autoSpaceDE w:val="0"/>
        <w:autoSpaceDN w:val="0"/>
        <w:adjustRightInd w:val="0"/>
        <w:spacing w:line="276" w:lineRule="auto"/>
        <w:jc w:val="both"/>
        <w:rPr>
          <w:rFonts w:ascii="Arial" w:hAnsi="Arial" w:cs="Arial"/>
          <w:color w:val="000000"/>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lastRenderedPageBreak/>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w:t>
      </w:r>
      <w:r w:rsidRPr="006F7084">
        <w:rPr>
          <w:rFonts w:ascii="Arial" w:hAnsi="Arial" w:cs="Arial"/>
          <w:color w:val="000000"/>
          <w:sz w:val="22"/>
          <w:szCs w:val="22"/>
        </w:rPr>
        <w:lastRenderedPageBreak/>
        <w:t xml:space="preserve">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12D62179"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9B55BC" w:rsidRPr="009B55BC">
        <w:rPr>
          <w:rFonts w:ascii="Arial" w:hAnsi="Arial" w:cs="Arial"/>
          <w:b/>
          <w:bCs/>
          <w:sz w:val="22"/>
          <w:szCs w:val="22"/>
          <w:shd w:val="clear" w:color="auto" w:fill="FFFFFF"/>
        </w:rPr>
        <w:t>2 000 000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 xml:space="preserve">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w:t>
      </w:r>
      <w:r w:rsidR="00B25011" w:rsidRPr="0081387D">
        <w:rPr>
          <w:rFonts w:ascii="Arial" w:hAnsi="Arial" w:cs="Arial"/>
          <w:sz w:val="22"/>
          <w:szCs w:val="22"/>
          <w:highlight w:val="yellow"/>
        </w:rPr>
        <w:lastRenderedPageBreak/>
        <w:t>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73C5D4CA" w14:textId="02AC78C6" w:rsidR="009B55BC" w:rsidRPr="002573AA" w:rsidRDefault="009B55BC" w:rsidP="009B55BC">
      <w:pPr>
        <w:pStyle w:val="Odstavecseseznamem"/>
        <w:autoSpaceDE w:val="0"/>
        <w:autoSpaceDN w:val="0"/>
        <w:adjustRightInd w:val="0"/>
        <w:spacing w:line="276" w:lineRule="auto"/>
        <w:ind w:left="0"/>
        <w:jc w:val="both"/>
        <w:rPr>
          <w:rFonts w:ascii="Arial" w:hAnsi="Arial" w:cs="Arial"/>
          <w:b/>
          <w:bCs/>
          <w:sz w:val="22"/>
          <w:szCs w:val="22"/>
        </w:rPr>
      </w:pPr>
      <w:r w:rsidRPr="002573AA">
        <w:rPr>
          <w:rFonts w:ascii="Arial" w:hAnsi="Arial" w:cs="Arial"/>
          <w:b/>
          <w:bCs/>
          <w:sz w:val="22"/>
          <w:szCs w:val="22"/>
        </w:rPr>
        <w:t>Ing. Pavel Pojer</w:t>
      </w:r>
    </w:p>
    <w:p w14:paraId="22D957C4" w14:textId="0AC91539" w:rsidR="005E2F8D" w:rsidRPr="002573AA" w:rsidRDefault="002573AA" w:rsidP="005E2F8D">
      <w:pPr>
        <w:spacing w:line="276" w:lineRule="auto"/>
        <w:rPr>
          <w:rFonts w:ascii="Arial" w:hAnsi="Arial" w:cs="Arial"/>
          <w:bCs/>
        </w:rPr>
      </w:pPr>
      <w:r w:rsidRPr="002573AA">
        <w:rPr>
          <w:rFonts w:ascii="Arial" w:hAnsi="Arial" w:cs="Arial"/>
          <w:bCs/>
        </w:rPr>
        <w:t>ředitel KPÚ pro Ústecký kraj</w:t>
      </w:r>
      <w:r w:rsidR="005E2F8D" w:rsidRPr="002573AA">
        <w:rPr>
          <w:rFonts w:ascii="Arial" w:hAnsi="Arial" w:cs="Arial"/>
          <w:bCs/>
        </w:rPr>
        <w:t xml:space="preserve">                                                                </w:t>
      </w:r>
    </w:p>
    <w:p w14:paraId="0708C2D0" w14:textId="7AAEB146"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2920A499" w14:textId="5F3FE0FB"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lastRenderedPageBreak/>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 dne ……………..</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BE4A15">
      <w:headerReference w:type="default" r:id="rId8"/>
      <w:footerReference w:type="even" r:id="rId9"/>
      <w:footerReference w:type="default" r:id="rId10"/>
      <w:headerReference w:type="first" r:id="rId11"/>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7027C" w14:textId="4C7BE9C7" w:rsidR="00BE4A15" w:rsidRDefault="00BE4A15">
    <w:pPr>
      <w:pStyle w:val="Zhlav"/>
    </w:pPr>
  </w:p>
  <w:p w14:paraId="5417DFB5" w14:textId="77777777" w:rsidR="00BE4A15" w:rsidRDefault="00BE4A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r>
      <w:rPr>
        <w:rFonts w:ascii="Arial" w:hAnsi="Arial" w:cs="Arial"/>
      </w:rPr>
      <w:t>11a</w:t>
    </w:r>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0D6A3B"/>
    <w:rsid w:val="0012565E"/>
    <w:rsid w:val="001A539D"/>
    <w:rsid w:val="001C6B5F"/>
    <w:rsid w:val="002573AA"/>
    <w:rsid w:val="00270407"/>
    <w:rsid w:val="00272813"/>
    <w:rsid w:val="00275F05"/>
    <w:rsid w:val="002F6E64"/>
    <w:rsid w:val="0030179F"/>
    <w:rsid w:val="003252B1"/>
    <w:rsid w:val="00343A88"/>
    <w:rsid w:val="00346608"/>
    <w:rsid w:val="00363E7B"/>
    <w:rsid w:val="00365D05"/>
    <w:rsid w:val="00377FB9"/>
    <w:rsid w:val="003D6177"/>
    <w:rsid w:val="003E22DF"/>
    <w:rsid w:val="004008D2"/>
    <w:rsid w:val="004062CA"/>
    <w:rsid w:val="00413335"/>
    <w:rsid w:val="00496A7F"/>
    <w:rsid w:val="004C16B6"/>
    <w:rsid w:val="004E4047"/>
    <w:rsid w:val="00536BBE"/>
    <w:rsid w:val="005B3D65"/>
    <w:rsid w:val="005E2F8D"/>
    <w:rsid w:val="005F584E"/>
    <w:rsid w:val="006542C0"/>
    <w:rsid w:val="006C4509"/>
    <w:rsid w:val="006E4FF3"/>
    <w:rsid w:val="006F7084"/>
    <w:rsid w:val="00700975"/>
    <w:rsid w:val="007261A2"/>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B55BC"/>
    <w:rsid w:val="00A30D83"/>
    <w:rsid w:val="00A55627"/>
    <w:rsid w:val="00A974E1"/>
    <w:rsid w:val="00AE3EAB"/>
    <w:rsid w:val="00AE5369"/>
    <w:rsid w:val="00AF6033"/>
    <w:rsid w:val="00B25011"/>
    <w:rsid w:val="00B44797"/>
    <w:rsid w:val="00B8268B"/>
    <w:rsid w:val="00BB03B1"/>
    <w:rsid w:val="00BB2F40"/>
    <w:rsid w:val="00BD5B0C"/>
    <w:rsid w:val="00BE4A15"/>
    <w:rsid w:val="00C33892"/>
    <w:rsid w:val="00CA53E0"/>
    <w:rsid w:val="00CC4ED2"/>
    <w:rsid w:val="00D05689"/>
    <w:rsid w:val="00D13ED9"/>
    <w:rsid w:val="00D23175"/>
    <w:rsid w:val="00D25E76"/>
    <w:rsid w:val="00D31575"/>
    <w:rsid w:val="00D45C33"/>
    <w:rsid w:val="00D93BC0"/>
    <w:rsid w:val="00D96B58"/>
    <w:rsid w:val="00DC739E"/>
    <w:rsid w:val="00DF01CC"/>
    <w:rsid w:val="00E21A82"/>
    <w:rsid w:val="00E45E01"/>
    <w:rsid w:val="00E92F19"/>
    <w:rsid w:val="00E95D19"/>
    <w:rsid w:val="00EC657B"/>
    <w:rsid w:val="00ED2051"/>
    <w:rsid w:val="00EF5DCE"/>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5481</Words>
  <Characters>32344</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Pavliš Jiří Ing. DiS.</cp:lastModifiedBy>
  <cp:revision>4</cp:revision>
  <cp:lastPrinted>2019-11-20T14:31:00Z</cp:lastPrinted>
  <dcterms:created xsi:type="dcterms:W3CDTF">2021-08-06T08:31:00Z</dcterms:created>
  <dcterms:modified xsi:type="dcterms:W3CDTF">2021-08-06T11:05:00Z</dcterms:modified>
</cp:coreProperties>
</file>