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EAC8312" w14:textId="2C9CC495" w:rsidR="006E0C12" w:rsidRDefault="006E0C12" w:rsidP="006E0C12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Komplexní pozemkové úpravy v k. ú. </w:t>
      </w:r>
      <w:r w:rsidR="008F2860">
        <w:rPr>
          <w:b/>
        </w:rPr>
        <w:t>Křekovice a Velká Chmelištná</w:t>
      </w:r>
    </w:p>
    <w:p w14:paraId="4B2D2853" w14:textId="77777777"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14:paraId="566B8F75" w14:textId="77777777" w:rsidR="00540846" w:rsidRPr="007A0155" w:rsidRDefault="00540846" w:rsidP="0054084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E00EA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12</cp:revision>
  <cp:lastPrinted>2013-03-13T13:00:00Z</cp:lastPrinted>
  <dcterms:created xsi:type="dcterms:W3CDTF">2018-02-26T14:28:00Z</dcterms:created>
  <dcterms:modified xsi:type="dcterms:W3CDTF">2021-04-27T10:42:00Z</dcterms:modified>
</cp:coreProperties>
</file>