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955D26" w:rsidRDefault="00955D26" w:rsidP="00955D26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Vinaře</w:t>
      </w:r>
    </w:p>
    <w:p w:rsidR="00955D26" w:rsidRPr="007A0155" w:rsidRDefault="00955D26" w:rsidP="00955D2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</w:t>
      </w:r>
      <w:r w:rsidRPr="00F35B3A">
        <w:t>imitní veřejná zakázka na služby zadávaná v</w:t>
      </w:r>
      <w:r>
        <w:t>e zjednodušeném podlimitním řízení</w:t>
      </w:r>
    </w:p>
    <w:p w:rsidR="00F65E34" w:rsidRDefault="00F65E34" w:rsidP="007A0155">
      <w:pPr>
        <w:rPr>
          <w:u w:val="single"/>
        </w:rPr>
      </w:pPr>
      <w:bookmarkStart w:id="0" w:name="_GoBack"/>
      <w:bookmarkEnd w:id="0"/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D2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283BB-BF4C-4808-87B8-2A393CF2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2018-02-26T14:28:00Z</dcterms:created>
  <dcterms:modified xsi:type="dcterms:W3CDTF">2020-10-27T11:48:00Z</dcterms:modified>
</cp:coreProperties>
</file>