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>Čestn</w:t>
      </w:r>
      <w:bookmarkStart w:id="0" w:name="_GoBack"/>
      <w:bookmarkEnd w:id="0"/>
      <w:r>
        <w:t xml:space="preserve">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030FBB">
        <w:rPr>
          <w:b/>
        </w:rPr>
        <w:t>Ostrá, Opočnice a Vrbice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30FBB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30FBB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30FBB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0FBB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A6782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16F05-2264-4444-B359-8EC1B0CCA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549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2018-02-26T14:28:00Z</dcterms:created>
  <dcterms:modified xsi:type="dcterms:W3CDTF">2019-05-09T06:01:00Z</dcterms:modified>
</cp:coreProperties>
</file>