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D256F" w:rsidRPr="00787A73">
        <w:rPr>
          <w:rFonts w:cs="Arial"/>
          <w:b/>
          <w:szCs w:val="22"/>
        </w:rPr>
        <w:t>Komplexní pozemkové úpravy v k.ú. Troskotovice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DD256F" w:rsidRPr="007A0155" w:rsidRDefault="00DD256F" w:rsidP="007A0155">
      <w:pPr>
        <w:rPr>
          <w:i/>
          <w:highlight w:val="yellow"/>
        </w:rPr>
      </w:pPr>
    </w:p>
    <w:p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zapsán v obchodním rejstříku nebo jiné obdobné evidenci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Právní forma:</w:t>
      </w:r>
      <w:r>
        <w:rPr>
          <w:rFonts w:ascii="Arial" w:hAnsi="Arial" w:cs="Arial"/>
          <w:highlight w:val="yellow"/>
        </w:rPr>
        <w:t>………………..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Statutárním orgánem společnosti je: </w:t>
      </w:r>
      <w:r>
        <w:rPr>
          <w:rFonts w:ascii="Arial" w:hAnsi="Arial" w:cs="Arial"/>
          <w:highlight w:val="yellow"/>
        </w:rPr>
        <w:t>……………………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Za společnost jedná a podepisuje: </w:t>
      </w:r>
      <w:r>
        <w:rPr>
          <w:rFonts w:ascii="Arial" w:hAnsi="Arial" w:cs="Arial"/>
          <w:highlight w:val="yellow"/>
        </w:rPr>
        <w:t>……………………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</w:t>
      </w:r>
      <w:r w:rsidRPr="000B57BA">
        <w:rPr>
          <w:rFonts w:eastAsia="Calibri" w:cs="Arial"/>
          <w:b/>
          <w:szCs w:val="22"/>
          <w:lang w:eastAsia="en-US"/>
        </w:rPr>
        <w:t>a) b) c)</w:t>
      </w:r>
      <w:r>
        <w:rPr>
          <w:rFonts w:eastAsia="Calibri" w:cs="Arial"/>
          <w:b/>
          <w:szCs w:val="22"/>
          <w:lang w:eastAsia="en-US"/>
        </w:rPr>
        <w:t xml:space="preserve">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</w:t>
      </w:r>
      <w:r w:rsidRPr="000B57BA">
        <w:rPr>
          <w:rFonts w:eastAsia="Calibri" w:cs="Arial"/>
          <w:b/>
          <w:szCs w:val="22"/>
          <w:lang w:eastAsia="en-US"/>
        </w:rPr>
        <w:t>1 písm. a) b)</w:t>
      </w:r>
      <w:r>
        <w:rPr>
          <w:rFonts w:eastAsia="Calibri" w:cs="Arial"/>
          <w:b/>
          <w:szCs w:val="22"/>
          <w:lang w:eastAsia="en-US"/>
        </w:rPr>
        <w:t xml:space="preserve"> 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:rsidR="00DD256F" w:rsidRDefault="00DD256F" w:rsidP="00DD256F">
      <w:pPr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USES  (Územních systémů ekologické stability)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876C83">
        <w:rPr>
          <w:b/>
          <w:color w:val="FF0000"/>
        </w:rPr>
        <w:t>specializace na pozemky (vč. lesních) a trvalé porosty (vč. lesních porostů)</w:t>
      </w:r>
      <w:r w:rsidRPr="00B86FEF">
        <w:t>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BB0724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  <w:bookmarkStart w:id="0" w:name="_GoBack"/>
            <w:bookmarkEnd w:id="0"/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3A2923" w:rsidRPr="00CC5890" w:rsidTr="00E803D5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496" w:type="dxa"/>
          </w:tcPr>
          <w:p w:rsidR="003A2923" w:rsidRPr="00CC5890" w:rsidRDefault="003A2923" w:rsidP="003A2923">
            <w:pPr>
              <w:spacing w:after="0"/>
            </w:pPr>
          </w:p>
        </w:tc>
      </w:tr>
      <w:tr w:rsidR="003A2923" w:rsidRPr="00CC5890" w:rsidTr="00E803D5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3A2923" w:rsidRPr="00CC5890" w:rsidRDefault="003A2923" w:rsidP="003A2923">
            <w:pPr>
              <w:spacing w:after="0"/>
            </w:pPr>
          </w:p>
        </w:tc>
      </w:tr>
    </w:tbl>
    <w:p w:rsidR="003A2923" w:rsidRDefault="003A2923" w:rsidP="007A0155"/>
    <w:p w:rsidR="003A2923" w:rsidRPr="00CC5890" w:rsidRDefault="003A2923" w:rsidP="003A292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BB0724">
              <w:t>Měsíc a rok zapsání KPÚ do KN: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</w:tbl>
    <w:p w:rsidR="003A2923" w:rsidRDefault="003A2923" w:rsidP="007A0155"/>
    <w:p w:rsidR="00550EC9" w:rsidRPr="007A0155" w:rsidRDefault="003F1692" w:rsidP="007A0155">
      <w:pPr>
        <w:pStyle w:val="Odrky2"/>
      </w:pPr>
      <w:r>
        <w:t xml:space="preserve">§ 79 odst. 2 písm. c) </w:t>
      </w:r>
      <w:r w:rsidR="00550EC9" w:rsidRPr="007A0155">
        <w:t xml:space="preserve"> zákona: </w:t>
      </w:r>
    </w:p>
    <w:p w:rsidR="003F1692" w:rsidRDefault="003F1692" w:rsidP="00BA2379">
      <w:pPr>
        <w:tabs>
          <w:tab w:val="left" w:pos="360"/>
        </w:tabs>
        <w:spacing w:before="18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Dodavatel předkládá </w:t>
      </w:r>
      <w:r>
        <w:rPr>
          <w:rFonts w:cs="Arial"/>
          <w:b/>
          <w:szCs w:val="22"/>
        </w:rPr>
        <w:t>seznam techniků</w:t>
      </w:r>
      <w:r>
        <w:rPr>
          <w:rFonts w:cs="Arial"/>
          <w:szCs w:val="22"/>
        </w:rPr>
        <w:t xml:space="preserve"> či technických útvarů, kteří se budou podílet na plnění této veřejné zakázky, a to zejména těch, kteří budou zajišťovat kontrolu kvality, bez ohledu na to, zda jde o zaměstnance dodavatele nebo soby v jiném vztahu k dodavateli:</w:t>
      </w:r>
    </w:p>
    <w:p w:rsidR="003F1692" w:rsidRDefault="003F1692" w:rsidP="00BA237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ust. §13  odst. 1 písm. </w:t>
      </w:r>
      <w:r w:rsidRPr="000B57BA">
        <w:rPr>
          <w:rFonts w:cs="Arial"/>
          <w:b/>
          <w:szCs w:val="22"/>
        </w:rPr>
        <w:t>a)</w:t>
      </w:r>
      <w:r w:rsidR="000B57BA" w:rsidRPr="000B57BA">
        <w:rPr>
          <w:rFonts w:cs="Arial"/>
          <w:b/>
          <w:szCs w:val="22"/>
        </w:rPr>
        <w:t>, b</w:t>
      </w:r>
      <w:r w:rsidR="000B57BA">
        <w:rPr>
          <w:rFonts w:cs="Arial"/>
          <w:b/>
          <w:szCs w:val="22"/>
        </w:rPr>
        <w:t>)</w:t>
      </w:r>
      <w:r>
        <w:rPr>
          <w:rFonts w:cs="Arial"/>
          <w:szCs w:val="22"/>
        </w:rPr>
        <w:t xml:space="preserve"> zák.č. 200/1994 Sb)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>dle ust. §13  odst. 1 písm</w:t>
      </w:r>
      <w:r w:rsidRPr="000B57BA">
        <w:rPr>
          <w:rFonts w:cs="Arial"/>
          <w:szCs w:val="22"/>
        </w:rPr>
        <w:t xml:space="preserve">. </w:t>
      </w:r>
      <w:r w:rsidRPr="000B57BA">
        <w:rPr>
          <w:rFonts w:cs="Arial"/>
          <w:b/>
          <w:szCs w:val="22"/>
        </w:rPr>
        <w:t>a)</w:t>
      </w:r>
      <w:r w:rsidRPr="000B57BA">
        <w:rPr>
          <w:rFonts w:cs="Arial"/>
          <w:szCs w:val="22"/>
        </w:rPr>
        <w:t xml:space="preserve">, </w:t>
      </w:r>
      <w:r w:rsidRPr="000B57BA">
        <w:rPr>
          <w:rFonts w:cs="Arial"/>
          <w:b/>
          <w:szCs w:val="22"/>
        </w:rPr>
        <w:t xml:space="preserve">b) </w:t>
      </w:r>
      <w:r w:rsidRPr="000B57BA">
        <w:rPr>
          <w:rFonts w:cs="Arial"/>
          <w:szCs w:val="22"/>
        </w:rPr>
        <w:t xml:space="preserve">a </w:t>
      </w:r>
      <w:r w:rsidRPr="000B57BA">
        <w:rPr>
          <w:rFonts w:cs="Arial"/>
          <w:b/>
          <w:szCs w:val="22"/>
        </w:rPr>
        <w:t>c)</w:t>
      </w:r>
      <w:r w:rsidRPr="000B57BA">
        <w:rPr>
          <w:rFonts w:cs="Arial"/>
          <w:szCs w:val="22"/>
        </w:rPr>
        <w:t xml:space="preserve"> zák</w:t>
      </w:r>
      <w:r>
        <w:rPr>
          <w:rFonts w:cs="Arial"/>
          <w:szCs w:val="22"/>
        </w:rPr>
        <w:t>.č. 200/1994 Sb)</w:t>
      </w:r>
    </w:p>
    <w:p w:rsidR="003F1692" w:rsidRDefault="003F1692" w:rsidP="00BA23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3F1692" w:rsidRDefault="003F1692" w:rsidP="00BA237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F1692" w:rsidRDefault="003F1692" w:rsidP="00BA237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3F1692" w:rsidRDefault="003F1692" w:rsidP="00BA237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:rsidR="003F1692" w:rsidRDefault="003F1692" w:rsidP="00BA237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USES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3F1692" w:rsidRDefault="003F1692" w:rsidP="003F1692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33042B">
        <w:rPr>
          <w:rFonts w:ascii="Arial" w:hAnsi="Arial" w:cs="Arial"/>
          <w:b/>
          <w:color w:val="FF0000"/>
        </w:rPr>
        <w:t>specializace na pozemky (vč. lesních) a trvalé porosty (vč. lesních porostů)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:rsidR="003F1692" w:rsidRDefault="003F1692" w:rsidP="003F1692">
      <w:pPr>
        <w:pStyle w:val="Odstavecseseznamem"/>
        <w:spacing w:before="180" w:after="0"/>
        <w:ind w:left="850"/>
        <w:rPr>
          <w:rFonts w:ascii="Arial" w:hAnsi="Arial" w:cs="Arial"/>
        </w:rPr>
      </w:pPr>
    </w:p>
    <w:p w:rsidR="003F1692" w:rsidRDefault="003F1692" w:rsidP="003F1692">
      <w:pPr>
        <w:pStyle w:val="Odrky2"/>
      </w:pPr>
      <w:r w:rsidRPr="007A0155">
        <w:t xml:space="preserve">79 odst. 2 písm. </w:t>
      </w:r>
      <w:r>
        <w:t>j</w:t>
      </w:r>
      <w:r w:rsidRPr="007A0155">
        <w:t xml:space="preserve">) zákona: </w:t>
      </w:r>
    </w:p>
    <w:p w:rsidR="003F1692" w:rsidRDefault="003F1692" w:rsidP="003F1692">
      <w:r w:rsidRPr="00CD083C">
        <w:t xml:space="preserve">Dodavatel prohlašuje, že </w:t>
      </w:r>
      <w:r>
        <w:t>disponuje níže uvedenými</w:t>
      </w:r>
      <w:r>
        <w:rPr>
          <w:b/>
        </w:rPr>
        <w:t> nástroji nebo pomůckami, provozními nebo technickými zařízeními</w:t>
      </w:r>
      <w:r w:rsidRPr="0022033E">
        <w:t>, kter</w:t>
      </w:r>
      <w:r>
        <w:t>é</w:t>
      </w:r>
      <w:r w:rsidRPr="0022033E">
        <w:t xml:space="preserve"> zahr</w:t>
      </w:r>
      <w:r>
        <w:t xml:space="preserve">nují </w:t>
      </w:r>
      <w:r w:rsidRPr="0022033E">
        <w:t>minimálně:</w:t>
      </w:r>
    </w:p>
    <w:p w:rsidR="003F1692" w:rsidRDefault="003F1692" w:rsidP="003F1692">
      <w:pPr>
        <w:spacing w:after="0"/>
        <w:ind w:firstLine="709"/>
      </w:pPr>
      <w:r>
        <w:t>a) totální stanice</w:t>
      </w:r>
      <w:r>
        <w:tab/>
        <w:t xml:space="preserve">                   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 xml:space="preserve"> </w:t>
      </w:r>
      <w:r>
        <w:tab/>
        <w:t>2 ks</w:t>
      </w:r>
    </w:p>
    <w:p w:rsidR="003F1692" w:rsidRDefault="003F1692" w:rsidP="003F1692">
      <w:pPr>
        <w:spacing w:after="0"/>
        <w:ind w:firstLine="709"/>
      </w:pPr>
      <w:r>
        <w:t xml:space="preserve">b) velkoformátový plotr  </w:t>
      </w:r>
      <w:r>
        <w:tab/>
        <w:t xml:space="preserve">           1 ks</w:t>
      </w:r>
    </w:p>
    <w:p w:rsidR="003F1692" w:rsidRDefault="003F1692" w:rsidP="003F1692">
      <w:pPr>
        <w:spacing w:after="0"/>
        <w:ind w:firstLine="709"/>
      </w:pPr>
      <w:r>
        <w:t>c) počítačová stanice</w:t>
      </w:r>
      <w:r>
        <w:tab/>
        <w:t xml:space="preserve">               4 ks</w:t>
      </w:r>
    </w:p>
    <w:p w:rsidR="003F1692" w:rsidRDefault="003F1692" w:rsidP="000B57BA">
      <w:pPr>
        <w:spacing w:after="0"/>
        <w:ind w:left="993" w:hanging="284"/>
      </w:pPr>
      <w:r>
        <w:t xml:space="preserve">d) software s výstupy ve formátech *.doc(x), </w:t>
      </w:r>
      <w:r w:rsidRPr="000B57BA">
        <w:t>*.</w:t>
      </w:r>
      <w:r w:rsidR="000B57BA" w:rsidRPr="000B57BA">
        <w:t>xls(x), *.vfk, *.dgn, *.vfp,</w:t>
      </w:r>
      <w:r w:rsidR="00BC0569">
        <w:t xml:space="preserve"> *.vfk,</w:t>
      </w:r>
      <w:r w:rsidR="000B57BA" w:rsidRPr="000B57BA">
        <w:t xml:space="preserve"> *cit, *.csv </w:t>
      </w:r>
      <w:r w:rsidRPr="000B57BA">
        <w:t>po 1 licenci</w:t>
      </w:r>
    </w:p>
    <w:p w:rsidR="003F1692" w:rsidRPr="007A0155" w:rsidRDefault="003F1692" w:rsidP="003F1692">
      <w:pPr>
        <w:pStyle w:val="Odrky2"/>
        <w:numPr>
          <w:ilvl w:val="0"/>
          <w:numId w:val="0"/>
        </w:numPr>
        <w:ind w:left="714"/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3F1692" w:rsidRDefault="003F1692" w:rsidP="00BB338C">
      <w:pPr>
        <w:pStyle w:val="Zkladntext21"/>
        <w:jc w:val="left"/>
        <w:rPr>
          <w:rFonts w:cs="Arial"/>
          <w:color w:val="000000"/>
        </w:rPr>
      </w:pPr>
    </w:p>
    <w:p w:rsidR="003F1692" w:rsidRDefault="003F1692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055D4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055D4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D256F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57BA"/>
    <w:rsid w:val="000C75E1"/>
    <w:rsid w:val="000D579E"/>
    <w:rsid w:val="000D641A"/>
    <w:rsid w:val="000E1661"/>
    <w:rsid w:val="000F172E"/>
    <w:rsid w:val="000F3FCE"/>
    <w:rsid w:val="000F4A96"/>
    <w:rsid w:val="000F5FB8"/>
    <w:rsid w:val="001055D4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2923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CD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724"/>
    <w:rsid w:val="00BB338C"/>
    <w:rsid w:val="00BB4DD1"/>
    <w:rsid w:val="00BB7059"/>
    <w:rsid w:val="00BB796D"/>
    <w:rsid w:val="00BC0569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56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312191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117C0-F01A-4902-AA06-48865522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1306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31</cp:revision>
  <cp:lastPrinted>2019-03-11T09:58:00Z</cp:lastPrinted>
  <dcterms:created xsi:type="dcterms:W3CDTF">2016-10-27T10:51:00Z</dcterms:created>
  <dcterms:modified xsi:type="dcterms:W3CDTF">2019-03-13T13:36:00Z</dcterms:modified>
</cp:coreProperties>
</file>