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562C5"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bookmarkStart w:id="0" w:name="_GoBack"/>
      <w:bookmarkEnd w:id="0"/>
    </w:p>
    <w:p w14:paraId="720B053E"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BD50805"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C7A8582" w14:textId="77777777" w:rsidTr="00DA502E">
        <w:tc>
          <w:tcPr>
            <w:tcW w:w="4531" w:type="dxa"/>
          </w:tcPr>
          <w:p w14:paraId="26A18242"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6E54D74B" w14:textId="77777777" w:rsidR="0059331D" w:rsidRPr="00D54AD2" w:rsidRDefault="0059331D" w:rsidP="0059331D">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DE7B0E7" w14:textId="47D44B30" w:rsidR="00354192" w:rsidRPr="00CF0F21" w:rsidRDefault="0059331D" w:rsidP="0059331D">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p>
        </w:tc>
      </w:tr>
      <w:tr w:rsidR="00354192" w:rsidRPr="00737124" w14:paraId="3FDF32E3" w14:textId="77777777" w:rsidTr="00DA502E">
        <w:tc>
          <w:tcPr>
            <w:tcW w:w="4531" w:type="dxa"/>
          </w:tcPr>
          <w:p w14:paraId="23607BCF"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77A74CA" w14:textId="0440BA66" w:rsidR="00354192" w:rsidRPr="0094057D" w:rsidRDefault="00BF6623" w:rsidP="00DA502E">
            <w:pPr>
              <w:pStyle w:val="Tabulka-buky11"/>
              <w:rPr>
                <w:rFonts w:ascii="Times New Roman" w:hAnsi="Times New Roman"/>
                <w:sz w:val="24"/>
                <w:szCs w:val="22"/>
                <w:lang w:val="cs-CZ"/>
              </w:rPr>
            </w:pPr>
            <w:r>
              <w:rPr>
                <w:rFonts w:ascii="Times New Roman" w:hAnsi="Times New Roman"/>
                <w:sz w:val="24"/>
                <w:szCs w:val="22"/>
                <w:lang w:val="cs-CZ"/>
              </w:rPr>
              <w:t>Boženy Němcové 231, 530 02 Pardubice</w:t>
            </w:r>
          </w:p>
        </w:tc>
      </w:tr>
      <w:tr w:rsidR="00354192" w:rsidRPr="00737124" w14:paraId="470CC796" w14:textId="77777777" w:rsidTr="00DA502E">
        <w:tc>
          <w:tcPr>
            <w:tcW w:w="4531" w:type="dxa"/>
          </w:tcPr>
          <w:p w14:paraId="70B00F9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2D523D77" w14:textId="47B90CF8" w:rsidR="00354192" w:rsidRPr="0094057D" w:rsidRDefault="00BF6623" w:rsidP="00DA502E">
            <w:pPr>
              <w:pStyle w:val="Tabulka-buky11"/>
              <w:rPr>
                <w:rFonts w:ascii="Times New Roman" w:hAnsi="Times New Roman"/>
                <w:sz w:val="24"/>
                <w:szCs w:val="22"/>
              </w:rPr>
            </w:pPr>
            <w:r w:rsidRPr="000964C2">
              <w:rPr>
                <w:rFonts w:ascii="Times New Roman" w:hAnsi="Times New Roman"/>
                <w:sz w:val="24"/>
                <w:szCs w:val="22"/>
              </w:rPr>
              <w:t>Ing. Miroslavem Kučerou, ředitelem KPÚ pro Pardubický kraj</w:t>
            </w:r>
          </w:p>
        </w:tc>
      </w:tr>
      <w:tr w:rsidR="00354192" w:rsidRPr="00737124" w14:paraId="5B7C9757" w14:textId="77777777" w:rsidTr="00DA502E">
        <w:tc>
          <w:tcPr>
            <w:tcW w:w="4531" w:type="dxa"/>
          </w:tcPr>
          <w:p w14:paraId="505198A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655A7D0F" w14:textId="23902DA1" w:rsidR="00354192" w:rsidRPr="00D3334C" w:rsidRDefault="00BF6623" w:rsidP="00DA502E">
            <w:pPr>
              <w:pStyle w:val="Tabulka-buky11"/>
              <w:rPr>
                <w:rFonts w:ascii="Times New Roman" w:hAnsi="Times New Roman"/>
                <w:sz w:val="24"/>
                <w:szCs w:val="22"/>
              </w:rPr>
            </w:pPr>
            <w:r w:rsidRPr="000964C2">
              <w:rPr>
                <w:rFonts w:ascii="Times New Roman" w:hAnsi="Times New Roman"/>
                <w:sz w:val="24"/>
                <w:szCs w:val="22"/>
              </w:rPr>
              <w:t>Ing. Miroslav Kučera, ředitel KPÚ pro Pardubický kraj</w:t>
            </w:r>
          </w:p>
        </w:tc>
      </w:tr>
      <w:tr w:rsidR="00D8323D" w:rsidRPr="00737124" w14:paraId="5F27A005" w14:textId="77777777" w:rsidTr="00DA502E">
        <w:tc>
          <w:tcPr>
            <w:tcW w:w="4531" w:type="dxa"/>
          </w:tcPr>
          <w:p w14:paraId="55C6DE37" w14:textId="77777777" w:rsidR="00D8323D" w:rsidRPr="00D54AD2" w:rsidRDefault="00D8323D" w:rsidP="00D8323D">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4947B640" w14:textId="6D333EB8" w:rsidR="00D8323D" w:rsidRPr="00D3334C" w:rsidRDefault="00D8323D" w:rsidP="00D8323D">
            <w:pPr>
              <w:pStyle w:val="Tabulka-buky11"/>
              <w:rPr>
                <w:rFonts w:ascii="Times New Roman" w:hAnsi="Times New Roman"/>
                <w:sz w:val="24"/>
                <w:szCs w:val="22"/>
              </w:rPr>
            </w:pPr>
            <w:r>
              <w:rPr>
                <w:rFonts w:ascii="Times New Roman" w:hAnsi="Times New Roman"/>
                <w:sz w:val="24"/>
                <w:szCs w:val="22"/>
              </w:rPr>
              <w:t>David Německý, Ing. Hana Jeníčková, PhD.</w:t>
            </w:r>
          </w:p>
        </w:tc>
      </w:tr>
      <w:tr w:rsidR="00D8323D" w:rsidRPr="00737124" w14:paraId="0710CCE1" w14:textId="77777777" w:rsidTr="00DA502E">
        <w:tc>
          <w:tcPr>
            <w:tcW w:w="4531" w:type="dxa"/>
          </w:tcPr>
          <w:p w14:paraId="0E32D9CE"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FDA5C39" w14:textId="77777777" w:rsidR="00D8323D" w:rsidRPr="00D54AD2" w:rsidRDefault="00D8323D" w:rsidP="00D8323D">
            <w:pPr>
              <w:pStyle w:val="Tabulka-buky11"/>
              <w:rPr>
                <w:rFonts w:ascii="Times New Roman" w:hAnsi="Times New Roman"/>
                <w:sz w:val="24"/>
                <w:szCs w:val="22"/>
              </w:rPr>
            </w:pPr>
            <w:r>
              <w:rPr>
                <w:rFonts w:ascii="Times New Roman" w:hAnsi="Times New Roman"/>
                <w:sz w:val="24"/>
                <w:szCs w:val="22"/>
              </w:rPr>
              <w:t>Ústí nad Orlicí, Tvardkova 1191</w:t>
            </w:r>
          </w:p>
        </w:tc>
      </w:tr>
      <w:tr w:rsidR="00D8323D" w:rsidRPr="00737124" w14:paraId="6E375465" w14:textId="77777777" w:rsidTr="00DA502E">
        <w:tc>
          <w:tcPr>
            <w:tcW w:w="4531" w:type="dxa"/>
          </w:tcPr>
          <w:p w14:paraId="2A9082DF"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4F96228" w14:textId="77777777" w:rsidR="00D8323D" w:rsidRPr="00D54AD2" w:rsidRDefault="00D8323D" w:rsidP="00D8323D">
            <w:pPr>
              <w:pStyle w:val="Tabulka-buky11"/>
              <w:rPr>
                <w:rFonts w:ascii="Times New Roman" w:hAnsi="Times New Roman"/>
                <w:sz w:val="24"/>
                <w:szCs w:val="22"/>
              </w:rPr>
            </w:pPr>
            <w:r>
              <w:rPr>
                <w:rFonts w:ascii="Times New Roman" w:hAnsi="Times New Roman"/>
                <w:sz w:val="24"/>
                <w:szCs w:val="22"/>
              </w:rPr>
              <w:t>601 584 035, 601 584 039</w:t>
            </w:r>
          </w:p>
        </w:tc>
      </w:tr>
      <w:tr w:rsidR="00D8323D" w:rsidRPr="00737124" w14:paraId="5FB21E17" w14:textId="77777777" w:rsidTr="00DA502E">
        <w:tc>
          <w:tcPr>
            <w:tcW w:w="4531" w:type="dxa"/>
          </w:tcPr>
          <w:p w14:paraId="5BADABEA"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0A90859" w14:textId="77777777" w:rsidR="00D8323D" w:rsidRPr="00D54AD2" w:rsidRDefault="00C82EB8" w:rsidP="00D8323D">
            <w:pPr>
              <w:pStyle w:val="Tabulka-buky11"/>
              <w:rPr>
                <w:rFonts w:ascii="Times New Roman" w:hAnsi="Times New Roman"/>
                <w:sz w:val="24"/>
                <w:szCs w:val="22"/>
              </w:rPr>
            </w:pPr>
            <w:hyperlink r:id="rId8" w:history="1">
              <w:r w:rsidR="00D8323D" w:rsidRPr="008E68B6">
                <w:rPr>
                  <w:rFonts w:ascii="Times New Roman" w:hAnsi="Times New Roman"/>
                  <w:sz w:val="24"/>
                  <w:szCs w:val="22"/>
                </w:rPr>
                <w:t>d.nemecky@spucr.cz</w:t>
              </w:r>
            </w:hyperlink>
            <w:r w:rsidR="00D8323D">
              <w:rPr>
                <w:rFonts w:ascii="Times New Roman" w:hAnsi="Times New Roman"/>
                <w:sz w:val="24"/>
                <w:szCs w:val="22"/>
              </w:rPr>
              <w:t>, h.jenickova</w:t>
            </w:r>
            <w:r w:rsidR="00D8323D" w:rsidRPr="00763EA2">
              <w:rPr>
                <w:rFonts w:ascii="Times New Roman" w:hAnsi="Times New Roman"/>
                <w:sz w:val="24"/>
                <w:szCs w:val="22"/>
              </w:rPr>
              <w:t>@spucr.cz</w:t>
            </w:r>
          </w:p>
        </w:tc>
      </w:tr>
      <w:tr w:rsidR="00D8323D" w:rsidRPr="00737124" w14:paraId="585AD47A" w14:textId="77777777" w:rsidTr="00DA502E">
        <w:tc>
          <w:tcPr>
            <w:tcW w:w="4531" w:type="dxa"/>
          </w:tcPr>
          <w:p w14:paraId="4F393770" w14:textId="77777777" w:rsidR="00D8323D" w:rsidRPr="00E85062" w:rsidRDefault="00D8323D" w:rsidP="00D8323D">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110B0C8" w14:textId="77777777" w:rsidR="00D8323D" w:rsidRPr="00D54AD2" w:rsidRDefault="00D8323D" w:rsidP="00D8323D">
            <w:pPr>
              <w:pStyle w:val="Tabulka-buky11"/>
              <w:rPr>
                <w:rFonts w:ascii="Times New Roman" w:hAnsi="Times New Roman"/>
                <w:sz w:val="24"/>
                <w:szCs w:val="22"/>
              </w:rPr>
            </w:pPr>
            <w:r w:rsidRPr="00D54AD2">
              <w:rPr>
                <w:rFonts w:ascii="Times New Roman" w:hAnsi="Times New Roman"/>
                <w:sz w:val="24"/>
                <w:szCs w:val="22"/>
              </w:rPr>
              <w:t>z49per3</w:t>
            </w:r>
          </w:p>
        </w:tc>
      </w:tr>
      <w:tr w:rsidR="00D8323D" w:rsidRPr="00737124" w14:paraId="521E70BE" w14:textId="77777777" w:rsidTr="00DA502E">
        <w:tblPrEx>
          <w:tblLook w:val="04A0" w:firstRow="1" w:lastRow="0" w:firstColumn="1" w:lastColumn="0" w:noHBand="0" w:noVBand="1"/>
        </w:tblPrEx>
        <w:tc>
          <w:tcPr>
            <w:tcW w:w="4531" w:type="dxa"/>
          </w:tcPr>
          <w:p w14:paraId="2F9634C6"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30734B59" w14:textId="77777777" w:rsidR="00D8323D" w:rsidRPr="00D54AD2" w:rsidRDefault="00D8323D" w:rsidP="00D8323D">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D8323D" w:rsidRPr="00737124" w14:paraId="2E265BDE" w14:textId="77777777" w:rsidTr="00DA502E">
        <w:tblPrEx>
          <w:tblLook w:val="04A0" w:firstRow="1" w:lastRow="0" w:firstColumn="1" w:lastColumn="0" w:noHBand="0" w:noVBand="1"/>
        </w:tblPrEx>
        <w:tc>
          <w:tcPr>
            <w:tcW w:w="4531" w:type="dxa"/>
          </w:tcPr>
          <w:p w14:paraId="74D819F0"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21680220" w14:textId="77777777" w:rsidR="00D8323D" w:rsidRPr="00D54AD2" w:rsidRDefault="00D8323D" w:rsidP="00D8323D">
            <w:pPr>
              <w:pStyle w:val="Tabulka-buky11"/>
              <w:rPr>
                <w:rFonts w:ascii="Times New Roman" w:hAnsi="Times New Roman"/>
                <w:sz w:val="24"/>
                <w:szCs w:val="22"/>
              </w:rPr>
            </w:pPr>
            <w:r w:rsidRPr="00D54AD2">
              <w:rPr>
                <w:rFonts w:ascii="Times New Roman" w:hAnsi="Times New Roman"/>
                <w:sz w:val="24"/>
                <w:szCs w:val="22"/>
              </w:rPr>
              <w:t>3723001/0710</w:t>
            </w:r>
          </w:p>
        </w:tc>
      </w:tr>
      <w:tr w:rsidR="00D8323D" w:rsidRPr="00737124" w14:paraId="5C480731" w14:textId="77777777" w:rsidTr="00DA502E">
        <w:tc>
          <w:tcPr>
            <w:tcW w:w="4531" w:type="dxa"/>
          </w:tcPr>
          <w:p w14:paraId="109F301D"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4605818E" w14:textId="77777777" w:rsidR="00D8323D" w:rsidRPr="00D54AD2" w:rsidRDefault="00D8323D" w:rsidP="00D8323D">
            <w:pPr>
              <w:pStyle w:val="Tabulka-buky11"/>
              <w:rPr>
                <w:rFonts w:ascii="Times New Roman" w:hAnsi="Times New Roman"/>
                <w:sz w:val="24"/>
                <w:szCs w:val="22"/>
              </w:rPr>
            </w:pPr>
            <w:r w:rsidRPr="00D54AD2">
              <w:rPr>
                <w:rFonts w:ascii="Times New Roman" w:hAnsi="Times New Roman"/>
                <w:sz w:val="24"/>
                <w:szCs w:val="22"/>
              </w:rPr>
              <w:t>01312774</w:t>
            </w:r>
          </w:p>
        </w:tc>
      </w:tr>
      <w:tr w:rsidR="00D8323D" w:rsidRPr="00737124" w14:paraId="34120374" w14:textId="77777777" w:rsidTr="00DA502E">
        <w:tc>
          <w:tcPr>
            <w:tcW w:w="4531" w:type="dxa"/>
          </w:tcPr>
          <w:p w14:paraId="5248BE23" w14:textId="77777777" w:rsidR="00D8323D" w:rsidRPr="00E85062" w:rsidRDefault="00D8323D" w:rsidP="00D8323D">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4BB32EAA" w14:textId="77777777" w:rsidR="00D8323D" w:rsidRPr="00D54AD2" w:rsidRDefault="00D8323D" w:rsidP="00D8323D">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21B4EDC"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D05B75A" w14:textId="77777777" w:rsidTr="00DA502E">
        <w:tc>
          <w:tcPr>
            <w:tcW w:w="4531" w:type="dxa"/>
          </w:tcPr>
          <w:p w14:paraId="5CAD1FF8"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8B042F5"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1223427" w14:textId="77777777" w:rsidTr="00DA502E">
        <w:tc>
          <w:tcPr>
            <w:tcW w:w="4531" w:type="dxa"/>
          </w:tcPr>
          <w:p w14:paraId="7F57C564"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53C9B6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2F13612" w14:textId="77777777" w:rsidTr="00DA502E">
        <w:tc>
          <w:tcPr>
            <w:tcW w:w="4531" w:type="dxa"/>
          </w:tcPr>
          <w:p w14:paraId="78379A6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82C34C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535088A" w14:textId="77777777" w:rsidTr="00DA502E">
        <w:tc>
          <w:tcPr>
            <w:tcW w:w="4531" w:type="dxa"/>
          </w:tcPr>
          <w:p w14:paraId="1AB4157A"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09A8A0F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CC181E8" w14:textId="77777777" w:rsidTr="00DA502E">
        <w:tc>
          <w:tcPr>
            <w:tcW w:w="4531" w:type="dxa"/>
          </w:tcPr>
          <w:p w14:paraId="7E956EEB"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45CD36F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A9B9194" w14:textId="77777777" w:rsidTr="00DA502E">
        <w:tc>
          <w:tcPr>
            <w:tcW w:w="4531" w:type="dxa"/>
          </w:tcPr>
          <w:p w14:paraId="56A190A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F3620F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D3E6597" w14:textId="77777777" w:rsidTr="00DA502E">
        <w:tc>
          <w:tcPr>
            <w:tcW w:w="4531" w:type="dxa"/>
          </w:tcPr>
          <w:p w14:paraId="2D2C992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22FD5F5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E8D147D" w14:textId="77777777" w:rsidTr="00DA502E">
        <w:tc>
          <w:tcPr>
            <w:tcW w:w="4531" w:type="dxa"/>
          </w:tcPr>
          <w:p w14:paraId="0DCC306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6D6A355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36C1A6B" w14:textId="77777777" w:rsidTr="00DA502E">
        <w:tc>
          <w:tcPr>
            <w:tcW w:w="4531" w:type="dxa"/>
          </w:tcPr>
          <w:p w14:paraId="2557B6C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310BF96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4FADC4B" w14:textId="77777777" w:rsidTr="00DA502E">
        <w:tc>
          <w:tcPr>
            <w:tcW w:w="4531" w:type="dxa"/>
          </w:tcPr>
          <w:p w14:paraId="553E5C9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4726E3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9EB7AAD" w14:textId="77777777" w:rsidTr="00DA502E">
        <w:tc>
          <w:tcPr>
            <w:tcW w:w="4531" w:type="dxa"/>
          </w:tcPr>
          <w:p w14:paraId="66E1F87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0605070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D17DBA9" w14:textId="77777777" w:rsidTr="00DA502E">
        <w:tc>
          <w:tcPr>
            <w:tcW w:w="4531" w:type="dxa"/>
          </w:tcPr>
          <w:p w14:paraId="29CDFE3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5E9F3743"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0DE7CDF9" w14:textId="77777777" w:rsidTr="00DA502E">
        <w:tc>
          <w:tcPr>
            <w:tcW w:w="4531" w:type="dxa"/>
          </w:tcPr>
          <w:p w14:paraId="37529F76"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77BC4D2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8DA565E" w14:textId="77777777" w:rsidTr="00DA502E">
        <w:tc>
          <w:tcPr>
            <w:tcW w:w="4531" w:type="dxa"/>
          </w:tcPr>
          <w:p w14:paraId="10D57AFD"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68DBF1DB" w14:textId="77777777" w:rsidR="00354192" w:rsidRPr="0094057D" w:rsidRDefault="00354192" w:rsidP="00DA502E">
            <w:pPr>
              <w:pStyle w:val="Tabulka-buky11"/>
              <w:rPr>
                <w:rFonts w:ascii="Times New Roman" w:hAnsi="Times New Roman"/>
                <w:sz w:val="24"/>
                <w:szCs w:val="22"/>
                <w:lang w:val="cs-CZ"/>
              </w:rPr>
            </w:pPr>
          </w:p>
        </w:tc>
      </w:tr>
    </w:tbl>
    <w:p w14:paraId="4B303EFF"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14ED973A"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9CF56B2" w14:textId="77777777" w:rsidR="00187D94" w:rsidRPr="006F3D14" w:rsidRDefault="00187D94" w:rsidP="00F911B6">
      <w:pPr>
        <w:spacing w:after="0"/>
        <w:rPr>
          <w:rFonts w:ascii="Times New Roman" w:hAnsi="Times New Roman" w:cs="Times New Roman"/>
          <w:sz w:val="24"/>
          <w:lang w:val="cs-CZ"/>
        </w:rPr>
      </w:pPr>
    </w:p>
    <w:p w14:paraId="223DE792" w14:textId="085C6146"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886654">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3BE99E1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0C6287DD" w14:textId="7CD4D14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D8323D">
        <w:rPr>
          <w:rStyle w:val="Siln"/>
          <w:rFonts w:ascii="Times New Roman" w:hAnsi="Times New Roman" w:cs="Times New Roman"/>
          <w:szCs w:val="20"/>
        </w:rPr>
        <w:t>Dolní Hedeč</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3B02E2E8" w14:textId="0B6DFF7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D8323D">
        <w:rPr>
          <w:rFonts w:ascii="Times New Roman" w:hAnsi="Times New Roman" w:cs="Times New Roman"/>
          <w:szCs w:val="20"/>
        </w:rPr>
        <w:t xml:space="preserve">Dolní Hedeč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8C7ABE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1F1AC404"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0DE941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55E4DB06"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47B361C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066390">
        <w:rPr>
          <w:rFonts w:ascii="Times New Roman" w:hAnsi="Times New Roman" w:cs="Times New Roman"/>
          <w:szCs w:val="20"/>
          <w:highlight w:val="yellow"/>
          <w:lang w:val="cs-CZ"/>
        </w:rPr>
        <w:t>……</w:t>
      </w:r>
      <w:r w:rsidRPr="00066390">
        <w:rPr>
          <w:rFonts w:ascii="Times New Roman" w:hAnsi="Times New Roman" w:cs="Times New Roman"/>
          <w:szCs w:val="20"/>
          <w:highlight w:val="yellow"/>
        </w:rPr>
        <w:t>..</w:t>
      </w:r>
    </w:p>
    <w:p w14:paraId="47B9E42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4172B17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80F016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22B52708"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w:t>
      </w:r>
      <w:r w:rsidRPr="004F5C66">
        <w:rPr>
          <w:rFonts w:ascii="Times New Roman" w:hAnsi="Times New Roman" w:cs="Times New Roman"/>
          <w:lang w:val="cs-CZ"/>
        </w:rPr>
        <w:lastRenderedPageBreak/>
        <w:t xml:space="preserve">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1AA71F3F"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866765A"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2DD71298"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2EF11807"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723390F8"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F4D5E6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62C377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3958AF1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1A41DD8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6BDD15A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B959B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557CC331"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 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2E590246"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27B8F83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7E1840EE" w14:textId="21D4D21D"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D8323D">
        <w:rPr>
          <w:rFonts w:ascii="Times New Roman" w:hAnsi="Times New Roman" w:cs="Times New Roman"/>
          <w:lang w:val="cs-CZ"/>
        </w:rPr>
        <w:t>1 měsíce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w:t>
      </w:r>
      <w:r w:rsidRPr="004F5C66">
        <w:rPr>
          <w:rFonts w:ascii="Times New Roman" w:hAnsi="Times New Roman" w:cs="Times New Roman"/>
          <w:lang w:val="cs-CZ"/>
        </w:rPr>
        <w:lastRenderedPageBreak/>
        <w:t>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037FE59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5C96D64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21A80DA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4E00649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0201E1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6B304B4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36C3B4B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CF97A7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9DC3631" w14:textId="7E2C63A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00D8323D">
        <w:rPr>
          <w:rFonts w:ascii="Times New Roman" w:hAnsi="Times New Roman" w:cs="Times New Roman"/>
        </w:rPr>
        <w:t>.</w:t>
      </w:r>
      <w:r w:rsidRPr="004F5C66">
        <w:rPr>
          <w:rFonts w:ascii="Times New Roman" w:hAnsi="Times New Roman" w:cs="Times New Roman"/>
          <w:lang w:val="cs-CZ"/>
        </w:rPr>
        <w:t xml:space="preserve"> </w:t>
      </w:r>
    </w:p>
    <w:p w14:paraId="7017E58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FCCF27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547F70DD"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3819A4C1"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4AD24B1E"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09890EC"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29A59539" w14:textId="24224F6B" w:rsidR="00354192" w:rsidRPr="0062515B" w:rsidRDefault="00354192" w:rsidP="00D8323D">
      <w:pPr>
        <w:pStyle w:val="Odstaveca"/>
        <w:ind w:left="1560" w:hanging="709"/>
        <w:rPr>
          <w:rFonts w:ascii="Times New Roman" w:hAnsi="Times New Roman" w:cs="Times New Roman"/>
          <w:lang w:val="cs-CZ"/>
        </w:rPr>
      </w:pPr>
      <w:r w:rsidRPr="00D8323D">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D8323D">
        <w:rPr>
          <w:rFonts w:ascii="Times New Roman" w:hAnsi="Times New Roman" w:cs="Times New Roman"/>
          <w:lang w:val="cs-CZ"/>
        </w:rPr>
        <w:t xml:space="preserve"> </w:t>
      </w:r>
      <w:r w:rsidRPr="00D8323D">
        <w:rPr>
          <w:rFonts w:ascii="Times New Roman" w:hAnsi="Times New Roman" w:cs="Times New Roman"/>
          <w:lang w:val="cs-CZ"/>
        </w:rPr>
        <w:t xml:space="preserve">Jednotlivé nárokové listy určené k rozeslání vlastníkům budou opatřeny originálem razítka a podpisem osoby úředně oprávněné k projektování pozemkových úprav. Ke každému nárokovému listu bude také připojeno grafické zobrazení parcel </w:t>
      </w:r>
      <w:r w:rsidRPr="0062515B">
        <w:rPr>
          <w:rFonts w:ascii="Times New Roman" w:hAnsi="Times New Roman" w:cs="Times New Roman"/>
          <w:lang w:val="cs-CZ"/>
        </w:rPr>
        <w:t>konkrétního nárokového listu.</w:t>
      </w:r>
    </w:p>
    <w:p w14:paraId="505A636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Při zjištění změny údajů o dotčených vlastnících nebo pozemcích provede zhotovitel aktualizaci jejich soupisů nároků a objednatel je doručí dotčeným vlastníkům.</w:t>
      </w:r>
    </w:p>
    <w:p w14:paraId="36A3588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338725A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62BC5ADF"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6EF709BB"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63D3A4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5F18CA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5EAD10B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066617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62B511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57731932"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59A71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4109A8E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2AA0EED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7AF7C14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0DBE1DA8"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5184625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w:t>
      </w:r>
      <w:r w:rsidR="00354192" w:rsidRPr="004F5C66">
        <w:rPr>
          <w:rFonts w:ascii="Times New Roman" w:hAnsi="Times New Roman" w:cs="Times New Roman"/>
          <w:lang w:val="cs-CZ"/>
        </w:rPr>
        <w:lastRenderedPageBreak/>
        <w:t xml:space="preserve">podélných profilů. Příčné řezy budou vyhotoveny ke každému podélnému profilu ve vzdálenosti max. po 50 m a jsou zahrnuty do kalkulace ceny. </w:t>
      </w:r>
    </w:p>
    <w:p w14:paraId="5EBC7E5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046A87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31B8C7A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8D0FC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247011BA"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7A64CE4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084A8577"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DEEC986"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CB5E25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8B9C49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79B83856"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B5626C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319F9DB"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3693196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44366C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68C9D32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1B56ABD"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47CC8E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0D898D2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70F843D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7F4F7DE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279EB97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0F3D4E3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3DEE5ADD"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7C20A3AD"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B342A6C"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6B4C2D66"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64769CC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3569B93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w:t>
      </w:r>
      <w:r w:rsidRPr="006F3D14">
        <w:rPr>
          <w:rFonts w:ascii="Times New Roman" w:hAnsi="Times New Roman" w:cs="Times New Roman"/>
          <w:szCs w:val="20"/>
          <w:lang w:val="cs-CZ"/>
        </w:rPr>
        <w:lastRenderedPageBreak/>
        <w:t xml:space="preserve">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33F43A6B"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3B71EBDF"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1C728B0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714D3EA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3B6A3B3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756F0BE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028124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C520FB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5332158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4371D14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0075C7A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17993C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702837E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51F4833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2C5A8BC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28B03C7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0C0D44E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741A16CE"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7E9CD74" w14:textId="77777777" w:rsidR="0062515B" w:rsidRPr="0062515B" w:rsidRDefault="00354192" w:rsidP="0062515B">
      <w:pPr>
        <w:pStyle w:val="Odstavecseseznamem"/>
        <w:ind w:left="709" w:hanging="709"/>
        <w:rPr>
          <w:rFonts w:ascii="Times New Roman" w:hAnsi="Times New Roman" w:cs="Times New Roman"/>
          <w:szCs w:val="20"/>
          <w:lang w:val="cs-CZ"/>
        </w:rPr>
      </w:pPr>
      <w:r w:rsidRPr="0062515B">
        <w:rPr>
          <w:rFonts w:ascii="Times New Roman" w:hAnsi="Times New Roman" w:cs="Times New Roman"/>
          <w:szCs w:val="20"/>
          <w:lang w:val="cs-CZ"/>
        </w:rPr>
        <w:t xml:space="preserve">Části díla budou předávány v sídle SPÚ – </w:t>
      </w:r>
      <w:r w:rsidRPr="0062515B">
        <w:rPr>
          <w:rFonts w:ascii="Times New Roman" w:hAnsi="Times New Roman" w:cs="Times New Roman"/>
          <w:szCs w:val="20"/>
        </w:rPr>
        <w:t xml:space="preserve">Krajského pozemkového úřadu, </w:t>
      </w:r>
      <w:r w:rsidRPr="0062515B">
        <w:rPr>
          <w:rFonts w:ascii="Times New Roman" w:hAnsi="Times New Roman" w:cs="Times New Roman"/>
          <w:szCs w:val="20"/>
          <w:lang w:val="cs-CZ"/>
        </w:rPr>
        <w:t xml:space="preserve">Pobočky </w:t>
      </w:r>
      <w:r w:rsidR="0062515B" w:rsidRPr="0062515B">
        <w:rPr>
          <w:rFonts w:ascii="Times New Roman" w:hAnsi="Times New Roman" w:cs="Times New Roman"/>
          <w:szCs w:val="20"/>
          <w:lang w:val="cs-CZ"/>
        </w:rPr>
        <w:t xml:space="preserve">Ústí nad Orlicí, adresa Tvardkova 1191, </w:t>
      </w:r>
      <w:r w:rsidR="0062515B" w:rsidRPr="0062515B">
        <w:rPr>
          <w:rFonts w:ascii="Times New Roman" w:hAnsi="Times New Roman" w:cs="Times New Roman"/>
          <w:szCs w:val="20"/>
        </w:rPr>
        <w:t>56201 Ústí nad Orlicí</w:t>
      </w:r>
      <w:r w:rsidR="0062515B" w:rsidRPr="0062515B">
        <w:rPr>
          <w:rFonts w:ascii="Times New Roman" w:hAnsi="Times New Roman" w:cs="Times New Roman"/>
          <w:szCs w:val="20"/>
          <w:lang w:val="cs-CZ"/>
        </w:rPr>
        <w:t>.</w:t>
      </w:r>
      <w:r w:rsidR="0062515B" w:rsidRPr="0062515B">
        <w:rPr>
          <w:rFonts w:ascii="Times New Roman" w:hAnsi="Times New Roman" w:cs="Times New Roman"/>
          <w:szCs w:val="20"/>
        </w:rPr>
        <w:t xml:space="preserve"> </w:t>
      </w:r>
    </w:p>
    <w:p w14:paraId="57E65256" w14:textId="77777777" w:rsidR="00E223E2" w:rsidRPr="0062515B" w:rsidRDefault="003F2720" w:rsidP="0036254C">
      <w:pPr>
        <w:pStyle w:val="Odstavecseseznamem"/>
        <w:ind w:left="709" w:hanging="709"/>
        <w:rPr>
          <w:rFonts w:ascii="Times New Roman" w:hAnsi="Times New Roman" w:cs="Times New Roman"/>
          <w:szCs w:val="20"/>
          <w:lang w:val="cs-CZ"/>
        </w:rPr>
      </w:pPr>
      <w:r w:rsidRPr="0062515B">
        <w:rPr>
          <w:rFonts w:ascii="Times New Roman" w:hAnsi="Times New Roman" w:cs="Times New Roman"/>
          <w:szCs w:val="20"/>
          <w:lang w:val="cs-CZ"/>
        </w:rPr>
        <w:t xml:space="preserve">Objednatel provede kontrolu </w:t>
      </w:r>
      <w:r w:rsidR="00F52DCA" w:rsidRPr="0062515B">
        <w:rPr>
          <w:rFonts w:ascii="Times New Roman" w:hAnsi="Times New Roman" w:cs="Times New Roman"/>
          <w:szCs w:val="20"/>
          <w:lang w:val="cs-CZ"/>
        </w:rPr>
        <w:t>předaných</w:t>
      </w:r>
      <w:r w:rsidRPr="0062515B">
        <w:rPr>
          <w:rFonts w:ascii="Times New Roman" w:hAnsi="Times New Roman" w:cs="Times New Roman"/>
          <w:szCs w:val="20"/>
          <w:lang w:val="cs-CZ"/>
        </w:rPr>
        <w:t xml:space="preserve"> </w:t>
      </w:r>
      <w:r w:rsidR="00CD0FD2" w:rsidRPr="0062515B">
        <w:rPr>
          <w:rFonts w:ascii="Times New Roman" w:hAnsi="Times New Roman" w:cs="Times New Roman"/>
          <w:szCs w:val="20"/>
          <w:lang w:val="cs-CZ"/>
        </w:rPr>
        <w:t>dílčích částí</w:t>
      </w:r>
      <w:r w:rsidRPr="0062515B">
        <w:rPr>
          <w:rFonts w:ascii="Times New Roman" w:hAnsi="Times New Roman" w:cs="Times New Roman"/>
          <w:szCs w:val="20"/>
          <w:lang w:val="cs-CZ"/>
        </w:rPr>
        <w:t xml:space="preserve"> podle čl. III. do 30 dnů</w:t>
      </w:r>
      <w:r w:rsidR="007770A5" w:rsidRPr="0062515B">
        <w:rPr>
          <w:rFonts w:ascii="Times New Roman" w:hAnsi="Times New Roman" w:cs="Times New Roman"/>
          <w:szCs w:val="20"/>
          <w:lang w:val="cs-CZ"/>
        </w:rPr>
        <w:t xml:space="preserve"> od převzetí</w:t>
      </w:r>
      <w:r w:rsidR="003D54E2" w:rsidRPr="0062515B">
        <w:rPr>
          <w:rFonts w:ascii="Times New Roman" w:hAnsi="Times New Roman" w:cs="Times New Roman"/>
          <w:szCs w:val="20"/>
          <w:lang w:val="cs-CZ"/>
        </w:rPr>
        <w:t xml:space="preserve"> díla ke kontrole</w:t>
      </w:r>
      <w:r w:rsidR="007770A5" w:rsidRPr="0062515B">
        <w:rPr>
          <w:rFonts w:ascii="Times New Roman" w:hAnsi="Times New Roman" w:cs="Times New Roman"/>
          <w:szCs w:val="20"/>
          <w:lang w:val="cs-CZ"/>
        </w:rPr>
        <w:t>.</w:t>
      </w:r>
    </w:p>
    <w:p w14:paraId="39F19C83"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050E1D51"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9876A18"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2AFDE101"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68ADA55F"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68AE2EB0"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7D41F578"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6672ED22"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62002AF5"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3B7CF1A4"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434EE4FD"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44B39188"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37E2DD28"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154B1DB4"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7DBF3184"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2ADB9ED3"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4668C085"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BAE8D2D"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326ACF8A"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46A8B2F4"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50E621F7"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27B1ED1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6FE0E4C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7E84A0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1B51E81"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5FF28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51A016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6D140F"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A766A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E49673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1B4224F"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95076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71EF9B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10A55D2"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48B17D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77BF94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5F7E9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87F98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745D5B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16AE5E"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2C585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A49C57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D25FFE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5D793B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6B2A4498"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4F96628B"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574F5AEB"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1A5FBCD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65DC6B4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540C879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7FB99A6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0E65E56C"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761F1F19" w14:textId="77777777" w:rsidR="0062515B" w:rsidRPr="0062515B" w:rsidRDefault="00354192" w:rsidP="0062515B">
      <w:pPr>
        <w:pStyle w:val="Odstavecseseznamem"/>
        <w:ind w:left="709" w:hanging="709"/>
        <w:rPr>
          <w:rFonts w:ascii="Times New Roman" w:hAnsi="Times New Roman" w:cs="Times New Roman"/>
          <w:szCs w:val="20"/>
        </w:rPr>
      </w:pPr>
      <w:r w:rsidRPr="0062515B">
        <w:rPr>
          <w:rFonts w:ascii="Times New Roman" w:hAnsi="Times New Roman" w:cs="Times New Roman"/>
          <w:szCs w:val="20"/>
          <w:lang w:val="cs-CZ"/>
        </w:rPr>
        <w:t>Faktura</w:t>
      </w:r>
      <w:r w:rsidRPr="0062515B">
        <w:rPr>
          <w:rFonts w:ascii="Times New Roman" w:hAnsi="Times New Roman" w:cs="Times New Roman"/>
          <w:szCs w:val="20"/>
        </w:rPr>
        <w:t>ční adresa: Státní pozemkový úřad, Husinecká 1024/11a, 130 00 Praha 3 – Žižkov, IČO: 01312774.</w:t>
      </w:r>
      <w:r w:rsidR="000669FB" w:rsidRPr="0062515B">
        <w:rPr>
          <w:rFonts w:ascii="Times New Roman" w:hAnsi="Times New Roman" w:cs="Times New Roman"/>
          <w:szCs w:val="20"/>
        </w:rPr>
        <w:t xml:space="preserve"> Faktury budou zasílány na adresu: </w:t>
      </w:r>
      <w:r w:rsidR="0062515B" w:rsidRPr="0062515B">
        <w:rPr>
          <w:rFonts w:ascii="Times New Roman" w:hAnsi="Times New Roman" w:cs="Times New Roman"/>
          <w:szCs w:val="20"/>
        </w:rPr>
        <w:t>Státní pozemkový úřad, Pobočka Ústí nad Orlicí, Tvardkova 1191, 562 01 Ústí nad Orlicí.</w:t>
      </w:r>
    </w:p>
    <w:p w14:paraId="4261444E" w14:textId="77777777" w:rsidR="00354192" w:rsidRPr="0062515B" w:rsidRDefault="00354192" w:rsidP="00A762B6">
      <w:pPr>
        <w:pStyle w:val="Odstavecseseznamem"/>
        <w:ind w:left="709" w:hanging="709"/>
        <w:rPr>
          <w:rFonts w:ascii="Times New Roman" w:hAnsi="Times New Roman" w:cs="Times New Roman"/>
          <w:szCs w:val="20"/>
          <w:lang w:val="cs-CZ"/>
        </w:rPr>
      </w:pPr>
      <w:r w:rsidRPr="0062515B">
        <w:rPr>
          <w:rFonts w:ascii="Times New Roman" w:hAnsi="Times New Roman" w:cs="Times New Roman"/>
          <w:szCs w:val="20"/>
        </w:rPr>
        <w:lastRenderedPageBreak/>
        <w:t>Fakturace</w:t>
      </w:r>
      <w:r w:rsidRPr="0062515B">
        <w:rPr>
          <w:rFonts w:ascii="Times New Roman" w:hAnsi="Times New Roman" w:cs="Times New Roman"/>
          <w:szCs w:val="20"/>
          <w:lang w:val="cs-CZ"/>
        </w:rPr>
        <w:t xml:space="preserve"> bude prováděna po dokončení jednotlivých dílčích částí, na základě schvalovacího protokolu</w:t>
      </w:r>
      <w:r w:rsidR="0055670A" w:rsidRPr="0062515B">
        <w:rPr>
          <w:rFonts w:ascii="Times New Roman" w:hAnsi="Times New Roman" w:cs="Times New Roman"/>
          <w:szCs w:val="20"/>
          <w:lang w:val="cs-CZ"/>
        </w:rPr>
        <w:t xml:space="preserve"> </w:t>
      </w:r>
      <w:r w:rsidRPr="0062515B">
        <w:rPr>
          <w:rFonts w:ascii="Times New Roman" w:hAnsi="Times New Roman" w:cs="Times New Roman"/>
          <w:szCs w:val="20"/>
          <w:lang w:val="cs-CZ"/>
        </w:rPr>
        <w:t>o předání a převzetí prací bez vad a nedodělků</w:t>
      </w:r>
      <w:r w:rsidR="0055670A" w:rsidRPr="0062515B">
        <w:rPr>
          <w:rFonts w:ascii="Times New Roman" w:hAnsi="Times New Roman" w:cs="Times New Roman"/>
          <w:szCs w:val="20"/>
          <w:lang w:val="cs-CZ"/>
        </w:rPr>
        <w:t>,  vystaveného objednatelem</w:t>
      </w:r>
      <w:r w:rsidRPr="0062515B">
        <w:rPr>
          <w:rFonts w:ascii="Times New Roman" w:hAnsi="Times New Roman" w:cs="Times New Roman"/>
          <w:szCs w:val="20"/>
          <w:lang w:val="cs-CZ"/>
        </w:rPr>
        <w:t xml:space="preserve">. Bez tohoto potvrzeného protokolu nesmí být faktura vystavena. V případě, že se bude jednat </w:t>
      </w:r>
      <w:r w:rsidRPr="0062515B">
        <w:rPr>
          <w:rFonts w:ascii="Times New Roman" w:hAnsi="Times New Roman" w:cs="Times New Roman"/>
          <w:szCs w:val="20"/>
        </w:rPr>
        <w:t xml:space="preserve">o </w:t>
      </w:r>
      <w:r w:rsidRPr="0062515B">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28862CB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E6E542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9F36A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5C019B3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44AD277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41CFAB7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56F1C6A7"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45EC704"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1305AF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374DE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50B37FDD"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113D13EF"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6F3278B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7E4DC37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Zhotovitel souhlasí, aby objednatel každou byť i nesplatnou smluvní pokutu nebo náhradu škody, na níž mu vznikne nárok, v plné výši započetl vůči nároku zhotovitele na uhrazení faktury vystavené dle čl. VII.</w:t>
      </w:r>
    </w:p>
    <w:p w14:paraId="0851AFD7" w14:textId="19CE48B6"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C007B3" w:rsidRPr="007E31D5">
        <w:rPr>
          <w:rFonts w:ascii="Times New Roman" w:hAnsi="Times New Roman" w:cs="Times New Roman"/>
          <w:szCs w:val="20"/>
          <w:highlight w:val="yellow"/>
          <w:lang w:val="cs-CZ"/>
        </w:rPr>
        <w:t>…...</w:t>
      </w:r>
      <w:r w:rsidRPr="007E31D5">
        <w:rPr>
          <w:rFonts w:ascii="Times New Roman" w:hAnsi="Times New Roman" w:cs="Times New Roman"/>
          <w:szCs w:val="20"/>
          <w:highlight w:val="yellow"/>
          <w:lang w:val="cs-CZ"/>
        </w:rPr>
        <w:t>měsíců</w:t>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0D3705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89C46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623F59A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35E95FC"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EACC13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547DE8B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D55D7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137333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1DB58AB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89698D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472699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448A40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1C8D3B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48B592DB" w14:textId="77777777"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probíhá insolvenční řízení proti majetku zhotovitele, v němž bylo vydáno rozhodnutí o úpadku nebo byl konkurs zrušen proto, že majetek zhotovitele byl zcela nepostačující;</w:t>
      </w:r>
    </w:p>
    <w:p w14:paraId="78CFC847" w14:textId="77777777"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zhotovitel vstoupí do likvidace;</w:t>
      </w:r>
    </w:p>
    <w:p w14:paraId="56433B23" w14:textId="77777777"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nastane vyšší moc, kdy dojde k okolnostem, které nemohou smluvní strany ovlivnit a které zcela nebo na dobu delší než 3 měsíců znemožní některé ze smluvních stran plnit své závazky ze smlouvy.</w:t>
      </w:r>
    </w:p>
    <w:p w14:paraId="6C40848E" w14:textId="77777777" w:rsidR="00583D8E" w:rsidRPr="00583D8E" w:rsidRDefault="00583D8E" w:rsidP="00583D8E">
      <w:pPr>
        <w:pStyle w:val="Odstavecseseznamem"/>
        <w:ind w:left="709" w:hanging="709"/>
        <w:rPr>
          <w:rFonts w:ascii="Times New Roman" w:hAnsi="Times New Roman" w:cs="Times New Roman"/>
          <w:szCs w:val="20"/>
          <w:lang w:val="cs-CZ"/>
        </w:rPr>
      </w:pPr>
      <w:r w:rsidRPr="00583D8E">
        <w:rPr>
          <w:rFonts w:ascii="Times New Roman" w:hAnsi="Times New Roman" w:cs="Times New Roman"/>
          <w:szCs w:val="20"/>
          <w:lang w:val="cs-CZ"/>
        </w:rPr>
        <w:t>Objednatel je oprávněn odstoupit od této smlouvy při podstatném porušení této smlouvy zhotovitelem zejména v případě:</w:t>
      </w:r>
    </w:p>
    <w:p w14:paraId="022A296F" w14:textId="757854E3"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 xml:space="preserve">neoprávněného zastavení či přerušení prací zhotovitelem na díle na dobu delší než </w:t>
      </w:r>
      <w:r>
        <w:rPr>
          <w:rFonts w:ascii="Times New Roman" w:hAnsi="Times New Roman" w:cs="Times New Roman"/>
          <w:szCs w:val="20"/>
          <w:lang w:val="cs-CZ"/>
        </w:rPr>
        <w:t>2</w:t>
      </w:r>
      <w:r w:rsidRPr="00583D8E">
        <w:rPr>
          <w:rFonts w:ascii="Times New Roman" w:hAnsi="Times New Roman" w:cs="Times New Roman"/>
          <w:szCs w:val="20"/>
          <w:lang w:val="cs-CZ"/>
        </w:rPr>
        <w:t xml:space="preserve"> kalendářních měsíců v rozporu s touto smlouvou,</w:t>
      </w:r>
    </w:p>
    <w:p w14:paraId="268445E4" w14:textId="77777777"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3B7A0902" w14:textId="77777777" w:rsidR="00583D8E" w:rsidRPr="00583D8E" w:rsidRDefault="00583D8E" w:rsidP="00583D8E">
      <w:pPr>
        <w:pStyle w:val="Odstavec111"/>
        <w:ind w:left="1418" w:hanging="709"/>
        <w:rPr>
          <w:rFonts w:ascii="Times New Roman" w:hAnsi="Times New Roman" w:cs="Times New Roman"/>
          <w:szCs w:val="20"/>
          <w:lang w:val="cs-CZ"/>
        </w:rPr>
      </w:pPr>
      <w:r w:rsidRPr="00583D8E">
        <w:rPr>
          <w:rFonts w:ascii="Times New Roman" w:hAnsi="Times New Roman" w:cs="Times New Roman"/>
          <w:szCs w:val="20"/>
          <w:lang w:val="cs-CZ"/>
        </w:rPr>
        <w:t xml:space="preserve"> kdy vyjde najevo, že zhotovitel uvedl v rámci zadávacího řízení nepravdivé či zkreslené informace, které by měly zřejmý vliv na výběr zhotovitele pro uzavření této smlouvy</w:t>
      </w:r>
    </w:p>
    <w:p w14:paraId="53B85FA7" w14:textId="132E3876" w:rsidR="00583D8E" w:rsidRPr="001F6D82" w:rsidRDefault="00583D8E" w:rsidP="00BF3D41">
      <w:pPr>
        <w:pStyle w:val="Odstavec111"/>
        <w:ind w:left="1418" w:hanging="709"/>
        <w:rPr>
          <w:rFonts w:ascii="Times New Roman" w:hAnsi="Times New Roman" w:cs="Times New Roman"/>
          <w:szCs w:val="20"/>
          <w:lang w:val="cs-CZ"/>
        </w:rPr>
      </w:pPr>
      <w:r w:rsidRPr="001F6D82">
        <w:rPr>
          <w:rFonts w:ascii="Times New Roman" w:hAnsi="Times New Roman" w:cs="Times New Roman"/>
          <w:szCs w:val="20"/>
          <w:lang w:val="cs-CZ"/>
        </w:rPr>
        <w:t xml:space="preserve">jiného porušení povinností dle této smlouvy, které nebude odstraněno ani v dostatečně přiměřené lhůtě </w:t>
      </w:r>
      <w:r w:rsidRPr="00583D8E">
        <w:rPr>
          <w:rFonts w:ascii="Times New Roman" w:hAnsi="Times New Roman" w:cs="Times New Roman"/>
          <w:szCs w:val="20"/>
          <w:lang w:val="cs-CZ"/>
        </w:rPr>
        <w:t>stanovené objednatelem</w:t>
      </w:r>
      <w:r w:rsidRPr="001F6D82">
        <w:rPr>
          <w:rFonts w:ascii="Times New Roman" w:hAnsi="Times New Roman" w:cs="Times New Roman"/>
          <w:szCs w:val="20"/>
          <w:lang w:val="cs-CZ"/>
        </w:rPr>
        <w:t>.</w:t>
      </w:r>
    </w:p>
    <w:p w14:paraId="633A5FE9" w14:textId="77777777" w:rsidR="00583D8E" w:rsidRPr="00583D8E" w:rsidRDefault="00583D8E" w:rsidP="00583D8E">
      <w:pPr>
        <w:pStyle w:val="Odstavecseseznamem"/>
        <w:ind w:left="709"/>
        <w:rPr>
          <w:rFonts w:ascii="Times New Roman" w:hAnsi="Times New Roman" w:cs="Times New Roman"/>
          <w:szCs w:val="20"/>
          <w:lang w:val="cs-CZ"/>
        </w:rPr>
      </w:pPr>
      <w:r w:rsidRPr="00583D8E">
        <w:rPr>
          <w:rFonts w:ascii="Times New Roman" w:hAnsi="Times New Roman" w:cs="Times New Roman"/>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517E4A1B" w14:textId="77777777" w:rsidR="00583D8E" w:rsidRPr="00583D8E" w:rsidRDefault="00583D8E" w:rsidP="00583D8E">
      <w:pPr>
        <w:pStyle w:val="Odstavecseseznamem"/>
        <w:ind w:left="709"/>
        <w:rPr>
          <w:rFonts w:ascii="Times New Roman" w:hAnsi="Times New Roman" w:cs="Times New Roman"/>
          <w:szCs w:val="20"/>
          <w:lang w:val="cs-CZ"/>
        </w:rPr>
      </w:pPr>
      <w:r w:rsidRPr="00583D8E">
        <w:rPr>
          <w:rFonts w:ascii="Times New Roman" w:hAnsi="Times New Roman" w:cs="Times New Roman"/>
          <w:szCs w:val="20"/>
          <w:lang w:val="cs-CZ"/>
        </w:rPr>
        <w:lastRenderedPageBreak/>
        <w:t>V případě prodlení zhotovitele s předáním díla (tzn.porušení povinnosti zhotovitelem) dle článku V. této smlouvy je objednatel  oprávněn odstoupit poté, co poskytl zhotoviteli dodatečnou přiměřenou lhůtu k plnění a zhotovitel ani v této dodatečné příměřené lhůtě porušovanou povinnost nesplní.</w:t>
      </w:r>
    </w:p>
    <w:p w14:paraId="41721A5B" w14:textId="77777777" w:rsidR="00354192" w:rsidRPr="006F3D14" w:rsidRDefault="00354192" w:rsidP="00583D8E">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169F63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6918728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9EF76B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22AB49F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204154A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0558A4C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34B5CBD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3D59F2B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3EC20B4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3536D192"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1312ABC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E54ADA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197FBDA"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5EA59589"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1166A39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299E337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35284540"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4F581D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983DE6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2F86E43"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FAACD70" w14:textId="73F4D4C8"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62515B">
        <w:rPr>
          <w:rFonts w:ascii="Times New Roman" w:hAnsi="Times New Roman" w:cs="Times New Roman"/>
          <w:szCs w:val="20"/>
        </w:rPr>
        <w:t>200 000</w:t>
      </w:r>
      <w:r w:rsidRPr="006F3D14">
        <w:rPr>
          <w:rFonts w:ascii="Times New Roman" w:hAnsi="Times New Roman" w:cs="Times New Roman"/>
          <w:szCs w:val="20"/>
        </w:rPr>
        <w:t xml:space="preserve"> Kč (slovy </w:t>
      </w:r>
      <w:r w:rsidR="00CE3630">
        <w:rPr>
          <w:rFonts w:ascii="Times New Roman" w:hAnsi="Times New Roman" w:cs="Times New Roman"/>
          <w:szCs w:val="20"/>
        </w:rPr>
        <w:t>dvěstětisíc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983E5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Jiná ujednání</w:t>
      </w:r>
    </w:p>
    <w:p w14:paraId="099D7F9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7A342C0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E89EB8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C1D4B9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1AE8FC5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7725DA24"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22E81E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4D3B3BD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473594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836110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1D371D0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66111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t.j. </w:t>
      </w:r>
      <w:r w:rsidRPr="002F714C">
        <w:rPr>
          <w:rFonts w:ascii="Times New Roman" w:hAnsi="Times New Roman" w:cs="Times New Roman"/>
          <w:szCs w:val="20"/>
          <w:highlight w:val="yellow"/>
        </w:rPr>
        <w:t>......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4E9165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D0A11D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65A6A7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45B28A6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D7570D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9555DD">
        <w:rPr>
          <w:rFonts w:ascii="Times New Roman" w:hAnsi="Times New Roman" w:cs="Times New Roman"/>
          <w:szCs w:val="20"/>
          <w:highlight w:val="yellow"/>
        </w:rPr>
        <w:t xml:space="preserve">bude / nebude </w:t>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w:t>
      </w:r>
      <w:r w:rsidRPr="00CB1BC7">
        <w:rPr>
          <w:rFonts w:ascii="Times New Roman" w:hAnsi="Times New Roman" w:cs="Times New Roman"/>
          <w:szCs w:val="20"/>
          <w:highlight w:val="yellow"/>
        </w:rPr>
        <w:t>Pokud ano</w:t>
      </w:r>
      <w:r w:rsidRPr="006F3D14">
        <w:rPr>
          <w:rFonts w:ascii="Times New Roman" w:hAnsi="Times New Roman" w:cs="Times New Roman"/>
          <w:szCs w:val="20"/>
        </w:rPr>
        <w:t xml:space="preserve">,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D76712C"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53E07E1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6651779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E66C4A2"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7926BB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373A544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C9A594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860F07C" w14:textId="2E3EC864"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w:t>
      </w:r>
      <w:r w:rsidR="00212F03" w:rsidRPr="00212F03">
        <w:rPr>
          <w:rFonts w:ascii="Times New Roman" w:hAnsi="Times New Roman" w:cs="Times New Roman"/>
          <w:szCs w:val="20"/>
          <w:lang w:val="cs-CZ"/>
        </w:rPr>
        <w:t xml:space="preserve">Příslušné </w:t>
      </w:r>
      <w:r w:rsidR="00212F03" w:rsidRPr="00212F03">
        <w:rPr>
          <w:rFonts w:ascii="Times New Roman" w:hAnsi="Times New Roman" w:cs="Times New Roman"/>
          <w:szCs w:val="20"/>
          <w:lang w:val="cs-CZ"/>
        </w:rPr>
        <w:lastRenderedPageBreak/>
        <w:t>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49F6954B" w14:textId="31BE9291" w:rsidR="00354192"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77098CFB" w14:textId="46212F2E" w:rsidR="00C9091A" w:rsidRPr="00C9091A" w:rsidRDefault="00C9091A" w:rsidP="00C9091A">
      <w:pPr>
        <w:pStyle w:val="Odstavecseseznamem"/>
        <w:ind w:left="709" w:hanging="709"/>
        <w:rPr>
          <w:rFonts w:ascii="Times New Roman" w:hAnsi="Times New Roman" w:cs="Times New Roman"/>
          <w:szCs w:val="20"/>
          <w:lang w:val="cs-CZ"/>
        </w:rPr>
      </w:pPr>
      <w:r w:rsidRPr="00C9091A">
        <w:rPr>
          <w:rFonts w:ascii="Times New Roman" w:hAnsi="Times New Roman" w:cs="Times New Roman"/>
          <w:szCs w:val="20"/>
          <w:lang w:val="cs-CZ"/>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23199862" w14:textId="77777777" w:rsidR="00F44EF0" w:rsidRPr="00F44EF0" w:rsidRDefault="00F44EF0" w:rsidP="00F44EF0">
      <w:pPr>
        <w:pStyle w:val="Odstavecseseznamem"/>
        <w:ind w:left="709" w:hanging="709"/>
        <w:rPr>
          <w:rFonts w:ascii="Times New Roman" w:hAnsi="Times New Roman" w:cs="Times New Roman"/>
          <w:szCs w:val="20"/>
          <w:lang w:val="cs-CZ"/>
        </w:rPr>
      </w:pPr>
      <w:r w:rsidRPr="00F44EF0">
        <w:rPr>
          <w:rFonts w:ascii="Times New Roman" w:hAnsi="Times New Roman" w:cs="Times New Roman"/>
          <w:szCs w:val="20"/>
          <w:lang w:val="cs-CZ"/>
        </w:rPr>
        <w:t>Smlouva nabývá platnosti dnem podpisu smluvních stran a účinnosti dnem jejího uveřejnění v registru smluv dle § 6 odst. 1 zákona č. 340/2015 Sb., o zvláštních podmínkách účinnosti některých smluv, uveřejňování těchto smluv a o registru smluv (zákon o registru smluv).   </w:t>
      </w:r>
    </w:p>
    <w:p w14:paraId="52ECF219"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67109414"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020DABCB"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1844D21"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B8FE8A6"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03EC10D6" w14:textId="77777777" w:rsidTr="00DA502E">
        <w:trPr>
          <w:trHeight w:val="1020"/>
        </w:trPr>
        <w:tc>
          <w:tcPr>
            <w:tcW w:w="4531" w:type="dxa"/>
          </w:tcPr>
          <w:p w14:paraId="4ADCE3DF" w14:textId="0586F543"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 xml:space="preserve">V </w:t>
            </w:r>
            <w:r w:rsidR="00D47AB3">
              <w:rPr>
                <w:rFonts w:ascii="Times New Roman" w:hAnsi="Times New Roman" w:cs="Times New Roman"/>
                <w:szCs w:val="20"/>
                <w:lang w:val="cs-CZ"/>
              </w:rPr>
              <w:t>Pardubicích</w:t>
            </w:r>
            <w:r w:rsidRPr="0018058C">
              <w:rPr>
                <w:rFonts w:ascii="Times New Roman" w:hAnsi="Times New Roman" w:cs="Times New Roman"/>
                <w:szCs w:val="20"/>
                <w:lang w:val="cs-CZ"/>
              </w:rPr>
              <w:t xml:space="preserve"> dne ………………..</w:t>
            </w:r>
          </w:p>
          <w:p w14:paraId="171ECB5D"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136C711A"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423B9C68"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3C7DE082" w14:textId="77777777" w:rsidTr="00DA502E">
        <w:tc>
          <w:tcPr>
            <w:tcW w:w="4531" w:type="dxa"/>
          </w:tcPr>
          <w:p w14:paraId="124E870F"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69A00F75"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43DC0888" w14:textId="77777777" w:rsidTr="00DA502E">
        <w:trPr>
          <w:trHeight w:val="1299"/>
        </w:trPr>
        <w:tc>
          <w:tcPr>
            <w:tcW w:w="4531" w:type="dxa"/>
          </w:tcPr>
          <w:p w14:paraId="441AAF5F" w14:textId="77777777" w:rsidR="00354192" w:rsidRPr="006F3D14" w:rsidRDefault="00354192" w:rsidP="00DA502E">
            <w:pPr>
              <w:rPr>
                <w:rFonts w:ascii="Times New Roman" w:hAnsi="Times New Roman" w:cs="Times New Roman"/>
                <w:szCs w:val="20"/>
                <w:lang w:val="cs-CZ"/>
              </w:rPr>
            </w:pPr>
          </w:p>
          <w:p w14:paraId="4EC6A8AD" w14:textId="77777777" w:rsidR="00354192" w:rsidRPr="006F3D14" w:rsidRDefault="00354192" w:rsidP="00DA502E">
            <w:pPr>
              <w:rPr>
                <w:rFonts w:ascii="Times New Roman" w:hAnsi="Times New Roman" w:cs="Times New Roman"/>
                <w:szCs w:val="20"/>
                <w:lang w:val="cs-CZ"/>
              </w:rPr>
            </w:pPr>
          </w:p>
        </w:tc>
        <w:tc>
          <w:tcPr>
            <w:tcW w:w="4531" w:type="dxa"/>
          </w:tcPr>
          <w:p w14:paraId="3641D488" w14:textId="77777777" w:rsidR="00354192" w:rsidRPr="006F3D14" w:rsidRDefault="00354192" w:rsidP="00DA502E">
            <w:pPr>
              <w:rPr>
                <w:rFonts w:ascii="Times New Roman" w:hAnsi="Times New Roman" w:cs="Times New Roman"/>
                <w:szCs w:val="20"/>
                <w:lang w:val="cs-CZ"/>
              </w:rPr>
            </w:pPr>
          </w:p>
          <w:p w14:paraId="16833D86" w14:textId="77777777" w:rsidR="00354192" w:rsidRPr="006F3D14" w:rsidRDefault="00354192" w:rsidP="00DA502E">
            <w:pPr>
              <w:rPr>
                <w:rFonts w:ascii="Times New Roman" w:hAnsi="Times New Roman" w:cs="Times New Roman"/>
                <w:szCs w:val="20"/>
                <w:lang w:val="cs-CZ"/>
              </w:rPr>
            </w:pPr>
          </w:p>
        </w:tc>
      </w:tr>
      <w:tr w:rsidR="00354192" w:rsidRPr="006F3D14" w14:paraId="15ED9D79" w14:textId="77777777" w:rsidTr="00DA502E">
        <w:tc>
          <w:tcPr>
            <w:tcW w:w="4531" w:type="dxa"/>
          </w:tcPr>
          <w:p w14:paraId="6B4034DA"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19387B2B" w14:textId="77777777" w:rsidR="00354192" w:rsidRPr="006F3D14" w:rsidRDefault="00354192" w:rsidP="00DA502E">
            <w:pPr>
              <w:rPr>
                <w:rFonts w:ascii="Times New Roman" w:hAnsi="Times New Roman" w:cs="Times New Roman"/>
                <w:szCs w:val="20"/>
                <w:lang w:val="cs-CZ"/>
              </w:rPr>
            </w:pPr>
          </w:p>
          <w:p w14:paraId="561F0D3E" w14:textId="77777777" w:rsidR="00D47AB3" w:rsidRPr="006F3D14" w:rsidRDefault="00D47AB3" w:rsidP="00D47AB3">
            <w:pPr>
              <w:rPr>
                <w:rFonts w:ascii="Times New Roman" w:hAnsi="Times New Roman" w:cs="Times New Roman"/>
                <w:szCs w:val="20"/>
              </w:rPr>
            </w:pPr>
            <w:r>
              <w:rPr>
                <w:rFonts w:ascii="Times New Roman" w:hAnsi="Times New Roman" w:cs="Times New Roman"/>
                <w:szCs w:val="20"/>
              </w:rPr>
              <w:t>Ing. Miroslav Kučera,</w:t>
            </w:r>
          </w:p>
          <w:p w14:paraId="11F4A35B" w14:textId="004BDA4B" w:rsidR="00354192" w:rsidRPr="0018058C" w:rsidRDefault="00D47AB3" w:rsidP="00D47AB3">
            <w:pPr>
              <w:rPr>
                <w:rFonts w:ascii="Times New Roman" w:hAnsi="Times New Roman" w:cs="Times New Roman"/>
                <w:szCs w:val="20"/>
                <w:lang w:val="cs-CZ"/>
              </w:rPr>
            </w:pPr>
            <w:r>
              <w:rPr>
                <w:rFonts w:ascii="Times New Roman" w:hAnsi="Times New Roman" w:cs="Times New Roman"/>
                <w:szCs w:val="20"/>
              </w:rPr>
              <w:t>ředitel KPÚ pro Pardubický kraj</w:t>
            </w:r>
          </w:p>
        </w:tc>
        <w:tc>
          <w:tcPr>
            <w:tcW w:w="4531" w:type="dxa"/>
          </w:tcPr>
          <w:p w14:paraId="712B8BBC"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2E9C958C" w14:textId="77777777" w:rsidR="00354192" w:rsidRPr="006F3D14" w:rsidRDefault="00354192" w:rsidP="00DA502E">
            <w:pPr>
              <w:rPr>
                <w:rFonts w:ascii="Times New Roman" w:hAnsi="Times New Roman" w:cs="Times New Roman"/>
                <w:szCs w:val="20"/>
                <w:lang w:val="cs-CZ"/>
              </w:rPr>
            </w:pPr>
          </w:p>
          <w:p w14:paraId="4821E537"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57634226" w14:textId="77777777" w:rsidR="00354192" w:rsidRPr="006F3D14" w:rsidRDefault="00354192" w:rsidP="00DA502E">
            <w:pPr>
              <w:rPr>
                <w:rFonts w:ascii="Times New Roman" w:hAnsi="Times New Roman" w:cs="Times New Roman"/>
                <w:szCs w:val="20"/>
                <w:lang w:val="cs-CZ"/>
              </w:rPr>
            </w:pPr>
          </w:p>
        </w:tc>
      </w:tr>
      <w:tr w:rsidR="00FD1B71" w:rsidRPr="006F3D14" w14:paraId="5004604D" w14:textId="77777777" w:rsidTr="00DA502E">
        <w:tc>
          <w:tcPr>
            <w:tcW w:w="9062" w:type="dxa"/>
            <w:gridSpan w:val="2"/>
          </w:tcPr>
          <w:p w14:paraId="57BEF37D"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Příloha: </w:t>
            </w:r>
            <w:r w:rsidR="00FD1B71" w:rsidRPr="006F3D14">
              <w:rPr>
                <w:rFonts w:ascii="Times New Roman" w:hAnsi="Times New Roman" w:cs="Times New Roman"/>
                <w:szCs w:val="20"/>
                <w:lang w:val="cs-CZ"/>
              </w:rPr>
              <w:t xml:space="preserve"> Položkový výkaz činností</w:t>
            </w:r>
          </w:p>
          <w:p w14:paraId="538FD5A8" w14:textId="77777777" w:rsidR="00DA502E" w:rsidRPr="006F3D14" w:rsidRDefault="00DA502E" w:rsidP="00FD1B71">
            <w:pPr>
              <w:spacing w:before="240"/>
              <w:rPr>
                <w:rFonts w:ascii="Times New Roman" w:hAnsi="Times New Roman" w:cs="Times New Roman"/>
                <w:szCs w:val="20"/>
                <w:lang w:val="cs-CZ"/>
              </w:rPr>
            </w:pPr>
          </w:p>
        </w:tc>
      </w:tr>
    </w:tbl>
    <w:p w14:paraId="52EF54BF"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86D7F" w14:textId="77777777" w:rsidR="00967984" w:rsidRDefault="00967984">
      <w:pPr>
        <w:spacing w:after="0" w:line="240" w:lineRule="auto"/>
      </w:pPr>
      <w:r>
        <w:separator/>
      </w:r>
    </w:p>
  </w:endnote>
  <w:endnote w:type="continuationSeparator" w:id="0">
    <w:p w14:paraId="445753EA"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FC65" w14:textId="77777777" w:rsidR="00D949E7" w:rsidRDefault="00D949E7">
    <w:pPr>
      <w:pStyle w:val="Zpat"/>
      <w:pBdr>
        <w:bottom w:val="single" w:sz="6" w:space="1" w:color="auto"/>
      </w:pBdr>
      <w:jc w:val="right"/>
    </w:pPr>
  </w:p>
  <w:p w14:paraId="64D594D1" w14:textId="6DF8C4EA" w:rsidR="00D949E7" w:rsidRPr="0025120D" w:rsidRDefault="00C82EB8">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C82EB8">
          <w:rPr>
            <w:noProof/>
            <w:sz w:val="16"/>
            <w:lang w:val="cs-CZ"/>
          </w:rPr>
          <w:t>3</w:t>
        </w:r>
        <w:r w:rsidR="00D949E7" w:rsidRPr="0025120D">
          <w:rPr>
            <w:sz w:val="16"/>
          </w:rPr>
          <w:fldChar w:fldCharType="end"/>
        </w:r>
      </w:sdtContent>
    </w:sdt>
  </w:p>
  <w:p w14:paraId="70BB05DE"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94379" w14:textId="77777777" w:rsidR="00967984" w:rsidRDefault="00967984">
      <w:pPr>
        <w:spacing w:after="0" w:line="240" w:lineRule="auto"/>
      </w:pPr>
      <w:r>
        <w:separator/>
      </w:r>
    </w:p>
  </w:footnote>
  <w:footnote w:type="continuationSeparator" w:id="0">
    <w:p w14:paraId="5F6B0CAC"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9833" w14:textId="2DE37709"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62515B">
      <w:rPr>
        <w:sz w:val="16"/>
        <w:lang w:val="cs-CZ"/>
      </w:rPr>
      <w:t>Dolní Hedeč</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8796"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30A4561E"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B888176" w14:textId="21132444"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82EB8">
      <w:rPr>
        <w:rFonts w:ascii="Times New Roman" w:hAnsi="Times New Roman" w:cs="Times New Roman"/>
        <w:sz w:val="16"/>
      </w:rPr>
      <w:t>Dolní Hedeč</w:t>
    </w:r>
  </w:p>
  <w:p w14:paraId="2EDB4710"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A2C"/>
    <w:rsid w:val="00054FA7"/>
    <w:rsid w:val="00057C75"/>
    <w:rsid w:val="000604D3"/>
    <w:rsid w:val="00061A57"/>
    <w:rsid w:val="000622D1"/>
    <w:rsid w:val="00062DF2"/>
    <w:rsid w:val="00066390"/>
    <w:rsid w:val="000669FB"/>
    <w:rsid w:val="0007122E"/>
    <w:rsid w:val="0008661F"/>
    <w:rsid w:val="00091D71"/>
    <w:rsid w:val="000A0DA0"/>
    <w:rsid w:val="000A49A4"/>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1F6D82"/>
    <w:rsid w:val="00205DFC"/>
    <w:rsid w:val="00207846"/>
    <w:rsid w:val="00207B39"/>
    <w:rsid w:val="0021157D"/>
    <w:rsid w:val="00212F03"/>
    <w:rsid w:val="00213F86"/>
    <w:rsid w:val="00225DBD"/>
    <w:rsid w:val="0023089D"/>
    <w:rsid w:val="00234B50"/>
    <w:rsid w:val="0023503B"/>
    <w:rsid w:val="00240B25"/>
    <w:rsid w:val="00242179"/>
    <w:rsid w:val="00242212"/>
    <w:rsid w:val="0024266D"/>
    <w:rsid w:val="002427ED"/>
    <w:rsid w:val="00244904"/>
    <w:rsid w:val="00250677"/>
    <w:rsid w:val="00256693"/>
    <w:rsid w:val="00262BA3"/>
    <w:rsid w:val="00265825"/>
    <w:rsid w:val="002659CD"/>
    <w:rsid w:val="00276E15"/>
    <w:rsid w:val="0028248E"/>
    <w:rsid w:val="0028504E"/>
    <w:rsid w:val="00295DC7"/>
    <w:rsid w:val="002A08E6"/>
    <w:rsid w:val="002A1264"/>
    <w:rsid w:val="002A16BB"/>
    <w:rsid w:val="002A589C"/>
    <w:rsid w:val="002C2EAB"/>
    <w:rsid w:val="002C3B63"/>
    <w:rsid w:val="002D02B2"/>
    <w:rsid w:val="002D21C5"/>
    <w:rsid w:val="002D3562"/>
    <w:rsid w:val="002D6287"/>
    <w:rsid w:val="002E6B1D"/>
    <w:rsid w:val="002F714C"/>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13B9"/>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3D8E"/>
    <w:rsid w:val="0058538D"/>
    <w:rsid w:val="0058565F"/>
    <w:rsid w:val="00593039"/>
    <w:rsid w:val="0059331D"/>
    <w:rsid w:val="00593582"/>
    <w:rsid w:val="005A2300"/>
    <w:rsid w:val="005A673D"/>
    <w:rsid w:val="005A6814"/>
    <w:rsid w:val="005A6A7A"/>
    <w:rsid w:val="005C1CA3"/>
    <w:rsid w:val="005D1810"/>
    <w:rsid w:val="005E220A"/>
    <w:rsid w:val="005E6C74"/>
    <w:rsid w:val="005F52C9"/>
    <w:rsid w:val="005F788F"/>
    <w:rsid w:val="00600E64"/>
    <w:rsid w:val="00611D07"/>
    <w:rsid w:val="0062515B"/>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25CE"/>
    <w:rsid w:val="006E71B1"/>
    <w:rsid w:val="006F3D14"/>
    <w:rsid w:val="006F51A7"/>
    <w:rsid w:val="006F5C49"/>
    <w:rsid w:val="006F7F46"/>
    <w:rsid w:val="00702F1E"/>
    <w:rsid w:val="00703DD4"/>
    <w:rsid w:val="007078AC"/>
    <w:rsid w:val="00713442"/>
    <w:rsid w:val="00717E30"/>
    <w:rsid w:val="007233CC"/>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31D5"/>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86654"/>
    <w:rsid w:val="00892B8D"/>
    <w:rsid w:val="00893F3B"/>
    <w:rsid w:val="00895BF5"/>
    <w:rsid w:val="00895E59"/>
    <w:rsid w:val="00897CD0"/>
    <w:rsid w:val="008A1E2B"/>
    <w:rsid w:val="008B2509"/>
    <w:rsid w:val="008C3722"/>
    <w:rsid w:val="008C4AB9"/>
    <w:rsid w:val="008D60F8"/>
    <w:rsid w:val="008E5965"/>
    <w:rsid w:val="008E68B6"/>
    <w:rsid w:val="008F4522"/>
    <w:rsid w:val="0090466C"/>
    <w:rsid w:val="00904EBD"/>
    <w:rsid w:val="00920359"/>
    <w:rsid w:val="0093305D"/>
    <w:rsid w:val="00935518"/>
    <w:rsid w:val="0094057D"/>
    <w:rsid w:val="00940E69"/>
    <w:rsid w:val="00940EB1"/>
    <w:rsid w:val="009436AA"/>
    <w:rsid w:val="00951CB5"/>
    <w:rsid w:val="0095379E"/>
    <w:rsid w:val="009555DD"/>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0F1B"/>
    <w:rsid w:val="00A60CAF"/>
    <w:rsid w:val="00A66DE3"/>
    <w:rsid w:val="00A679CA"/>
    <w:rsid w:val="00A70A90"/>
    <w:rsid w:val="00A73ABE"/>
    <w:rsid w:val="00A7611F"/>
    <w:rsid w:val="00A820CD"/>
    <w:rsid w:val="00A87D9E"/>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28A8"/>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275"/>
    <w:rsid w:val="00BC2FFE"/>
    <w:rsid w:val="00BC7B0A"/>
    <w:rsid w:val="00BD7BD4"/>
    <w:rsid w:val="00BE0367"/>
    <w:rsid w:val="00BE645E"/>
    <w:rsid w:val="00BF1F63"/>
    <w:rsid w:val="00BF3D41"/>
    <w:rsid w:val="00BF6373"/>
    <w:rsid w:val="00BF6623"/>
    <w:rsid w:val="00BF7C39"/>
    <w:rsid w:val="00C007B3"/>
    <w:rsid w:val="00C117AD"/>
    <w:rsid w:val="00C173B7"/>
    <w:rsid w:val="00C21655"/>
    <w:rsid w:val="00C21D55"/>
    <w:rsid w:val="00C22ACF"/>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2EB8"/>
    <w:rsid w:val="00C9091A"/>
    <w:rsid w:val="00CA2386"/>
    <w:rsid w:val="00CA3A35"/>
    <w:rsid w:val="00CB1BC7"/>
    <w:rsid w:val="00CC079C"/>
    <w:rsid w:val="00CC11F9"/>
    <w:rsid w:val="00CC20CC"/>
    <w:rsid w:val="00CC4596"/>
    <w:rsid w:val="00CC60BA"/>
    <w:rsid w:val="00CD0DF7"/>
    <w:rsid w:val="00CD0FD2"/>
    <w:rsid w:val="00CD1E8E"/>
    <w:rsid w:val="00CD3DEA"/>
    <w:rsid w:val="00CE3630"/>
    <w:rsid w:val="00CE62D7"/>
    <w:rsid w:val="00CF0F21"/>
    <w:rsid w:val="00CF13ED"/>
    <w:rsid w:val="00CF4D3F"/>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47AB3"/>
    <w:rsid w:val="00D52A3D"/>
    <w:rsid w:val="00D53632"/>
    <w:rsid w:val="00D54AD2"/>
    <w:rsid w:val="00D60114"/>
    <w:rsid w:val="00D73FD3"/>
    <w:rsid w:val="00D82CE7"/>
    <w:rsid w:val="00D8323D"/>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277FD"/>
    <w:rsid w:val="00E34395"/>
    <w:rsid w:val="00E345AC"/>
    <w:rsid w:val="00E34CD0"/>
    <w:rsid w:val="00E34EE7"/>
    <w:rsid w:val="00E40905"/>
    <w:rsid w:val="00E50DCD"/>
    <w:rsid w:val="00E516C8"/>
    <w:rsid w:val="00E52863"/>
    <w:rsid w:val="00E5291F"/>
    <w:rsid w:val="00E56E07"/>
    <w:rsid w:val="00E5752D"/>
    <w:rsid w:val="00E63195"/>
    <w:rsid w:val="00E65FC6"/>
    <w:rsid w:val="00E75049"/>
    <w:rsid w:val="00E774CF"/>
    <w:rsid w:val="00E85062"/>
    <w:rsid w:val="00E85730"/>
    <w:rsid w:val="00EA046B"/>
    <w:rsid w:val="00EA5770"/>
    <w:rsid w:val="00EB1C00"/>
    <w:rsid w:val="00EB3D49"/>
    <w:rsid w:val="00EC39F1"/>
    <w:rsid w:val="00ED2A14"/>
    <w:rsid w:val="00EE339A"/>
    <w:rsid w:val="00EE36A7"/>
    <w:rsid w:val="00EE5863"/>
    <w:rsid w:val="00EF2497"/>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4EF0"/>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9DFF10"/>
  <w15:docId w15:val="{8D6009D3-5C2E-4E88-B984-F93734DE5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D832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mecky@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1A1A5-DE34-4262-BDC3-944337DB7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8369</Words>
  <Characters>49378</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42</cp:revision>
  <cp:lastPrinted>2016-11-18T08:49:00Z</cp:lastPrinted>
  <dcterms:created xsi:type="dcterms:W3CDTF">2017-01-04T14:58:00Z</dcterms:created>
  <dcterms:modified xsi:type="dcterms:W3CDTF">2017-07-10T06:02:00Z</dcterms:modified>
</cp:coreProperties>
</file>