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AE2EE5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60734725"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F80A1E">
        <w:rPr>
          <w:rFonts w:ascii="Arial" w:hAnsi="Arial" w:cs="Arial"/>
          <w:b/>
          <w:sz w:val="22"/>
          <w:szCs w:val="22"/>
          <w:u w:val="single"/>
        </w:rPr>
        <w:t>STČ/113_KD_Loucká_pozemky</w:t>
      </w:r>
      <w:r w:rsidR="008B5E0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47F6C0F0"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xml:space="preserve">. </w:t>
      </w:r>
      <w:r w:rsidR="00FE0571">
        <w:rPr>
          <w:rFonts w:ascii="Arial" w:hAnsi="Arial" w:cs="Arial"/>
          <w:sz w:val="22"/>
          <w:szCs w:val="22"/>
        </w:rPr>
        <w:t xml:space="preserve">KN </w:t>
      </w:r>
      <w:r w:rsidR="00390C3A">
        <w:rPr>
          <w:rFonts w:ascii="Arial" w:hAnsi="Arial" w:cs="Arial"/>
          <w:sz w:val="22"/>
          <w:szCs w:val="22"/>
        </w:rPr>
        <w:t xml:space="preserve">670/4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390C3A">
        <w:rPr>
          <w:rFonts w:ascii="Arial" w:hAnsi="Arial" w:cs="Arial"/>
          <w:sz w:val="22"/>
          <w:szCs w:val="22"/>
        </w:rPr>
        <w:t>Loucká</w:t>
      </w:r>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ACABEC4" w14:textId="1C7A6992" w:rsidR="0079075C" w:rsidRPr="0079075C" w:rsidRDefault="00C95721" w:rsidP="00987764">
      <w:pPr>
        <w:jc w:val="both"/>
        <w:rPr>
          <w:rFonts w:ascii="Arial" w:hAnsi="Arial" w:cs="Arial"/>
          <w:sz w:val="22"/>
          <w:szCs w:val="22"/>
        </w:rPr>
      </w:pPr>
      <w:r>
        <w:rPr>
          <w:rFonts w:ascii="Arial" w:hAnsi="Arial" w:cs="Arial"/>
          <w:sz w:val="22"/>
          <w:szCs w:val="22"/>
        </w:rPr>
        <w:t>Obec Loucká</w:t>
      </w:r>
      <w:r w:rsidR="008331B9">
        <w:rPr>
          <w:rFonts w:ascii="Arial" w:hAnsi="Arial" w:cs="Arial"/>
          <w:sz w:val="22"/>
          <w:szCs w:val="22"/>
        </w:rPr>
        <w:t xml:space="preserve"> – pozemek je přístupný</w:t>
      </w:r>
    </w:p>
    <w:p w14:paraId="666B3120" w14:textId="77777777" w:rsidR="00563B21" w:rsidRPr="00CF5B02" w:rsidRDefault="00563B21" w:rsidP="00987764">
      <w:pPr>
        <w:jc w:val="both"/>
        <w:rPr>
          <w:rFonts w:ascii="Arial" w:hAnsi="Arial" w:cs="Arial"/>
          <w:b/>
          <w:bCs/>
          <w:sz w:val="22"/>
          <w:szCs w:val="22"/>
        </w:rPr>
      </w:pP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1B7126EA" w14:textId="36486EA6" w:rsidR="00987764" w:rsidRDefault="008331B9" w:rsidP="00987764">
      <w:pPr>
        <w:jc w:val="both"/>
        <w:rPr>
          <w:rFonts w:ascii="Arial" w:hAnsi="Arial" w:cs="Arial"/>
          <w:b/>
          <w:bCs/>
          <w:sz w:val="22"/>
          <w:szCs w:val="22"/>
        </w:rPr>
      </w:pPr>
      <w:r>
        <w:rPr>
          <w:rFonts w:ascii="Arial" w:hAnsi="Arial" w:cs="Arial"/>
          <w:b/>
          <w:bCs/>
          <w:sz w:val="22"/>
          <w:szCs w:val="22"/>
        </w:rPr>
        <w:t>Na pozemku se nachází stožár, který není součástí ocenění.</w:t>
      </w:r>
    </w:p>
    <w:p w14:paraId="394F65F2" w14:textId="1ECA11DC" w:rsidR="008331B9" w:rsidRDefault="008331B9" w:rsidP="00987764">
      <w:pPr>
        <w:jc w:val="both"/>
        <w:rPr>
          <w:rFonts w:ascii="Arial" w:hAnsi="Arial" w:cs="Arial"/>
          <w:b/>
          <w:bCs/>
          <w:sz w:val="22"/>
          <w:szCs w:val="22"/>
        </w:rPr>
      </w:pPr>
      <w:r>
        <w:rPr>
          <w:rFonts w:ascii="Arial" w:hAnsi="Arial" w:cs="Arial"/>
          <w:b/>
          <w:bCs/>
          <w:sz w:val="22"/>
          <w:szCs w:val="22"/>
        </w:rPr>
        <w:t>Veškerá oplocení a vrata nejsou součástí ocenění, jsou ve vlastnictví Obce Loucká a fyzické osoby.</w:t>
      </w:r>
    </w:p>
    <w:p w14:paraId="4F183265" w14:textId="26964B2D" w:rsidR="008331B9" w:rsidRDefault="008331B9" w:rsidP="00987764">
      <w:pPr>
        <w:jc w:val="both"/>
        <w:rPr>
          <w:rFonts w:ascii="Arial" w:hAnsi="Arial" w:cs="Arial"/>
          <w:b/>
          <w:bCs/>
          <w:sz w:val="22"/>
          <w:szCs w:val="22"/>
        </w:rPr>
      </w:pPr>
      <w:r>
        <w:rPr>
          <w:rFonts w:ascii="Arial" w:hAnsi="Arial" w:cs="Arial"/>
          <w:b/>
          <w:bCs/>
          <w:sz w:val="22"/>
          <w:szCs w:val="22"/>
        </w:rPr>
        <w:t xml:space="preserve">Trvalé porosty a zpevněné plochy jsou součástí </w:t>
      </w:r>
      <w:r w:rsidR="009E6152">
        <w:rPr>
          <w:rFonts w:ascii="Arial" w:hAnsi="Arial" w:cs="Arial"/>
          <w:b/>
          <w:bCs/>
          <w:sz w:val="22"/>
          <w:szCs w:val="22"/>
        </w:rPr>
        <w:t xml:space="preserve">ocenění. </w:t>
      </w:r>
    </w:p>
    <w:p w14:paraId="7A865F28" w14:textId="77777777" w:rsidR="008331B9" w:rsidRPr="008331B9" w:rsidRDefault="008331B9" w:rsidP="00987764">
      <w:pPr>
        <w:jc w:val="both"/>
        <w:rPr>
          <w:rFonts w:ascii="Arial" w:hAnsi="Arial" w:cs="Arial"/>
          <w:b/>
          <w:bCs/>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nemovitostí - </w:t>
      </w:r>
      <w:r w:rsidR="00532879">
        <w:rPr>
          <w:rFonts w:ascii="Arial" w:hAnsi="Arial" w:cs="Arial"/>
          <w:sz w:val="18"/>
          <w:szCs w:val="18"/>
        </w:rPr>
        <w:t>pozemkové</w:t>
      </w:r>
    </w:p>
    <w:p w14:paraId="4A4D0145" w14:textId="4CAE1C72"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7520AB">
        <w:rPr>
          <w:rFonts w:ascii="Arial" w:hAnsi="Arial" w:cs="Arial"/>
          <w:sz w:val="18"/>
          <w:szCs w:val="18"/>
        </w:rPr>
        <w:t>Loucká</w:t>
      </w:r>
      <w:r w:rsidRPr="00772879">
        <w:rPr>
          <w:rFonts w:ascii="Arial" w:hAnsi="Arial" w:cs="Arial"/>
          <w:sz w:val="18"/>
          <w:szCs w:val="18"/>
        </w:rPr>
        <w:tab/>
      </w:r>
      <w:proofErr w:type="spellStart"/>
      <w:r w:rsidR="007520AB">
        <w:rPr>
          <w:rFonts w:ascii="Arial" w:hAnsi="Arial" w:cs="Arial"/>
          <w:sz w:val="18"/>
          <w:szCs w:val="18"/>
        </w:rPr>
        <w:t>Loucká</w:t>
      </w:r>
      <w:proofErr w:type="spellEnd"/>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7520AB">
        <w:rPr>
          <w:rFonts w:ascii="Arial" w:hAnsi="Arial" w:cs="Arial"/>
          <w:sz w:val="18"/>
          <w:szCs w:val="18"/>
        </w:rPr>
        <w:t>670/4</w:t>
      </w:r>
      <w:r w:rsidR="00532879">
        <w:rPr>
          <w:rFonts w:ascii="Arial" w:hAnsi="Arial" w:cs="Arial"/>
          <w:sz w:val="18"/>
          <w:szCs w:val="18"/>
        </w:rPr>
        <w:t xml:space="preserve">        </w:t>
      </w:r>
      <w:r w:rsidR="0079075C">
        <w:rPr>
          <w:rFonts w:ascii="Arial" w:hAnsi="Arial" w:cs="Arial"/>
          <w:sz w:val="18"/>
          <w:szCs w:val="18"/>
        </w:rPr>
        <w:t xml:space="preserve">           </w:t>
      </w:r>
      <w:r w:rsidR="00532879">
        <w:rPr>
          <w:rFonts w:ascii="Arial" w:hAnsi="Arial" w:cs="Arial"/>
          <w:sz w:val="18"/>
          <w:szCs w:val="18"/>
        </w:rPr>
        <w:t xml:space="preserve">    </w:t>
      </w:r>
      <w:r w:rsidR="007520AB">
        <w:rPr>
          <w:rFonts w:ascii="Arial" w:hAnsi="Arial" w:cs="Arial"/>
          <w:sz w:val="18"/>
          <w:szCs w:val="18"/>
        </w:rPr>
        <w:t>ostatní plocha</w:t>
      </w:r>
      <w:r w:rsidR="00532879">
        <w:rPr>
          <w:rFonts w:ascii="Arial" w:hAnsi="Arial" w:cs="Arial"/>
          <w:sz w:val="18"/>
          <w:szCs w:val="18"/>
        </w:rPr>
        <w:t xml:space="preserve">                              </w:t>
      </w:r>
      <w:r w:rsidR="007520AB">
        <w:rPr>
          <w:rFonts w:ascii="Arial" w:hAnsi="Arial" w:cs="Arial"/>
          <w:sz w:val="18"/>
          <w:szCs w:val="18"/>
        </w:rPr>
        <w:t>476</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A2C6635" w14:textId="77777777" w:rsidR="005C453A" w:rsidRDefault="005C453A" w:rsidP="00A01BFA">
      <w:pPr>
        <w:keepNext/>
        <w:tabs>
          <w:tab w:val="num" w:pos="1474"/>
        </w:tabs>
        <w:jc w:val="both"/>
        <w:rPr>
          <w:rFonts w:ascii="Arial" w:hAnsi="Arial" w:cs="Arial"/>
          <w:sz w:val="22"/>
          <w:szCs w:val="22"/>
        </w:rPr>
      </w:pPr>
    </w:p>
    <w:p w14:paraId="1241298E" w14:textId="77777777" w:rsidR="005C453A" w:rsidRDefault="005C453A" w:rsidP="00A01BFA">
      <w:pPr>
        <w:keepNext/>
        <w:tabs>
          <w:tab w:val="num" w:pos="1474"/>
        </w:tabs>
        <w:jc w:val="both"/>
        <w:rPr>
          <w:rFonts w:ascii="Arial" w:hAnsi="Arial" w:cs="Arial"/>
          <w:sz w:val="22"/>
          <w:szCs w:val="22"/>
        </w:rPr>
      </w:pPr>
    </w:p>
    <w:p w14:paraId="092316F9" w14:textId="77777777" w:rsidR="005C453A" w:rsidRDefault="005C453A" w:rsidP="00A01BFA">
      <w:pPr>
        <w:keepNext/>
        <w:tabs>
          <w:tab w:val="num" w:pos="1474"/>
        </w:tabs>
        <w:jc w:val="both"/>
        <w:rPr>
          <w:rFonts w:ascii="Arial" w:hAnsi="Arial" w:cs="Arial"/>
          <w:sz w:val="22"/>
          <w:szCs w:val="22"/>
        </w:rPr>
      </w:pPr>
    </w:p>
    <w:p w14:paraId="640E5CB9" w14:textId="77777777" w:rsidR="005C453A" w:rsidRDefault="005C453A" w:rsidP="00A01BFA">
      <w:pPr>
        <w:keepNext/>
        <w:tabs>
          <w:tab w:val="num" w:pos="1474"/>
        </w:tabs>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00BBD3BF" w14:textId="3E03C2EE" w:rsidR="008B5E08" w:rsidRPr="005C453A" w:rsidRDefault="008B5E08" w:rsidP="008B5E08">
      <w:pPr>
        <w:jc w:val="both"/>
        <w:rPr>
          <w:rFonts w:ascii="Arial" w:hAnsi="Arial" w:cs="Arial"/>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r w:rsidR="005C453A">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[doplní zadavatel</w:t>
      </w:r>
      <w:r w:rsidR="00E53B19" w:rsidRPr="00051C32">
        <w:rPr>
          <w:rFonts w:ascii="Arial" w:hAnsi="Arial" w:cs="Arial"/>
          <w:b/>
          <w:sz w:val="22"/>
          <w:szCs w:val="22"/>
        </w:rPr>
        <w:t>]</w:t>
      </w:r>
      <w:r w:rsidR="00E53B19" w:rsidRPr="00BB771A">
        <w:rPr>
          <w:rFonts w:ascii="Arial" w:hAnsi="Arial" w:cs="Arial"/>
          <w:sz w:val="22"/>
          <w:szCs w:val="22"/>
        </w:rPr>
        <w:t>Kč</w:t>
      </w:r>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7F42B8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[doplní zadavatel</w:t>
      </w:r>
      <w:r w:rsidR="002D7FDD" w:rsidRPr="00051C32">
        <w:rPr>
          <w:rFonts w:ascii="Arial" w:hAnsi="Arial" w:cs="Arial"/>
          <w:b/>
          <w:sz w:val="22"/>
          <w:szCs w:val="22"/>
        </w:rPr>
        <w:t>]</w:t>
      </w:r>
      <w:r w:rsidR="002D7FDD">
        <w:rPr>
          <w:rFonts w:ascii="Arial" w:hAnsi="Arial" w:cs="Arial"/>
          <w:b/>
          <w:sz w:val="22"/>
          <w:szCs w:val="22"/>
        </w:rPr>
        <w:t xml:space="preserve"> </w:t>
      </w:r>
      <w:r w:rsidR="00E25C54">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4F03AC0" w14:textId="77777777" w:rsidR="00E25C54" w:rsidRDefault="00E25C54" w:rsidP="00E25C54">
      <w:pPr>
        <w:spacing w:after="120" w:line="276" w:lineRule="auto"/>
        <w:jc w:val="both"/>
        <w:rPr>
          <w:rFonts w:ascii="Arial" w:hAnsi="Arial" w:cs="Arial"/>
          <w:sz w:val="22"/>
          <w:szCs w:val="22"/>
        </w:rPr>
      </w:pPr>
    </w:p>
    <w:p w14:paraId="21B9EC7A" w14:textId="77777777" w:rsidR="00E25C54" w:rsidRPr="00E25C54" w:rsidRDefault="00E25C54" w:rsidP="00E25C54">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lastRenderedPageBreak/>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Default="00B31F2E" w:rsidP="00962581">
      <w:pPr>
        <w:spacing w:after="120" w:line="276" w:lineRule="auto"/>
        <w:jc w:val="both"/>
        <w:rPr>
          <w:rFonts w:ascii="Arial" w:hAnsi="Arial" w:cs="Arial"/>
          <w:sz w:val="22"/>
          <w:szCs w:val="22"/>
        </w:rPr>
      </w:pPr>
    </w:p>
    <w:p w14:paraId="0B97B8C6" w14:textId="77777777" w:rsidR="008331B9" w:rsidRDefault="008331B9" w:rsidP="00962581">
      <w:pPr>
        <w:spacing w:after="120" w:line="276" w:lineRule="auto"/>
        <w:jc w:val="both"/>
        <w:rPr>
          <w:rFonts w:ascii="Arial" w:hAnsi="Arial" w:cs="Arial"/>
          <w:sz w:val="22"/>
          <w:szCs w:val="22"/>
        </w:rPr>
      </w:pPr>
    </w:p>
    <w:p w14:paraId="2980F7B9" w14:textId="77777777" w:rsidR="008331B9" w:rsidRPr="0055145A" w:rsidRDefault="008331B9"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DBDB" w14:textId="77777777" w:rsidR="00D74630" w:rsidRDefault="00D74630" w:rsidP="007B5020">
      <w:r>
        <w:separator/>
      </w:r>
    </w:p>
  </w:endnote>
  <w:endnote w:type="continuationSeparator" w:id="0">
    <w:p w14:paraId="0CE56AFA" w14:textId="77777777" w:rsidR="00D74630" w:rsidRDefault="00D7463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C3FC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9061" w14:textId="77777777" w:rsidR="00D74630" w:rsidRDefault="00D74630" w:rsidP="007B5020">
      <w:r>
        <w:separator/>
      </w:r>
    </w:p>
  </w:footnote>
  <w:footnote w:type="continuationSeparator" w:id="0">
    <w:p w14:paraId="1CDB98C6" w14:textId="77777777" w:rsidR="00D74630" w:rsidRDefault="00D7463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6D8"/>
    <w:rsid w:val="000F49B4"/>
    <w:rsid w:val="000F532A"/>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173E"/>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0C3A"/>
    <w:rsid w:val="00392284"/>
    <w:rsid w:val="0039773C"/>
    <w:rsid w:val="003A2DA8"/>
    <w:rsid w:val="003A6D68"/>
    <w:rsid w:val="003A7B75"/>
    <w:rsid w:val="003B06E3"/>
    <w:rsid w:val="003B2220"/>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7048"/>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3E2A"/>
    <w:rsid w:val="0058487D"/>
    <w:rsid w:val="00585FDF"/>
    <w:rsid w:val="005A648F"/>
    <w:rsid w:val="005A6DEC"/>
    <w:rsid w:val="005A77D0"/>
    <w:rsid w:val="005B10CF"/>
    <w:rsid w:val="005B26C0"/>
    <w:rsid w:val="005B2A69"/>
    <w:rsid w:val="005B4C1B"/>
    <w:rsid w:val="005C2442"/>
    <w:rsid w:val="005C2779"/>
    <w:rsid w:val="005C453A"/>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3FC3"/>
    <w:rsid w:val="006C4798"/>
    <w:rsid w:val="006E30E5"/>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20AB"/>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15A2B"/>
    <w:rsid w:val="0082434D"/>
    <w:rsid w:val="00827D65"/>
    <w:rsid w:val="008331B9"/>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1DD"/>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6152"/>
    <w:rsid w:val="009E6E1E"/>
    <w:rsid w:val="00A01BFA"/>
    <w:rsid w:val="00A03C47"/>
    <w:rsid w:val="00A164EB"/>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1B5B"/>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1EB9"/>
    <w:rsid w:val="00C8331A"/>
    <w:rsid w:val="00C84209"/>
    <w:rsid w:val="00C87831"/>
    <w:rsid w:val="00C95721"/>
    <w:rsid w:val="00CA30AD"/>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74630"/>
    <w:rsid w:val="00D81ED9"/>
    <w:rsid w:val="00D8368A"/>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4C3B"/>
    <w:rsid w:val="00E058A0"/>
    <w:rsid w:val="00E134D5"/>
    <w:rsid w:val="00E25C54"/>
    <w:rsid w:val="00E30858"/>
    <w:rsid w:val="00E416ED"/>
    <w:rsid w:val="00E434AF"/>
    <w:rsid w:val="00E437BD"/>
    <w:rsid w:val="00E53A5B"/>
    <w:rsid w:val="00E53B19"/>
    <w:rsid w:val="00E60DF8"/>
    <w:rsid w:val="00E65DDB"/>
    <w:rsid w:val="00E70E12"/>
    <w:rsid w:val="00E7679B"/>
    <w:rsid w:val="00E77C32"/>
    <w:rsid w:val="00E80807"/>
    <w:rsid w:val="00E86738"/>
    <w:rsid w:val="00E87BCB"/>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3568"/>
    <w:rsid w:val="00F76903"/>
    <w:rsid w:val="00F80A1E"/>
    <w:rsid w:val="00F844C3"/>
    <w:rsid w:val="00F9079B"/>
    <w:rsid w:val="00F96295"/>
    <w:rsid w:val="00F979D5"/>
    <w:rsid w:val="00FA10A4"/>
    <w:rsid w:val="00FA419D"/>
    <w:rsid w:val="00FA7091"/>
    <w:rsid w:val="00FA712F"/>
    <w:rsid w:val="00FB267D"/>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5.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3686</Words>
  <Characters>21751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11</cp:revision>
  <cp:lastPrinted>2023-01-02T13:44:00Z</cp:lastPrinted>
  <dcterms:created xsi:type="dcterms:W3CDTF">2025-11-05T12:47:00Z</dcterms:created>
  <dcterms:modified xsi:type="dcterms:W3CDTF">2026-03-23T07:38:00Z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