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14F0C485" w14:textId="77777777" w:rsidR="00A274DB" w:rsidRPr="00A274DB" w:rsidRDefault="000F0124" w:rsidP="00A274DB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A274DB" w:rsidRPr="00A274DB">
        <w:rPr>
          <w:rFonts w:eastAsia="Lucida Sans Unicode" w:cs="Arial"/>
          <w:bCs/>
        </w:rPr>
        <w:t>Ing. Pavla Seidlerová, vyšší rada Pobočky Plzeň (k.ú. Dožice)</w:t>
      </w:r>
    </w:p>
    <w:p w14:paraId="76819847" w14:textId="4E891D84" w:rsidR="000F0124" w:rsidRPr="009966C5" w:rsidRDefault="00A274DB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>
        <w:rPr>
          <w:rFonts w:eastAsia="Lucida Sans Unicode" w:cs="Arial"/>
          <w:bCs/>
        </w:rPr>
        <w:tab/>
      </w:r>
      <w:r w:rsidRPr="00A274DB">
        <w:rPr>
          <w:rFonts w:eastAsia="Lucida Sans Unicode" w:cs="Arial"/>
          <w:bCs/>
        </w:rPr>
        <w:t>Petra Heroutová DiS., vyšší rada Pobočky Plzeň (k.ú. Radošice)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7FB7CB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45EC51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E732948" w:rsidR="000F0124" w:rsidRPr="005B5D69" w:rsidRDefault="000F0124" w:rsidP="002262D5">
      <w:pPr>
        <w:tabs>
          <w:tab w:val="left" w:pos="4253"/>
        </w:tabs>
        <w:spacing w:line="288" w:lineRule="auto"/>
        <w:rPr>
          <w:rFonts w:cs="Arial"/>
          <w:i/>
          <w:sz w:val="18"/>
          <w:szCs w:val="18"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5B5D69">
        <w:rPr>
          <w:rFonts w:cs="Arial"/>
          <w:sz w:val="18"/>
          <w:szCs w:val="18"/>
          <w:highlight w:val="yellow"/>
        </w:rPr>
        <w:t>statutární orgán (dle výpisu z obch. rejstříku)</w:t>
      </w:r>
    </w:p>
    <w:p w14:paraId="48676B14" w14:textId="1BA55DF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1F0830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681CEF9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56109AD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55FF4F8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41428CB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4C77DB4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13B2C57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4954184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750369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IČO: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3239E2B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 xml:space="preserve">[DOPLNIT]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je/není plátcem DPH</w:t>
      </w:r>
    </w:p>
    <w:p w14:paraId="584968CF" w14:textId="28228B5E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09DBCF74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A274DB" w:rsidRPr="00A274DB">
        <w:rPr>
          <w:rFonts w:cs="Arial"/>
          <w:b/>
          <w:bCs/>
          <w:szCs w:val="22"/>
        </w:rPr>
        <w:t>Zpracování geotechnického průzkumu v k.ú. Dožice a Radošice</w:t>
      </w:r>
      <w:r w:rsidR="00D42678">
        <w:rPr>
          <w:rFonts w:cs="Arial"/>
          <w:b/>
          <w:bCs/>
          <w:szCs w:val="22"/>
        </w:rPr>
        <w:t>/č. 2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4D09049" w:rsidR="004404D8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A274DB" w:rsidRPr="00A274DB">
        <w:rPr>
          <w:rFonts w:cs="Arial"/>
          <w:bCs/>
          <w:color w:val="000000"/>
          <w:szCs w:val="22"/>
        </w:rPr>
        <w:t>SP9028/2025-504201</w:t>
      </w:r>
      <w:r w:rsidR="00A274DB" w:rsidRPr="00A274DB">
        <w:rPr>
          <w:rFonts w:cs="Arial"/>
          <w:b/>
          <w:bCs/>
          <w:color w:val="000000"/>
          <w:szCs w:val="22"/>
        </w:rPr>
        <w:t xml:space="preserve"> </w:t>
      </w:r>
      <w:r w:rsidR="00265531" w:rsidRPr="009966C5">
        <w:t xml:space="preserve">s názvem </w:t>
      </w:r>
      <w:r w:rsidR="00265531" w:rsidRPr="005B5D69">
        <w:rPr>
          <w:b/>
          <w:bCs/>
        </w:rPr>
        <w:t>„</w:t>
      </w:r>
      <w:r w:rsidR="00A274DB" w:rsidRPr="00A274DB">
        <w:rPr>
          <w:b/>
          <w:bCs/>
        </w:rPr>
        <w:t>Zpracování geotechnického průzkumu v k.ú. Dožice a Radošice</w:t>
      </w:r>
      <w:r w:rsidR="00D42678">
        <w:rPr>
          <w:b/>
          <w:bCs/>
        </w:rPr>
        <w:t>/č. 2</w:t>
      </w:r>
      <w:r w:rsidR="00265531" w:rsidRPr="005B5D69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14EF8" w:rsidRPr="005B5D69">
        <w:rPr>
          <w:b/>
          <w:bCs/>
        </w:rPr>
        <w:t>k.ú.</w:t>
      </w:r>
      <w:r w:rsidR="00E935E1">
        <w:t> </w:t>
      </w:r>
      <w:r w:rsidR="00A274DB" w:rsidRPr="00A274DB">
        <w:rPr>
          <w:b/>
        </w:rPr>
        <w:t>Dožice a k.ú. Radošice</w:t>
      </w:r>
      <w:r w:rsidR="001D5DA9" w:rsidRPr="009966C5">
        <w:t>.</w:t>
      </w:r>
    </w:p>
    <w:p w14:paraId="005E932A" w14:textId="77777777" w:rsidR="00446DC9" w:rsidRPr="009966C5" w:rsidRDefault="00446DC9" w:rsidP="00446DC9">
      <w:pPr>
        <w:pStyle w:val="l-L2"/>
        <w:ind w:left="357"/>
      </w:pP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6E38AE9" w14:textId="77777777" w:rsidR="00446DC9" w:rsidRPr="009966C5" w:rsidRDefault="00446DC9" w:rsidP="00446DC9">
      <w:pPr>
        <w:pStyle w:val="l-L2"/>
        <w:ind w:left="720"/>
      </w:pPr>
    </w:p>
    <w:p w14:paraId="553020E3" w14:textId="16A17CBC" w:rsidR="001B7847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Pr="00BC0507">
        <w:rPr>
          <w:bCs/>
        </w:rPr>
        <w:t>předběžný</w:t>
      </w:r>
      <w:r w:rsidR="00DC55FB" w:rsidRPr="00BC0507">
        <w:rPr>
          <w:bCs/>
        </w:rPr>
        <w:t xml:space="preserve"> pro polní cesty</w:t>
      </w:r>
      <w:r w:rsidRPr="00BC0507">
        <w:rPr>
          <w:bCs/>
        </w:rPr>
        <w:t xml:space="preserve">, </w:t>
      </w:r>
      <w:r w:rsidR="00DC55FB" w:rsidRPr="00BC0507">
        <w:rPr>
          <w:bCs/>
        </w:rPr>
        <w:t xml:space="preserve">předběžný pro vodní nádrže a poldry, </w:t>
      </w:r>
      <w:r w:rsidR="00A85C66" w:rsidRPr="00BC0507">
        <w:rPr>
          <w:bCs/>
        </w:rPr>
        <w:t>předběžný pro protierozní stavby,</w:t>
      </w:r>
      <w:r w:rsidR="00A85C66" w:rsidRPr="00BC0507">
        <w:rPr>
          <w:bCs/>
          <w:i/>
          <w:i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4062D2FA" w14:textId="77777777" w:rsidR="00446DC9" w:rsidRPr="009966C5" w:rsidRDefault="00446DC9" w:rsidP="00955757">
      <w:pPr>
        <w:pStyle w:val="l-L2"/>
        <w:ind w:left="357"/>
        <w:rPr>
          <w:bCs/>
        </w:rPr>
      </w:pPr>
    </w:p>
    <w:p w14:paraId="6C88B234" w14:textId="27F3670F" w:rsidR="00903691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22A0D195" w14:textId="77777777" w:rsidR="00446DC9" w:rsidRPr="009966C5" w:rsidRDefault="00446DC9" w:rsidP="00446DC9">
      <w:pPr>
        <w:pStyle w:val="l-L2"/>
        <w:ind w:left="357"/>
      </w:pPr>
    </w:p>
    <w:p w14:paraId="78CE66E0" w14:textId="77777777" w:rsidR="00306237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03870F56" w14:textId="77777777" w:rsidR="00446DC9" w:rsidRPr="009966C5" w:rsidRDefault="00446DC9" w:rsidP="00446DC9">
      <w:pPr>
        <w:pStyle w:val="l-L2"/>
      </w:pP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5CC24532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D42678">
        <w:rPr>
          <w:b/>
          <w:bCs/>
        </w:rPr>
        <w:t>31. 03</w:t>
      </w:r>
      <w:r w:rsidR="00A274DB" w:rsidRPr="00A274DB">
        <w:rPr>
          <w:b/>
          <w:bCs/>
        </w:rPr>
        <w:t xml:space="preserve">. </w:t>
      </w:r>
      <w:r w:rsidR="00310D6C">
        <w:rPr>
          <w:b/>
          <w:bCs/>
        </w:rPr>
        <w:t>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7C80F9E2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</w:t>
      </w:r>
      <w:r w:rsidR="00A274DB" w:rsidRPr="00A274DB">
        <w:t>okres Plzeň-jih, obec Mladý Smolivec, katastrální území Dožice</w:t>
      </w:r>
      <w:r w:rsidR="003336E9">
        <w:t>,</w:t>
      </w:r>
      <w:r w:rsidR="00A274DB" w:rsidRPr="00A274DB">
        <w:t xml:space="preserve"> kód k.ú. 631469</w:t>
      </w:r>
      <w:r w:rsidR="003336E9">
        <w:t xml:space="preserve"> a</w:t>
      </w:r>
      <w:r w:rsidR="00A274DB" w:rsidRPr="00A274DB">
        <w:t xml:space="preserve"> katastrální území Radošice</w:t>
      </w:r>
      <w:r w:rsidR="003336E9">
        <w:t xml:space="preserve">, </w:t>
      </w:r>
      <w:r w:rsidR="00A274DB" w:rsidRPr="00A274DB">
        <w:t>kód k.ú. 738492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976421E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D42678">
        <w:rPr>
          <w:b/>
          <w:bCs/>
        </w:rPr>
        <w:t>31. 03</w:t>
      </w:r>
      <w:r w:rsidR="00A274DB" w:rsidRPr="00A274DB">
        <w:rPr>
          <w:b/>
          <w:bCs/>
        </w:rPr>
        <w:t xml:space="preserve">. </w:t>
      </w:r>
      <w:r w:rsidR="00310D6C">
        <w:rPr>
          <w:b/>
          <w:bCs/>
        </w:rPr>
        <w:t>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79A9EE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76723741">
        <w:rPr>
          <w:b/>
          <w:bCs/>
          <w:highlight w:val="yellow"/>
        </w:rPr>
        <w:t xml:space="preserve">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ust.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683B520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viz el. podpis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2359033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highlight w:val="yellow"/>
        </w:rPr>
        <w:t xml:space="preserve"> </w:t>
      </w:r>
      <w:r w:rsidRPr="009966C5">
        <w:rPr>
          <w:rFonts w:cs="Arial"/>
          <w:b/>
          <w:bCs/>
          <w:highlight w:val="yellow"/>
        </w:rPr>
        <w:t>[DOPLNIT]</w:t>
      </w:r>
    </w:p>
    <w:p w14:paraId="4149F18A" w14:textId="3E39024E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2D3F3E6" w14:textId="6978AD51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20FA739A" w14:textId="77777777" w:rsidR="00C20EEB" w:rsidRPr="009966C5" w:rsidRDefault="00C20EEB" w:rsidP="00C20EEB"/>
    <w:p w14:paraId="7156234F" w14:textId="77777777" w:rsidR="00537417" w:rsidRPr="00537417" w:rsidRDefault="00537417" w:rsidP="00537417">
      <w:pPr>
        <w:widowControl w:val="0"/>
        <w:spacing w:before="37" w:after="0" w:line="240" w:lineRule="auto"/>
        <w:ind w:left="395"/>
        <w:contextualSpacing w:val="0"/>
        <w:jc w:val="left"/>
        <w:outlineLvl w:val="0"/>
        <w:rPr>
          <w:rFonts w:eastAsia="Calibri" w:cs="Arial"/>
          <w:szCs w:val="22"/>
          <w:lang w:eastAsia="en-US"/>
        </w:rPr>
      </w:pP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537417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537417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537417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537417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537417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0958AE8" w14:textId="77777777" w:rsidR="00537417" w:rsidRPr="00537417" w:rsidRDefault="00537417" w:rsidP="00537417">
      <w:pPr>
        <w:widowControl w:val="0"/>
        <w:spacing w:before="2" w:after="0" w:line="240" w:lineRule="auto"/>
        <w:contextualSpacing w:val="0"/>
        <w:jc w:val="left"/>
        <w:rPr>
          <w:rFonts w:eastAsia="Calibri" w:cs="Arial"/>
          <w:b/>
          <w:bCs/>
          <w:szCs w:val="22"/>
          <w:lang w:eastAsia="en-US"/>
        </w:rPr>
      </w:pPr>
      <w:r w:rsidRPr="00537417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34B335DC" w14:textId="77777777" w:rsidR="006E4297" w:rsidRPr="0042134C" w:rsidRDefault="006E4297" w:rsidP="006E429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42134C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5A261023" w14:textId="77777777" w:rsidR="006E4297" w:rsidRPr="0042134C" w:rsidRDefault="006E4297" w:rsidP="006E429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6E4297" w:rsidRPr="0042134C" w14:paraId="7EDDFA4F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F90B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FC4CE" w14:textId="77777777" w:rsidR="006E4297" w:rsidRPr="0042134C" w:rsidRDefault="006E4297" w:rsidP="002F3EA4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6E4297" w:rsidRPr="0042134C" w14:paraId="0EFB8AFE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AE99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1.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EEDD6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04CD" w14:textId="77777777" w:rsidR="006E4297" w:rsidRPr="0042134C" w:rsidRDefault="006E4297" w:rsidP="002F3EA4">
            <w:pPr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Trasa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0396A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7649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6E4297" w:rsidRPr="0042134C" w14:paraId="49B485AB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FEF57" w14:textId="77777777" w:rsidR="006E4297" w:rsidRPr="0042134C" w:rsidRDefault="006E4297" w:rsidP="002F3EA4">
            <w:pPr>
              <w:ind w:left="179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B7DD" w14:textId="77777777" w:rsidR="006E4297" w:rsidRPr="0042134C" w:rsidRDefault="006E4297" w:rsidP="002F3EA4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A2A1" w14:textId="2978820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2000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D261" w14:textId="05349DA8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DAF8D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  <w:tr w:rsidR="006E4297" w:rsidRPr="0042134C" w14:paraId="471DD682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DBF8" w14:textId="77777777" w:rsidR="006E4297" w:rsidRPr="0042134C" w:rsidRDefault="006E4297" w:rsidP="002F3EA4">
            <w:pPr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 xml:space="preserve">2.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93AF" w14:textId="77777777" w:rsidR="006E4297" w:rsidRPr="0042134C" w:rsidRDefault="006E4297" w:rsidP="002F3EA4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6B34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6806F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9F44C" w14:textId="77777777" w:rsidR="006E4297" w:rsidRPr="0042134C" w:rsidRDefault="006E4297" w:rsidP="002F3EA4">
            <w:pPr>
              <w:rPr>
                <w:rFonts w:cs="Arial"/>
                <w:szCs w:val="22"/>
                <w:lang w:val="cs-CZ"/>
              </w:rPr>
            </w:pPr>
          </w:p>
        </w:tc>
      </w:tr>
      <w:tr w:rsidR="006E4297" w:rsidRPr="0042134C" w14:paraId="77D4E5EC" w14:textId="77777777" w:rsidTr="002F3EA4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B1D54" w14:textId="77777777" w:rsidR="006E4297" w:rsidRPr="0042134C" w:rsidRDefault="006E4297" w:rsidP="006E4297">
            <w:pPr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1321" w14:textId="77777777" w:rsidR="006E4297" w:rsidRPr="0042134C" w:rsidRDefault="006E4297" w:rsidP="006E4297">
            <w:pPr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BD3E" w14:textId="283E3332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CEB7" w14:textId="029A391E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821" w14:textId="77777777" w:rsidR="006E4297" w:rsidRPr="0042134C" w:rsidRDefault="006E4297" w:rsidP="006E4297">
            <w:pPr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1:2000</w:t>
            </w:r>
          </w:p>
        </w:tc>
      </w:tr>
    </w:tbl>
    <w:p w14:paraId="3D858A11" w14:textId="77777777" w:rsidR="006E4297" w:rsidRPr="0042134C" w:rsidRDefault="006E4297" w:rsidP="006E4297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6E4297" w:rsidRPr="0042134C" w14:paraId="136DD42A" w14:textId="77777777" w:rsidTr="002F3EA4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E876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E4297" w:rsidRPr="0042134C" w14:paraId="0538B97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0FCE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2820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43B0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E4297" w:rsidRPr="0042134C" w14:paraId="2146BAE7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F8F66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D2A5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E808E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1FAEFD2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CF84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E674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D0FA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6E4297" w:rsidRPr="0042134C" w14:paraId="20F0753E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F1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19069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DB83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6E4297" w:rsidRPr="0042134C" w14:paraId="05264460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7E2D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B561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2B715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6E4297" w:rsidRPr="0042134C" w14:paraId="69652A66" w14:textId="77777777" w:rsidTr="002F3EA4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9BCA4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A808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92D8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6E4297" w:rsidRPr="0042134C" w14:paraId="158C9E9A" w14:textId="77777777" w:rsidTr="002F3EA4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88363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5623A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62F2C" w14:textId="77777777" w:rsidR="006E4297" w:rsidRPr="0042134C" w:rsidRDefault="006E4297" w:rsidP="002F3EA4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42134C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0C41" w14:textId="77777777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</w:p>
    <w:p w14:paraId="4EAD37E9" w14:textId="64C147DE" w:rsidR="006E4297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pacing w:val="-1"/>
          <w:szCs w:val="22"/>
          <w:lang w:eastAsia="en-US"/>
        </w:rPr>
        <w:t>Poznámka</w:t>
      </w:r>
      <w:r w:rsidRPr="0042134C">
        <w:rPr>
          <w:rFonts w:eastAsia="Calibri" w:cs="Arial"/>
          <w:szCs w:val="22"/>
          <w:lang w:eastAsia="en-US"/>
        </w:rPr>
        <w:t>:</w:t>
      </w:r>
      <w:r w:rsidRPr="0042134C">
        <w:rPr>
          <w:rFonts w:eastAsia="Calibri" w:cs="Arial"/>
          <w:szCs w:val="22"/>
          <w:lang w:eastAsia="en-US"/>
        </w:rPr>
        <w:tab/>
      </w:r>
      <w:r w:rsidRPr="0042134C">
        <w:rPr>
          <w:rFonts w:eastAsia="Calibri" w:cs="Arial"/>
          <w:spacing w:val="-1"/>
          <w:szCs w:val="22"/>
          <w:lang w:eastAsia="en-US"/>
        </w:rPr>
        <w:t>Součástí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podkladů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 xml:space="preserve">musí </w:t>
      </w:r>
      <w:r w:rsidRPr="0042134C">
        <w:rPr>
          <w:rFonts w:eastAsia="Calibri" w:cs="Arial"/>
          <w:spacing w:val="-1"/>
          <w:szCs w:val="22"/>
          <w:lang w:eastAsia="en-US"/>
        </w:rPr>
        <w:t>být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informace</w:t>
      </w:r>
      <w:r w:rsidRPr="0042134C">
        <w:rPr>
          <w:rFonts w:eastAsia="Calibri" w:cs="Arial"/>
          <w:spacing w:val="-2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o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42134C">
        <w:rPr>
          <w:rFonts w:eastAsia="Calibri" w:cs="Arial"/>
          <w:spacing w:val="-2"/>
          <w:szCs w:val="22"/>
          <w:lang w:eastAsia="en-US"/>
        </w:rPr>
        <w:t>zájmů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42134C">
        <w:rPr>
          <w:rFonts w:eastAsia="Calibri" w:cs="Arial"/>
          <w:spacing w:val="6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právními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předpisy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2"/>
          <w:szCs w:val="22"/>
          <w:lang w:eastAsia="en-US"/>
        </w:rPr>
        <w:t>předané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5AE1649" w14:textId="77777777" w:rsidR="006E4297" w:rsidRPr="0042134C" w:rsidRDefault="006E4297" w:rsidP="006E4297">
      <w:pPr>
        <w:widowControl w:val="0"/>
        <w:tabs>
          <w:tab w:val="left" w:pos="1418"/>
        </w:tabs>
        <w:ind w:left="1418" w:right="936" w:hanging="1418"/>
        <w:rPr>
          <w:rFonts w:eastAsia="Calibri" w:cs="Arial"/>
          <w:szCs w:val="22"/>
          <w:lang w:eastAsia="en-US"/>
        </w:rPr>
      </w:pPr>
    </w:p>
    <w:p w14:paraId="6646C7CC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Poznámka:</w:t>
      </w:r>
    </w:p>
    <w:p w14:paraId="446BDB5D" w14:textId="77777777" w:rsidR="006E4297" w:rsidRPr="0042134C" w:rsidRDefault="006E4297" w:rsidP="006E4297">
      <w:pPr>
        <w:widowControl w:val="0"/>
        <w:spacing w:line="307" w:lineRule="exact"/>
        <w:ind w:left="708" w:right="720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78CB5B18" w14:textId="77777777" w:rsidR="006E4297" w:rsidRPr="0042134C" w:rsidRDefault="006E4297" w:rsidP="006E4297">
      <w:pPr>
        <w:widowControl w:val="0"/>
        <w:spacing w:line="307" w:lineRule="exact"/>
        <w:ind w:firstLine="708"/>
        <w:jc w:val="left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2C729F88" w14:textId="77777777" w:rsidR="006E4297" w:rsidRPr="0042134C" w:rsidRDefault="006E4297" w:rsidP="006E4297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45EE8F7" w14:textId="77777777" w:rsidR="006E4297" w:rsidRPr="0042134C" w:rsidRDefault="006E4297" w:rsidP="006E4297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42134C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081C2D4A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>Z terénních zkoušek a měření možné výše uvedené technické práce doplnit dynamickými a statickými penetracemi za účelem ověření geotechnických vlastností zemin in-situ nebo pro místa nepřístupná vrtným soupravám.</w:t>
      </w:r>
    </w:p>
    <w:p w14:paraId="3C023664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základě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42134C">
        <w:rPr>
          <w:rFonts w:eastAsia="Calibri" w:cs="Arial"/>
          <w:szCs w:val="22"/>
          <w:lang w:eastAsia="en-US"/>
        </w:rPr>
        <w:t>jsou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zařazeny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podle</w:t>
      </w:r>
      <w:r w:rsidRPr="0042134C">
        <w:rPr>
          <w:rFonts w:eastAsia="Calibri" w:cs="Arial"/>
          <w:spacing w:val="4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použitelnosti:</w:t>
      </w:r>
    </w:p>
    <w:p w14:paraId="3BED713F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nevhodné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pro výstavbu</w:t>
      </w:r>
    </w:p>
    <w:p w14:paraId="1F1E4C57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násypů</w:t>
      </w:r>
    </w:p>
    <w:p w14:paraId="68635FE6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zeminy 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aktivní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zóny vozovky</w:t>
      </w:r>
    </w:p>
    <w:p w14:paraId="4762E088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2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stabilizovaných podkladů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vozovky</w:t>
      </w:r>
    </w:p>
    <w:p w14:paraId="374CA36A" w14:textId="77777777" w:rsidR="006E4297" w:rsidRPr="0042134C" w:rsidRDefault="006E4297" w:rsidP="006E429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42134C">
        <w:rPr>
          <w:rFonts w:eastAsia="Calibri" w:cs="Arial"/>
          <w:spacing w:val="-1"/>
          <w:szCs w:val="22"/>
        </w:rPr>
        <w:t>materiály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sanačního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charakteru</w:t>
      </w:r>
      <w:r w:rsidRPr="0042134C">
        <w:rPr>
          <w:rFonts w:eastAsia="Calibri" w:cs="Arial"/>
          <w:spacing w:val="-3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vhodné</w:t>
      </w:r>
      <w:r w:rsidRPr="0042134C">
        <w:rPr>
          <w:rFonts w:eastAsia="Calibri" w:cs="Arial"/>
          <w:spacing w:val="-2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do</w:t>
      </w:r>
      <w:r w:rsidRPr="0042134C">
        <w:rPr>
          <w:rFonts w:eastAsia="Calibri" w:cs="Arial"/>
          <w:spacing w:val="1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podloží</w:t>
      </w:r>
      <w:r w:rsidRPr="0042134C">
        <w:rPr>
          <w:rFonts w:eastAsia="Calibri" w:cs="Arial"/>
          <w:szCs w:val="22"/>
        </w:rPr>
        <w:t xml:space="preserve"> </w:t>
      </w:r>
      <w:r w:rsidRPr="0042134C">
        <w:rPr>
          <w:rFonts w:eastAsia="Calibri" w:cs="Arial"/>
          <w:spacing w:val="-1"/>
          <w:szCs w:val="22"/>
        </w:rPr>
        <w:t>násypů.</w:t>
      </w:r>
    </w:p>
    <w:p w14:paraId="1225E377" w14:textId="77777777" w:rsidR="006E4297" w:rsidRPr="0042134C" w:rsidRDefault="006E4297" w:rsidP="006E4297">
      <w:pPr>
        <w:widowControl w:val="0"/>
        <w:numPr>
          <w:ilvl w:val="1"/>
          <w:numId w:val="41"/>
        </w:numPr>
        <w:spacing w:before="1" w:after="0"/>
        <w:ind w:left="851" w:right="254"/>
        <w:contextualSpacing w:val="0"/>
        <w:rPr>
          <w:rFonts w:eastAsia="Calibri" w:cs="Arial"/>
          <w:spacing w:val="-1"/>
          <w:szCs w:val="22"/>
          <w:lang w:eastAsia="en-US"/>
        </w:rPr>
      </w:pPr>
      <w:r w:rsidRPr="0042134C">
        <w:rPr>
          <w:rFonts w:eastAsia="Calibri" w:cs="Arial"/>
          <w:szCs w:val="22"/>
          <w:lang w:eastAsia="en-US"/>
        </w:rPr>
        <w:t xml:space="preserve">V </w:t>
      </w:r>
      <w:r w:rsidRPr="000A5FE8">
        <w:rPr>
          <w:rFonts w:eastAsia="Calibri" w:cs="Arial"/>
          <w:szCs w:val="22"/>
          <w:lang w:eastAsia="en-US"/>
        </w:rPr>
        <w:t>místech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stavebních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objektů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zCs w:val="22"/>
          <w:lang w:eastAsia="en-US"/>
        </w:rPr>
        <w:t>je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nutné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odebrat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vzorky</w:t>
      </w:r>
      <w:r w:rsidRPr="0042134C">
        <w:rPr>
          <w:rFonts w:eastAsia="Calibri" w:cs="Arial"/>
          <w:spacing w:val="24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podzemní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vody</w:t>
      </w:r>
      <w:r w:rsidRPr="0042134C">
        <w:rPr>
          <w:rFonts w:eastAsia="Calibri" w:cs="Arial"/>
          <w:spacing w:val="25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za</w:t>
      </w:r>
      <w:r w:rsidRPr="0042134C">
        <w:rPr>
          <w:rFonts w:eastAsia="Calibri" w:cs="Arial"/>
          <w:spacing w:val="22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účelem</w:t>
      </w:r>
      <w:r w:rsidRPr="0042134C">
        <w:rPr>
          <w:rFonts w:eastAsia="Calibri" w:cs="Arial"/>
          <w:spacing w:val="2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stanovení</w:t>
      </w:r>
      <w:r w:rsidRPr="0042134C">
        <w:rPr>
          <w:rFonts w:eastAsia="Calibri" w:cs="Arial"/>
          <w:spacing w:val="5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chemické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agresivity prostředí</w:t>
      </w:r>
      <w:r w:rsidRPr="0042134C">
        <w:rPr>
          <w:rFonts w:eastAsia="Calibri" w:cs="Arial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na</w:t>
      </w:r>
      <w:r w:rsidRPr="0042134C">
        <w:rPr>
          <w:rFonts w:eastAsia="Calibri" w:cs="Arial"/>
          <w:szCs w:val="22"/>
          <w:lang w:eastAsia="en-US"/>
        </w:rPr>
        <w:t xml:space="preserve"> beton</w:t>
      </w:r>
      <w:r w:rsidRPr="0042134C">
        <w:rPr>
          <w:rFonts w:eastAsia="Calibri" w:cs="Arial"/>
          <w:spacing w:val="-3"/>
          <w:szCs w:val="22"/>
          <w:lang w:eastAsia="en-US"/>
        </w:rPr>
        <w:t xml:space="preserve"> </w:t>
      </w:r>
      <w:r w:rsidRPr="0042134C">
        <w:rPr>
          <w:rFonts w:eastAsia="Calibri" w:cs="Arial"/>
          <w:spacing w:val="-1"/>
          <w:szCs w:val="22"/>
          <w:lang w:eastAsia="en-US"/>
        </w:rPr>
        <w:t>dle</w:t>
      </w:r>
      <w:r w:rsidRPr="0042134C">
        <w:rPr>
          <w:rFonts w:eastAsia="Calibri" w:cs="Arial"/>
          <w:spacing w:val="1"/>
          <w:szCs w:val="22"/>
          <w:lang w:eastAsia="en-US"/>
        </w:rPr>
        <w:t xml:space="preserve"> </w:t>
      </w:r>
      <w:bookmarkStart w:id="18" w:name="_Hlk157077642"/>
      <w:r w:rsidRPr="0042134C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42134C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8"/>
    </w:p>
    <w:tbl>
      <w:tblPr>
        <w:tblStyle w:val="TableNormal"/>
        <w:tblW w:w="9497" w:type="dxa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6E4297" w:rsidRPr="0042134C" w14:paraId="1402323D" w14:textId="77777777" w:rsidTr="006E4297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F2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42134C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zCs w:val="22"/>
                <w:lang w:val="cs-CZ"/>
              </w:rPr>
              <w:t>o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42134C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42134C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6E4297" w:rsidRPr="0042134C" w14:paraId="113E9A43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DFB3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670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dotčeném okolí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6E4297" w:rsidRPr="0042134C" w14:paraId="5336B2F4" w14:textId="77777777" w:rsidTr="006E4297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AA59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3E009" w14:textId="77777777" w:rsidR="006E4297" w:rsidRPr="0042134C" w:rsidRDefault="006E4297" w:rsidP="002F3EA4">
            <w:pPr>
              <w:ind w:left="102" w:right="844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42134C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42134C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6E4297" w:rsidRPr="0042134C" w14:paraId="22F1217A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13E1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856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nepříznivých území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návrhem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změně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trasy</w:t>
            </w:r>
          </w:p>
        </w:tc>
      </w:tr>
      <w:tr w:rsidR="006E4297" w:rsidRPr="0042134C" w14:paraId="3D45C808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F820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9CF3" w14:textId="77777777" w:rsidR="006E4297" w:rsidRPr="0042134C" w:rsidRDefault="006E4297" w:rsidP="002F3EA4">
            <w:pPr>
              <w:ind w:left="102" w:right="893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42134C">
              <w:rPr>
                <w:rFonts w:cs="Arial"/>
                <w:szCs w:val="22"/>
                <w:lang w:val="cs-CZ"/>
              </w:rPr>
              <w:t>z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trasy jako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73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6133)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42134C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konstrukčního materiálu,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požadavků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zadavatele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6E4297" w:rsidRPr="0042134C" w14:paraId="1860BFB5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7A5C3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EEEEC" w14:textId="77777777" w:rsidR="006E4297" w:rsidRPr="0042134C" w:rsidRDefault="006E4297" w:rsidP="002F3EA4">
            <w:pPr>
              <w:ind w:left="102" w:right="107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ČSN 73 6133 do </w:t>
            </w:r>
            <w:r w:rsidRPr="0042134C">
              <w:rPr>
                <w:rFonts w:cs="Arial"/>
                <w:szCs w:val="22"/>
                <w:lang w:val="cs-CZ"/>
              </w:rPr>
              <w:t>3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smluvní</w:t>
            </w:r>
            <w:r w:rsidRPr="0042134C">
              <w:rPr>
                <w:rFonts w:cs="Arial"/>
                <w:spacing w:val="5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42134C">
              <w:rPr>
                <w:rFonts w:cs="Arial"/>
                <w:szCs w:val="22"/>
                <w:lang w:val="cs-CZ"/>
              </w:rPr>
              <w:t>s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6E4297" w:rsidRPr="0042134C" w14:paraId="69F8488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52C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75D4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Zatřídění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hornin podle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vrtatelnosti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 vrty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hlubinné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TP76</w:t>
            </w:r>
          </w:p>
        </w:tc>
      </w:tr>
      <w:tr w:rsidR="006E4297" w:rsidRPr="0042134C" w14:paraId="21D4E4EA" w14:textId="77777777" w:rsidTr="006E4297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C027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9932" w14:textId="77777777" w:rsidR="006E4297" w:rsidRPr="0042134C" w:rsidRDefault="006E4297" w:rsidP="002F3EA4">
            <w:pPr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v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trase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a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6E4297" w:rsidRPr="0042134C" w14:paraId="581FCECB" w14:textId="77777777" w:rsidTr="006E4297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9F0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377" w14:textId="77777777" w:rsidR="006E4297" w:rsidRPr="0042134C" w:rsidRDefault="006E4297" w:rsidP="002F3EA4">
            <w:pPr>
              <w:ind w:left="102" w:right="1205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42134C">
              <w:rPr>
                <w:rFonts w:cs="Arial"/>
                <w:szCs w:val="22"/>
                <w:lang w:val="cs-CZ"/>
              </w:rPr>
              <w:t>ke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6E4297" w:rsidRPr="0042134C" w14:paraId="6C85A6C1" w14:textId="77777777" w:rsidTr="006E4297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379B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2ACC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42134C">
              <w:rPr>
                <w:rFonts w:cs="Arial"/>
                <w:szCs w:val="22"/>
                <w:lang w:val="cs-CZ"/>
              </w:rPr>
              <w:t xml:space="preserve"> a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budoucího provozu komunikace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zCs w:val="22"/>
                <w:lang w:val="cs-CZ"/>
              </w:rPr>
              <w:t xml:space="preserve"> její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–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zejména</w:t>
            </w:r>
            <w:r>
              <w:rPr>
                <w:rFonts w:cs="Arial"/>
                <w:spacing w:val="-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 xml:space="preserve">s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vydatnost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vodních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zdrojů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kvalitu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jímané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vody.</w:t>
            </w:r>
            <w:r w:rsidRPr="0042134C">
              <w:rPr>
                <w:rFonts w:cs="Arial"/>
                <w:szCs w:val="22"/>
                <w:lang w:val="cs-CZ"/>
              </w:rPr>
              <w:t xml:space="preserve"> V</w:t>
            </w:r>
            <w:r>
              <w:rPr>
                <w:rFonts w:cs="Arial"/>
                <w:szCs w:val="22"/>
                <w:lang w:val="cs-CZ"/>
              </w:rPr>
              <w:t> 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případě</w:t>
            </w:r>
            <w:r w:rsidRPr="0042134C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zjištění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negativního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>dopadu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 xml:space="preserve"> 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42134C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řešení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vzniklé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situace,</w:t>
            </w:r>
            <w:r w:rsidRPr="0042134C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42134C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42134C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náhradních zdrojů.</w:t>
            </w:r>
          </w:p>
        </w:tc>
      </w:tr>
      <w:tr w:rsidR="006E4297" w:rsidRPr="0042134C" w14:paraId="6B60259F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215D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D250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zCs w:val="22"/>
                <w:lang w:val="cs-CZ"/>
              </w:rPr>
              <w:t>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provozu komunikace</w:t>
            </w:r>
            <w:r w:rsidRPr="0042134C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42134C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okolní</w:t>
            </w:r>
            <w:r w:rsidRPr="0042134C">
              <w:rPr>
                <w:rFonts w:cs="Arial"/>
                <w:szCs w:val="22"/>
                <w:lang w:val="cs-CZ"/>
              </w:rPr>
              <w:t xml:space="preserve"> </w:t>
            </w:r>
            <w:r w:rsidRPr="0042134C">
              <w:rPr>
                <w:rFonts w:cs="Arial"/>
                <w:spacing w:val="-1"/>
                <w:szCs w:val="22"/>
                <w:lang w:val="cs-CZ"/>
              </w:rPr>
              <w:t>stavby.</w:t>
            </w:r>
          </w:p>
        </w:tc>
      </w:tr>
      <w:tr w:rsidR="006E4297" w:rsidRPr="0042134C" w14:paraId="4AF1F4C2" w14:textId="77777777" w:rsidTr="006E4297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2771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42134C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FC6E" w14:textId="77777777" w:rsidR="006E4297" w:rsidRPr="0042134C" w:rsidRDefault="006E4297" w:rsidP="002F3EA4">
            <w:pPr>
              <w:spacing w:line="264" w:lineRule="exact"/>
              <w:ind w:left="102"/>
              <w:rPr>
                <w:rFonts w:cs="Arial"/>
                <w:spacing w:val="-1"/>
                <w:szCs w:val="22"/>
                <w:lang w:val="cs-CZ"/>
              </w:rPr>
            </w:pPr>
            <w:r w:rsidRPr="0042134C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19515FE8" w14:textId="77777777" w:rsidR="00537417" w:rsidRPr="00537417" w:rsidRDefault="00537417" w:rsidP="00537417">
      <w:pPr>
        <w:spacing w:before="0" w:after="0" w:line="240" w:lineRule="auto"/>
        <w:contextualSpacing w:val="0"/>
        <w:jc w:val="left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57962876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76A5F85F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77777777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br w:type="page"/>
      </w:r>
    </w:p>
    <w:p w14:paraId="2A6459AD" w14:textId="1C741DF3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t xml:space="preserve">2. 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344EE568" w14:textId="77777777" w:rsidR="00537417" w:rsidRP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537417" w:rsidRPr="00537417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FB3F" w14:textId="6139E7A7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 xml:space="preserve">Spis č. </w:t>
    </w:r>
    <w:r w:rsidR="001C55D6" w:rsidRPr="001C55D6">
      <w:rPr>
        <w:sz w:val="20"/>
        <w:szCs w:val="20"/>
      </w:rPr>
      <w:t>SP9028</w:t>
    </w:r>
    <w:r w:rsidRPr="00EF6E16">
      <w:rPr>
        <w:sz w:val="20"/>
        <w:szCs w:val="20"/>
      </w:rPr>
      <w:t>/2025-504201</w:t>
    </w:r>
  </w:p>
  <w:p w14:paraId="13CC68CC" w14:textId="77777777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Č.j. příkazce: SPU /2025</w:t>
    </w:r>
  </w:p>
  <w:p w14:paraId="3320F9DB" w14:textId="28F2481B" w:rsidR="00F523A5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ab/>
      <w:t xml:space="preserve">                                                  Č.j. příkazníka:</w:t>
    </w:r>
    <w:r>
      <w:rPr>
        <w:sz w:val="20"/>
        <w:szCs w:val="20"/>
      </w:rPr>
      <w:t xml:space="preserve">   </w:t>
    </w:r>
  </w:p>
  <w:p w14:paraId="023E83BA" w14:textId="19FAB09C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1"/>
  </w:num>
  <w:num w:numId="3" w16cid:durableId="794637397">
    <w:abstractNumId w:val="19"/>
  </w:num>
  <w:num w:numId="4" w16cid:durableId="140774044">
    <w:abstractNumId w:val="23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7"/>
  </w:num>
  <w:num w:numId="14" w16cid:durableId="875238146">
    <w:abstractNumId w:val="39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8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1"/>
  </w:num>
  <w:num w:numId="24" w16cid:durableId="2139912930">
    <w:abstractNumId w:val="42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6"/>
  </w:num>
  <w:num w:numId="28" w16cid:durableId="1599868200">
    <w:abstractNumId w:val="35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40"/>
  </w:num>
  <w:num w:numId="39" w16cid:durableId="1359896102">
    <w:abstractNumId w:val="22"/>
  </w:num>
  <w:num w:numId="40" w16cid:durableId="1365398233">
    <w:abstractNumId w:val="13"/>
  </w:num>
  <w:num w:numId="41" w16cid:durableId="294261274">
    <w:abstractNumId w:val="9"/>
  </w:num>
  <w:num w:numId="42" w16cid:durableId="1736733890">
    <w:abstractNumId w:val="20"/>
  </w:num>
  <w:num w:numId="43" w16cid:durableId="108410764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Pm++7HTRp2NtV56tFcJOWaKpf5z23A+rPBELWsSy192TTITcsYVNOOV3CNhnlOflHymR5yIAU9zwmPrUBqUdA==" w:salt="HFB9TUjNeR2ty4Zyt2hObg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55D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2C75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36E9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A7447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500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2E6"/>
    <w:rsid w:val="00471DCB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374D"/>
    <w:rsid w:val="004E5FA6"/>
    <w:rsid w:val="004F0EFD"/>
    <w:rsid w:val="004F26B2"/>
    <w:rsid w:val="004F26E0"/>
    <w:rsid w:val="004F5D4D"/>
    <w:rsid w:val="004F6188"/>
    <w:rsid w:val="00501B55"/>
    <w:rsid w:val="005044BB"/>
    <w:rsid w:val="00505B5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10DB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298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075F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2C1B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05A1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1A71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274DB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1446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55F6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2678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CD3"/>
    <w:rsid w:val="00F72658"/>
    <w:rsid w:val="00F7348B"/>
    <w:rsid w:val="00F7504A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www.w3.org/XML/1998/namespace"/>
    <ds:schemaRef ds:uri="http://purl.org/dc/elements/1.1/"/>
    <ds:schemaRef ds:uri="http://schemas.microsoft.com/office/2006/metadata/properties"/>
    <ds:schemaRef ds:uri="2046fdb6-fa60-49a6-a635-1115ab0d2074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da3fa48-c231-4f9d-a491-19361e04fcb4"/>
    <ds:schemaRef ds:uri="85f4b5cc-4033-44c7-b405-f5eed34c815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4908</Words>
  <Characters>28964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27</cp:revision>
  <cp:lastPrinted>2025-12-03T13:23:00Z</cp:lastPrinted>
  <dcterms:created xsi:type="dcterms:W3CDTF">2025-09-24T11:16:00Z</dcterms:created>
  <dcterms:modified xsi:type="dcterms:W3CDTF">2025-12-18T08:26:00Z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