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4402EAA4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</w:t>
      </w:r>
      <w:r w:rsidRPr="00757BBE">
        <w:rPr>
          <w:rFonts w:cs="Arial"/>
          <w:b/>
          <w:szCs w:val="24"/>
        </w:rPr>
        <w:t xml:space="preserve">úřad </w:t>
      </w:r>
      <w:r w:rsidR="00757BBE" w:rsidRPr="00757BBE">
        <w:rPr>
          <w:rFonts w:cs="Arial"/>
          <w:b/>
          <w:bCs/>
          <w:snapToGrid w:val="0"/>
          <w:szCs w:val="24"/>
        </w:rPr>
        <w:t>pro Kraj Vysočina</w:t>
      </w:r>
    </w:p>
    <w:p w14:paraId="4CF8149E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</w:p>
    <w:p w14:paraId="3C119B8E" w14:textId="77777777" w:rsidR="00757BBE" w:rsidRPr="00E264F7" w:rsidRDefault="00757BBE" w:rsidP="00757BBE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="Arial"/>
          <w:b/>
          <w:szCs w:val="22"/>
        </w:rPr>
      </w:pPr>
      <w:r w:rsidRPr="00E264F7">
        <w:rPr>
          <w:rFonts w:cs="Arial"/>
          <w:b/>
          <w:szCs w:val="22"/>
        </w:rPr>
        <w:t>Pobočka Havlíčkův Brod</w:t>
      </w:r>
    </w:p>
    <w:p w14:paraId="0A8967E3" w14:textId="77777777" w:rsidR="00757BBE" w:rsidRPr="00E264F7" w:rsidRDefault="00757BBE" w:rsidP="00757BBE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="Arial"/>
          <w:szCs w:val="22"/>
        </w:rPr>
      </w:pPr>
      <w:r w:rsidRPr="00E264F7">
        <w:rPr>
          <w:rFonts w:cs="Arial"/>
          <w:b/>
          <w:szCs w:val="22"/>
        </w:rPr>
        <w:t xml:space="preserve">Adresa: </w:t>
      </w:r>
      <w:r w:rsidRPr="00E264F7">
        <w:rPr>
          <w:rFonts w:cs="Arial"/>
          <w:bCs/>
          <w:szCs w:val="22"/>
        </w:rPr>
        <w:t>Smetanovo náměstí 279, 580 01 Havlíčkův Brod</w:t>
      </w:r>
      <w:r w:rsidRPr="00E264F7">
        <w:rPr>
          <w:rFonts w:cs="Arial"/>
          <w:szCs w:val="22"/>
        </w:rPr>
        <w:tab/>
      </w:r>
    </w:p>
    <w:p w14:paraId="54632603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zastoupený:</w:t>
      </w:r>
      <w:r w:rsidRPr="00E264F7">
        <w:rPr>
          <w:rFonts w:eastAsia="Lucida Sans Unicode" w:cs="Arial"/>
          <w:szCs w:val="22"/>
        </w:rPr>
        <w:tab/>
        <w:t xml:space="preserve">Ing. Janou Ďáskovou, vedoucí Pobočky </w:t>
      </w:r>
      <w:r w:rsidRPr="00E264F7">
        <w:rPr>
          <w:rFonts w:eastAsia="Lucida Sans Unicode" w:cs="Arial"/>
          <w:szCs w:val="22"/>
        </w:rPr>
        <w:br/>
        <w:t>Havlíčkův Brod</w:t>
      </w:r>
    </w:p>
    <w:p w14:paraId="7AB623EB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 xml:space="preserve">ve smluvních záležitostech oprávněn jednat: </w:t>
      </w:r>
      <w:r w:rsidRPr="00E264F7">
        <w:rPr>
          <w:rFonts w:eastAsia="Lucida Sans Unicode" w:cs="Arial"/>
          <w:szCs w:val="22"/>
        </w:rPr>
        <w:tab/>
        <w:t xml:space="preserve">Ing. Jana Ďásková, vedoucí Pobočky </w:t>
      </w:r>
      <w:r w:rsidRPr="00E264F7">
        <w:rPr>
          <w:rFonts w:eastAsia="Lucida Sans Unicode" w:cs="Arial"/>
          <w:szCs w:val="22"/>
        </w:rPr>
        <w:br/>
        <w:t>Havlíčkův Brod</w:t>
      </w:r>
    </w:p>
    <w:p w14:paraId="429522EC" w14:textId="77777777" w:rsidR="00DB24DD" w:rsidRPr="00E264F7" w:rsidRDefault="00757BBE" w:rsidP="00DB24DD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 xml:space="preserve">v technických záležitostech oprávněn jednat:   </w:t>
      </w:r>
      <w:r w:rsidR="00DB24DD" w:rsidRPr="00E264F7">
        <w:rPr>
          <w:rFonts w:eastAsia="Lucida Sans Unicode" w:cs="Arial"/>
          <w:szCs w:val="22"/>
        </w:rPr>
        <w:t xml:space="preserve">Ing. </w:t>
      </w:r>
      <w:r w:rsidR="00DB24DD">
        <w:rPr>
          <w:rFonts w:eastAsia="Lucida Sans Unicode" w:cs="Arial"/>
          <w:szCs w:val="22"/>
        </w:rPr>
        <w:t>Jana Ďásková</w:t>
      </w:r>
      <w:r w:rsidR="00DB24DD" w:rsidRPr="00E264F7">
        <w:rPr>
          <w:rFonts w:eastAsia="Lucida Sans Unicode" w:cs="Arial"/>
          <w:szCs w:val="22"/>
        </w:rPr>
        <w:t xml:space="preserve">, Pobočka </w:t>
      </w:r>
      <w:r w:rsidR="00DB24DD" w:rsidRPr="00E264F7">
        <w:rPr>
          <w:rFonts w:eastAsia="Lucida Sans Unicode" w:cs="Arial"/>
          <w:szCs w:val="22"/>
        </w:rPr>
        <w:br/>
        <w:t xml:space="preserve">Havlíčkův Brod </w:t>
      </w:r>
    </w:p>
    <w:p w14:paraId="6E699A43" w14:textId="77777777" w:rsidR="00DB24DD" w:rsidRPr="00E264F7" w:rsidRDefault="00DB24DD" w:rsidP="00DB24DD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Tel.:</w:t>
      </w:r>
      <w:r w:rsidRPr="00E264F7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> 725 406 016</w:t>
      </w:r>
      <w:r w:rsidRPr="00E264F7">
        <w:rPr>
          <w:rFonts w:eastAsia="Lucida Sans Unicode" w:cs="Arial"/>
          <w:szCs w:val="22"/>
        </w:rPr>
        <w:t xml:space="preserve"> </w:t>
      </w:r>
    </w:p>
    <w:p w14:paraId="66BB0A52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E-mail:</w:t>
      </w:r>
      <w:r w:rsidRPr="00E264F7">
        <w:rPr>
          <w:rFonts w:eastAsia="Lucida Sans Unicode" w:cs="Arial"/>
          <w:szCs w:val="22"/>
        </w:rPr>
        <w:tab/>
        <w:t>hbrod.pk@spu</w:t>
      </w:r>
      <w:r>
        <w:rPr>
          <w:rFonts w:eastAsia="Lucida Sans Unicode" w:cs="Arial"/>
          <w:szCs w:val="22"/>
        </w:rPr>
        <w:t>.gov</w:t>
      </w:r>
      <w:r w:rsidRPr="00E264F7">
        <w:rPr>
          <w:rFonts w:eastAsia="Lucida Sans Unicode" w:cs="Arial"/>
          <w:szCs w:val="22"/>
        </w:rPr>
        <w:t>.cz</w:t>
      </w:r>
    </w:p>
    <w:p w14:paraId="3087D511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ID DS:</w:t>
      </w:r>
      <w:r w:rsidRPr="00E264F7">
        <w:rPr>
          <w:rFonts w:eastAsia="Lucida Sans Unicode" w:cs="Arial"/>
          <w:szCs w:val="22"/>
        </w:rPr>
        <w:tab/>
        <w:t>z49per3</w:t>
      </w:r>
    </w:p>
    <w:p w14:paraId="6605A884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Bankovní spojení:</w:t>
      </w:r>
      <w:r w:rsidRPr="00E264F7">
        <w:rPr>
          <w:rFonts w:eastAsia="Lucida Sans Unicode" w:cs="Arial"/>
          <w:szCs w:val="22"/>
        </w:rPr>
        <w:tab/>
        <w:t xml:space="preserve">ČNB </w:t>
      </w:r>
      <w:r w:rsidRPr="00E264F7">
        <w:rPr>
          <w:rFonts w:eastAsia="Lucida Sans Unicode" w:cs="Arial"/>
          <w:szCs w:val="22"/>
        </w:rPr>
        <w:tab/>
      </w:r>
    </w:p>
    <w:p w14:paraId="021ECAC4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Číslo účtu:</w:t>
      </w:r>
      <w:r w:rsidRPr="00E264F7">
        <w:rPr>
          <w:rFonts w:eastAsia="Lucida Sans Unicode" w:cs="Arial"/>
          <w:szCs w:val="22"/>
        </w:rPr>
        <w:tab/>
        <w:t>3723001/0710</w:t>
      </w:r>
    </w:p>
    <w:p w14:paraId="72556983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bCs/>
          <w:szCs w:val="22"/>
        </w:rPr>
      </w:pPr>
      <w:r w:rsidRPr="00E264F7">
        <w:rPr>
          <w:rFonts w:eastAsia="Lucida Sans Unicode" w:cs="Arial"/>
          <w:szCs w:val="22"/>
        </w:rPr>
        <w:t>IČ:</w:t>
      </w:r>
      <w:r w:rsidRPr="00E264F7">
        <w:rPr>
          <w:rFonts w:eastAsia="Lucida Sans Unicode" w:cs="Arial"/>
          <w:szCs w:val="22"/>
        </w:rPr>
        <w:tab/>
        <w:t xml:space="preserve">01312774                                                                 </w:t>
      </w:r>
      <w:r w:rsidRPr="00E264F7">
        <w:rPr>
          <w:rFonts w:eastAsia="Lucida Sans Unicode" w:cs="Arial"/>
          <w:bCs/>
          <w:szCs w:val="22"/>
        </w:rPr>
        <w:t xml:space="preserve">  </w:t>
      </w:r>
    </w:p>
    <w:p w14:paraId="51BDBC27" w14:textId="77777777" w:rsidR="00757BBE" w:rsidRPr="00584922" w:rsidRDefault="00757BBE" w:rsidP="00757BB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E264F7">
        <w:rPr>
          <w:rFonts w:eastAsia="Lucida Sans Unicode" w:cs="Arial"/>
          <w:bCs/>
          <w:szCs w:val="22"/>
        </w:rPr>
        <w:t>DIČ:</w:t>
      </w:r>
      <w:r w:rsidRPr="00E264F7">
        <w:rPr>
          <w:rFonts w:eastAsia="Lucida Sans Unicode" w:cs="Arial"/>
          <w:bCs/>
          <w:szCs w:val="22"/>
        </w:rPr>
        <w:tab/>
        <w:t xml:space="preserve">není plátcem DPH </w:t>
      </w:r>
      <w:r w:rsidRPr="00E264F7">
        <w:rPr>
          <w:rFonts w:cs="Arial"/>
          <w:bCs/>
          <w:szCs w:val="22"/>
        </w:rPr>
        <w:t xml:space="preserve">                   </w:t>
      </w:r>
    </w:p>
    <w:p w14:paraId="62A433E2" w14:textId="77777777" w:rsidR="00757BBE" w:rsidRDefault="00757BBE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</w:p>
    <w:p w14:paraId="0601CC11" w14:textId="081D2F1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6A5D6BDF" w:rsidR="00E24120" w:rsidRDefault="00F74D73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26E1CBDA" w14:textId="77777777" w:rsidR="00F74D73" w:rsidRPr="00E24120" w:rsidRDefault="00F74D73" w:rsidP="00D8691B">
      <w:pPr>
        <w:spacing w:line="280" w:lineRule="exact"/>
        <w:rPr>
          <w:rFonts w:cs="Arial"/>
          <w:b/>
          <w:szCs w:val="24"/>
        </w:rPr>
      </w:pP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65B5131A" w14:textId="77777777" w:rsidR="00F74D73" w:rsidRDefault="00F74D73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640C4B70" w14:textId="14BB0585" w:rsidR="00DB24DD" w:rsidRPr="00E24120" w:rsidRDefault="00DB24DD" w:rsidP="00DB24DD">
      <w:pPr>
        <w:tabs>
          <w:tab w:val="left" w:pos="4253"/>
        </w:tabs>
        <w:jc w:val="both"/>
        <w:rPr>
          <w:rFonts w:cs="Arial"/>
          <w:b/>
        </w:rPr>
      </w:pPr>
      <w:r w:rsidRPr="00E24120">
        <w:rPr>
          <w:rFonts w:cs="Arial"/>
          <w:b/>
        </w:rPr>
        <w:t xml:space="preserve">Jméno: </w:t>
      </w:r>
      <w:r w:rsidR="00892978">
        <w:rPr>
          <w:rFonts w:cs="Arial"/>
          <w:b/>
        </w:rPr>
        <w:tab/>
      </w:r>
      <w:r w:rsidR="00F2514E">
        <w:rPr>
          <w:rFonts w:cs="Arial"/>
          <w:b/>
          <w:bCs/>
          <w:snapToGrid w:val="0"/>
        </w:rPr>
        <w:t>Ing. Luděk Halaš</w:t>
      </w:r>
    </w:p>
    <w:p w14:paraId="46B7069E" w14:textId="02E9E1A6" w:rsidR="00DB24DD" w:rsidRPr="00E24120" w:rsidRDefault="00DB24DD" w:rsidP="00DB24DD">
      <w:pPr>
        <w:tabs>
          <w:tab w:val="left" w:pos="4253"/>
        </w:tabs>
        <w:jc w:val="both"/>
        <w:rPr>
          <w:rFonts w:cs="Arial"/>
          <w:b/>
        </w:rPr>
      </w:pPr>
      <w:r w:rsidRPr="00E24120">
        <w:rPr>
          <w:rFonts w:cs="Arial"/>
          <w:b/>
        </w:rPr>
        <w:t>Sídlo:</w:t>
      </w:r>
      <w:r w:rsidRPr="00E24120">
        <w:rPr>
          <w:rFonts w:cs="Arial"/>
          <w:bCs/>
        </w:rPr>
        <w:t xml:space="preserve"> </w:t>
      </w:r>
      <w:r w:rsidR="00892978">
        <w:rPr>
          <w:rFonts w:cs="Arial"/>
          <w:bCs/>
        </w:rPr>
        <w:tab/>
      </w:r>
      <w:r w:rsidR="009951AA">
        <w:rPr>
          <w:rFonts w:cs="Arial"/>
          <w:b/>
          <w:bCs/>
          <w:snapToGrid w:val="0"/>
        </w:rPr>
        <w:t>xxxxxxxxxx</w:t>
      </w:r>
      <w:r w:rsidR="00F2514E">
        <w:rPr>
          <w:rFonts w:cs="Arial"/>
          <w:b/>
          <w:bCs/>
          <w:snapToGrid w:val="0"/>
        </w:rPr>
        <w:t xml:space="preserve"> Brno</w:t>
      </w:r>
      <w:r w:rsidR="00892978">
        <w:rPr>
          <w:rFonts w:cs="Arial"/>
          <w:b/>
          <w:bCs/>
          <w:snapToGrid w:val="0"/>
        </w:rPr>
        <w:t xml:space="preserve"> – Černá Pole</w:t>
      </w:r>
    </w:p>
    <w:p w14:paraId="7685A9B2" w14:textId="6268FF44" w:rsidR="00DB24DD" w:rsidRPr="00E24120" w:rsidRDefault="00DB24DD" w:rsidP="00DB24DD">
      <w:pPr>
        <w:tabs>
          <w:tab w:val="left" w:pos="4253"/>
        </w:tabs>
        <w:jc w:val="both"/>
        <w:rPr>
          <w:rFonts w:cs="Arial"/>
          <w:i/>
        </w:rPr>
      </w:pPr>
      <w:r w:rsidRPr="00E24120">
        <w:rPr>
          <w:rFonts w:cs="Arial"/>
        </w:rPr>
        <w:t xml:space="preserve">zastoupený: </w:t>
      </w:r>
      <w:r w:rsidR="00F2514E">
        <w:rPr>
          <w:rFonts w:cs="Arial"/>
        </w:rPr>
        <w:tab/>
        <w:t xml:space="preserve">        </w:t>
      </w:r>
      <w:r w:rsidR="00F2514E">
        <w:rPr>
          <w:rFonts w:cs="Arial"/>
          <w:b/>
          <w:bCs/>
          <w:snapToGrid w:val="0"/>
        </w:rPr>
        <w:t>Ing. Luďkem Halašem</w:t>
      </w:r>
    </w:p>
    <w:p w14:paraId="00CC0AC1" w14:textId="760D1CF0" w:rsidR="00DB24DD" w:rsidRPr="00E24120" w:rsidRDefault="00DB24DD" w:rsidP="00DB24DD">
      <w:pPr>
        <w:tabs>
          <w:tab w:val="left" w:pos="284"/>
          <w:tab w:val="left" w:pos="4678"/>
        </w:tabs>
        <w:jc w:val="both"/>
        <w:rPr>
          <w:rFonts w:cs="Arial"/>
        </w:rPr>
      </w:pPr>
      <w:r w:rsidRPr="00E24120">
        <w:rPr>
          <w:rFonts w:cs="Arial"/>
        </w:rPr>
        <w:tab/>
        <w:t>Tel.:</w:t>
      </w:r>
      <w:r w:rsidRPr="00E24120">
        <w:rPr>
          <w:rFonts w:cs="Arial"/>
        </w:rPr>
        <w:tab/>
      </w:r>
      <w:r w:rsidR="009951AA">
        <w:rPr>
          <w:rFonts w:cs="Arial"/>
          <w:b/>
          <w:bCs/>
          <w:snapToGrid w:val="0"/>
        </w:rPr>
        <w:t>xxxxxxxxxx</w:t>
      </w:r>
    </w:p>
    <w:p w14:paraId="2EC52F9C" w14:textId="78B94BC2" w:rsidR="00DB24DD" w:rsidRPr="00E24120" w:rsidRDefault="00DB24DD" w:rsidP="00DB24DD">
      <w:pPr>
        <w:tabs>
          <w:tab w:val="left" w:pos="284"/>
          <w:tab w:val="left" w:pos="4678"/>
        </w:tabs>
        <w:ind w:right="-110"/>
        <w:jc w:val="both"/>
        <w:rPr>
          <w:rFonts w:cs="Arial"/>
          <w:bCs/>
          <w:snapToGrid w:val="0"/>
        </w:rPr>
      </w:pPr>
      <w:r w:rsidRPr="00E24120">
        <w:rPr>
          <w:rFonts w:cs="Arial"/>
        </w:rPr>
        <w:tab/>
        <w:t>E-mail:</w:t>
      </w:r>
      <w:r w:rsidRPr="00E24120">
        <w:rPr>
          <w:rFonts w:cs="Arial"/>
        </w:rPr>
        <w:tab/>
      </w:r>
      <w:r w:rsidR="009951AA">
        <w:rPr>
          <w:rFonts w:cs="Arial"/>
          <w:b/>
          <w:bCs/>
          <w:snapToGrid w:val="0"/>
        </w:rPr>
        <w:t>xxxxxxxxxx</w:t>
      </w:r>
    </w:p>
    <w:p w14:paraId="7FED0466" w14:textId="11E4323B" w:rsidR="00F2514E" w:rsidRPr="00F2514E" w:rsidRDefault="00DB24DD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 w:rsidRPr="00E24120">
        <w:rPr>
          <w:rFonts w:cs="Arial"/>
          <w:snapToGrid w:val="0"/>
        </w:rPr>
        <w:tab/>
      </w:r>
      <w:r w:rsidR="00F2514E" w:rsidRPr="00F2514E">
        <w:rPr>
          <w:rFonts w:cs="Arial"/>
          <w:snapToGrid w:val="0"/>
        </w:rPr>
        <w:t xml:space="preserve">IČO: </w:t>
      </w:r>
      <w:r w:rsidR="00F2514E">
        <w:rPr>
          <w:rFonts w:cs="Arial"/>
          <w:snapToGrid w:val="0"/>
        </w:rPr>
        <w:tab/>
      </w:r>
      <w:r w:rsidR="00F2514E" w:rsidRPr="00F2514E">
        <w:rPr>
          <w:rFonts w:cs="Arial"/>
          <w:snapToGrid w:val="0"/>
        </w:rPr>
        <w:t>60365943</w:t>
      </w:r>
    </w:p>
    <w:p w14:paraId="42CEBF6E" w14:textId="4ACDFC7C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DIČ: </w:t>
      </w:r>
      <w:r>
        <w:rPr>
          <w:rFonts w:cs="Arial"/>
          <w:snapToGrid w:val="0"/>
        </w:rPr>
        <w:tab/>
      </w:r>
      <w:r w:rsidR="009951AA">
        <w:rPr>
          <w:rFonts w:cs="Arial"/>
          <w:snapToGrid w:val="0"/>
        </w:rPr>
        <w:t>xxxxxxxxxx</w:t>
      </w:r>
      <w:r w:rsidRPr="00F2514E">
        <w:rPr>
          <w:rFonts w:cs="Arial"/>
          <w:snapToGrid w:val="0"/>
        </w:rPr>
        <w:t>, je plátcem DPH</w:t>
      </w:r>
    </w:p>
    <w:p w14:paraId="1092BAE7" w14:textId="7A2F024F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Zápis v živnostenském rejstříku: </w:t>
      </w:r>
      <w:r>
        <w:rPr>
          <w:rFonts w:cs="Arial"/>
          <w:snapToGrid w:val="0"/>
        </w:rPr>
        <w:tab/>
      </w:r>
      <w:r w:rsidRPr="00F2514E">
        <w:rPr>
          <w:rFonts w:cs="Arial"/>
          <w:snapToGrid w:val="0"/>
        </w:rPr>
        <w:t>Živnostenský úřad města Brna č.j. 13637/01</w:t>
      </w:r>
    </w:p>
    <w:p w14:paraId="6818DE85" w14:textId="78789399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Bankovní spojení: </w:t>
      </w:r>
      <w:r>
        <w:rPr>
          <w:rFonts w:cs="Arial"/>
          <w:snapToGrid w:val="0"/>
        </w:rPr>
        <w:tab/>
      </w:r>
      <w:r w:rsidRPr="00F2514E">
        <w:rPr>
          <w:rFonts w:cs="Arial"/>
          <w:snapToGrid w:val="0"/>
        </w:rPr>
        <w:t>ČSOB Brno</w:t>
      </w:r>
    </w:p>
    <w:p w14:paraId="1D1D93C6" w14:textId="777F5706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Číslo účtu: </w:t>
      </w:r>
      <w:r>
        <w:rPr>
          <w:rFonts w:cs="Arial"/>
          <w:snapToGrid w:val="0"/>
        </w:rPr>
        <w:tab/>
      </w:r>
      <w:r w:rsidR="009C00A5">
        <w:rPr>
          <w:rFonts w:cs="Arial"/>
          <w:snapToGrid w:val="0"/>
        </w:rPr>
        <w:t>xxxxxxxxxx</w:t>
      </w:r>
    </w:p>
    <w:p w14:paraId="086CE82D" w14:textId="2FE5CB9B" w:rsid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</w:t>
      </w:r>
      <w:r w:rsidR="00F87DB3">
        <w:rPr>
          <w:rFonts w:cs="Arial"/>
          <w:snapToGrid w:val="0"/>
        </w:rPr>
        <w:t xml:space="preserve"> </w:t>
      </w:r>
      <w:r w:rsidRPr="00F2514E">
        <w:rPr>
          <w:rFonts w:cs="Arial"/>
          <w:snapToGrid w:val="0"/>
        </w:rPr>
        <w:t xml:space="preserve">ID DS: </w:t>
      </w:r>
      <w:r>
        <w:rPr>
          <w:rFonts w:cs="Arial"/>
          <w:snapToGrid w:val="0"/>
        </w:rPr>
        <w:tab/>
      </w:r>
      <w:r w:rsidR="009C00A5">
        <w:rPr>
          <w:rFonts w:cs="Arial"/>
          <w:snapToGrid w:val="0"/>
        </w:rPr>
        <w:t>xxxxxxxxxx</w:t>
      </w:r>
    </w:p>
    <w:p w14:paraId="792EB1E0" w14:textId="77777777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</w:p>
    <w:p w14:paraId="1AD84785" w14:textId="77777777" w:rsid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 w:rsidRPr="00F2514E">
        <w:rPr>
          <w:rFonts w:cs="Arial"/>
          <w:snapToGrid w:val="0"/>
        </w:rPr>
        <w:t xml:space="preserve">Společnost je zapsaná: Živnostenský úřad města Brna č.j. 13637/01 </w:t>
      </w:r>
    </w:p>
    <w:p w14:paraId="7DA57DBD" w14:textId="0E602E2E" w:rsidR="00E24120" w:rsidRPr="00E24120" w:rsidRDefault="00E24120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B48C65C" w14:textId="43E0EE17" w:rsidR="00DB24DD" w:rsidRPr="00494944" w:rsidRDefault="00DB24DD" w:rsidP="00DB24DD">
      <w:pPr>
        <w:pStyle w:val="l-L2"/>
        <w:tabs>
          <w:tab w:val="left" w:pos="2268"/>
        </w:tabs>
        <w:ind w:left="357"/>
        <w:rPr>
          <w:rFonts w:cs="Arial"/>
          <w:b/>
          <w:bCs/>
          <w:szCs w:val="22"/>
        </w:rPr>
      </w:pPr>
      <w:r w:rsidRPr="00494944">
        <w:rPr>
          <w:rFonts w:cs="Arial"/>
          <w:szCs w:val="22"/>
        </w:rPr>
        <w:t xml:space="preserve">Název stavby: </w:t>
      </w:r>
      <w:r w:rsidRPr="00494944">
        <w:rPr>
          <w:rFonts w:cs="Arial"/>
          <w:b/>
          <w:bCs/>
          <w:szCs w:val="22"/>
        </w:rPr>
        <w:t>Revitalizace REV1 v k.ú. Hřiště</w:t>
      </w:r>
    </w:p>
    <w:p w14:paraId="51EE75FC" w14:textId="027B3228" w:rsidR="00DB24DD" w:rsidRPr="00494944" w:rsidRDefault="00DB24DD" w:rsidP="00DB24DD">
      <w:pPr>
        <w:pStyle w:val="l-L2"/>
        <w:ind w:left="357"/>
        <w:rPr>
          <w:rFonts w:cs="Arial"/>
          <w:szCs w:val="22"/>
        </w:rPr>
      </w:pPr>
      <w:r w:rsidRPr="00494944">
        <w:rPr>
          <w:rFonts w:cs="Arial"/>
          <w:szCs w:val="22"/>
        </w:rPr>
        <w:t>Místo stavby:</w:t>
      </w:r>
      <w:r>
        <w:rPr>
          <w:rFonts w:cs="Arial"/>
          <w:szCs w:val="22"/>
        </w:rPr>
        <w:t xml:space="preserve"> </w:t>
      </w:r>
      <w:r w:rsidRPr="00494944">
        <w:rPr>
          <w:rFonts w:cs="Arial"/>
          <w:szCs w:val="22"/>
        </w:rPr>
        <w:t>k.ú. Hřiště, obec Přibyslav, okres Havlíčkův Brod</w:t>
      </w:r>
    </w:p>
    <w:p w14:paraId="6460A1F7" w14:textId="6E634DD1" w:rsidR="009B22A4" w:rsidRDefault="00DB24DD" w:rsidP="00DB24DD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Popis stavby:</w:t>
      </w:r>
      <w:r>
        <w:rPr>
          <w:rStyle w:val="l-L2Char"/>
          <w:rFonts w:cs="Arial"/>
          <w:szCs w:val="22"/>
        </w:rPr>
        <w:t xml:space="preserve"> </w:t>
      </w:r>
      <w:r w:rsidRPr="00494944">
        <w:rPr>
          <w:rFonts w:cs="Arial"/>
        </w:rPr>
        <w:t>Předmětem projektu je obnova průtočné nádrže napájené</w:t>
      </w:r>
      <w:r>
        <w:rPr>
          <w:rFonts w:cs="Arial"/>
        </w:rPr>
        <w:t xml:space="preserve"> </w:t>
      </w:r>
      <w:r w:rsidRPr="00494944">
        <w:rPr>
          <w:rFonts w:cs="Arial"/>
        </w:rPr>
        <w:t xml:space="preserve">z bezejmenného toku (IDVT: 10269298), spočívající ve zvětšení, rozšíření a opevnění hráze nádrže a výstavbě objektů spodní výpusti a bezpečnostního přelivu. Dále dojde k vybudování dvou izolovaných vodních tůní na vhodných částech zamokřené louky a jedné průtočné vodní tůně ležící na revitalizovaném korytě bezejmenného toku (IDVT: 10269298). Hlavním důvodem výstavby vodní nádrže je zadržení vody v krajině, obnova života flory a fauny vázaných na vodní prostředí a extenzivní chov ryb. Příspěvek stavby pro okolí je ovšem i krajinotvorný, jako prvek ekologické stability krajiny – vodní plocha s přechodem do mokřadní části. V dané lokalitě vznikne nový biotop umožňující život vodním a s vodou spjatým živočichům. Díky revitalizaci toku a vytvoření nových tůní s členitým dnem na lokalitě vzniknou podmínky pro výskyt dalších druhů živočichů vázaných na vodní a mokřadní biotopy (místo pro rozmnožování, zdroj potravy) a zvýší se druhová pestrost území. Účel vodní nádrže V Klopotech zůstane stávající – průtočná vodní nádrž sloužící primárně akumulaci a vzdouvání vod a extenzivnímu chovu ryb. </w:t>
      </w:r>
      <w:r w:rsidRPr="00494944">
        <w:rPr>
          <w:rFonts w:cs="Arial"/>
          <w:szCs w:val="22"/>
        </w:rPr>
        <w:t xml:space="preserve">                                                        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</w:t>
      </w:r>
      <w:r w:rsidRPr="00F32916">
        <w:lastRenderedPageBreak/>
        <w:t>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50C2021A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="00F87DB3">
        <w:t>vodopráv</w:t>
      </w:r>
      <w:r w:rsidRPr="00F32916">
        <w:t xml:space="preserve">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</w:t>
      </w:r>
      <w:r w:rsidR="00F87DB3">
        <w:t>vodoprávní</w:t>
      </w:r>
      <w:r w:rsidRPr="00F32916">
        <w:t>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5B7D5544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F74D73">
        <w:t>rámci výběrového řízení</w:t>
      </w:r>
      <w:r w:rsidRPr="00397219">
        <w:t xml:space="preserve">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DB24DD" w:rsidRPr="00494944">
        <w:rPr>
          <w:rFonts w:cs="Arial"/>
          <w:b/>
          <w:bCs/>
          <w:szCs w:val="22"/>
        </w:rPr>
        <w:t>Revitalizace REV1 v k.ú. Hřiště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lastRenderedPageBreak/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A57272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007F24BC">
        <w:rPr>
          <w:rFonts w:cs="Arial"/>
        </w:rPr>
        <w:t xml:space="preserve">při </w:t>
      </w:r>
      <w:r w:rsidR="5765A8C5" w:rsidRPr="007F24BC">
        <w:rPr>
          <w:rFonts w:cs="Arial"/>
        </w:rPr>
        <w:t>výběrovém</w:t>
      </w:r>
      <w:r w:rsidR="00653A09" w:rsidRPr="007F24BC">
        <w:rPr>
          <w:rFonts w:cs="Arial"/>
        </w:rPr>
        <w:t xml:space="preserve"> řízení na realizaci</w:t>
      </w:r>
      <w:r w:rsidR="00653A09" w:rsidRPr="5170DEB6">
        <w:rPr>
          <w:rFonts w:cs="Arial"/>
        </w:rPr>
        <w:t xml:space="preserve">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lastRenderedPageBreak/>
        <w:t>Pojištění zhotovitele</w:t>
      </w:r>
    </w:p>
    <w:p w14:paraId="4B611416" w14:textId="68C5F338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95416B">
        <w:rPr>
          <w:b/>
          <w:bCs/>
        </w:rPr>
        <w:t>2</w:t>
      </w:r>
      <w:r w:rsidR="007F24BC">
        <w:rPr>
          <w:b/>
          <w:bCs/>
        </w:rPr>
        <w:t> 000</w:t>
      </w:r>
      <w:r w:rsidR="0095416B">
        <w:rPr>
          <w:b/>
          <w:bCs/>
        </w:rPr>
        <w:t> </w:t>
      </w:r>
      <w:r w:rsidR="007F24BC">
        <w:rPr>
          <w:b/>
          <w:bCs/>
        </w:rPr>
        <w:t>000</w:t>
      </w:r>
      <w:r w:rsidR="0095416B">
        <w:rPr>
          <w:b/>
          <w:bCs/>
        </w:rPr>
        <w:t>,-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26413C81" w14:textId="77777777" w:rsidR="00366191" w:rsidRPr="00D53952" w:rsidRDefault="00366191" w:rsidP="00366191">
      <w:pPr>
        <w:pStyle w:val="l-L1"/>
      </w:pPr>
      <w:r w:rsidRPr="00D53952">
        <w:t>Cena předmětu díla</w:t>
      </w:r>
    </w:p>
    <w:p w14:paraId="220A5A77" w14:textId="35C21E5F" w:rsidR="00366191" w:rsidRPr="000E080C" w:rsidRDefault="00366191" w:rsidP="00366191">
      <w:pPr>
        <w:pStyle w:val="l-L2"/>
        <w:numPr>
          <w:ilvl w:val="0"/>
          <w:numId w:val="16"/>
        </w:numPr>
      </w:pPr>
      <w:r w:rsidRPr="000E080C">
        <w:t xml:space="preserve">Objednatel se zavazuje zaplatit zhotoviteli za řádné provedení díla cenu ve výši </w:t>
      </w:r>
      <w:r w:rsidR="000E080C">
        <w:rPr>
          <w:b/>
          <w:bCs/>
        </w:rPr>
        <w:t>93 896,-</w:t>
      </w:r>
      <w:r w:rsidRPr="000E080C">
        <w:t xml:space="preserve"> Kč včetně DPH (slovy: </w:t>
      </w:r>
      <w:r w:rsidR="000E080C">
        <w:rPr>
          <w:b/>
          <w:bCs/>
        </w:rPr>
        <w:t>devadesáttřitisícosmsetdevadesátšest</w:t>
      </w:r>
      <w:r w:rsidRPr="000E080C">
        <w:t xml:space="preserve"> korun českých.). Výše ceny díla byla stanovena dohodou smluvních stran na základě nabídky zhotovitele ze dne </w:t>
      </w:r>
      <w:r w:rsidR="000E080C">
        <w:rPr>
          <w:b/>
          <w:bCs/>
        </w:rPr>
        <w:t>23. 9. 2025</w:t>
      </w:r>
      <w:r w:rsidRPr="000E080C">
        <w:t>. Tato cena je konečná. V ceně jsou zahrnuty veškeré náklady poskytovatele související s komplexním zajištěním celého předmětu smlouvy.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366191" w:rsidRPr="000E080C" w14:paraId="3803AA9F" w14:textId="77777777" w:rsidTr="00F63798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3D4BF2" w14:textId="77777777" w:rsidR="00366191" w:rsidRPr="000E080C" w:rsidRDefault="00366191" w:rsidP="00F63798">
            <w:pPr>
              <w:spacing w:before="0" w:after="0"/>
            </w:pPr>
            <w:bookmarkStart w:id="2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9725AF" w14:textId="77777777" w:rsidR="00366191" w:rsidRPr="000E080C" w:rsidRDefault="00366191" w:rsidP="00F63798">
            <w:pPr>
              <w:spacing w:before="0" w:after="0"/>
            </w:pPr>
            <w:r w:rsidRPr="000E080C"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8D68D8" w14:textId="77777777" w:rsidR="00366191" w:rsidRPr="000E080C" w:rsidRDefault="00366191" w:rsidP="00F63798">
            <w:pPr>
              <w:spacing w:before="0" w:after="0"/>
            </w:pPr>
            <w:r w:rsidRPr="000E080C"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CFBEEC5" w14:textId="77777777" w:rsidR="00366191" w:rsidRPr="000E080C" w:rsidRDefault="00366191" w:rsidP="00F63798">
            <w:pPr>
              <w:spacing w:before="0" w:after="0"/>
            </w:pPr>
            <w:r w:rsidRPr="000E080C">
              <w:t>Cena vč. DPH (Kč)</w:t>
            </w:r>
          </w:p>
        </w:tc>
      </w:tr>
      <w:tr w:rsidR="00366191" w:rsidRPr="000E080C" w14:paraId="5EC95E5C" w14:textId="77777777" w:rsidTr="00F6379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24B" w14:textId="68927A74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Práce na stavbě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B3F5" w14:textId="4FD769B5" w:rsidR="00366191" w:rsidRPr="000E080C" w:rsidRDefault="000E080C" w:rsidP="00F63798">
            <w:pPr>
              <w:spacing w:before="0" w:after="0"/>
            </w:pPr>
            <w:r w:rsidRPr="000E080C">
              <w:t>69 600,00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C300" w14:textId="53F66521" w:rsidR="00366191" w:rsidRPr="000E080C" w:rsidRDefault="000E080C" w:rsidP="00F63798">
            <w:pPr>
              <w:spacing w:before="0" w:after="0"/>
            </w:pPr>
            <w:r w:rsidRPr="000E080C">
              <w:t>14 616,00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97C0B9" w14:textId="214D7D96" w:rsidR="00366191" w:rsidRPr="000E080C" w:rsidRDefault="000E080C" w:rsidP="00F63798">
            <w:pPr>
              <w:spacing w:before="0" w:after="0"/>
            </w:pPr>
            <w:r w:rsidRPr="000E080C">
              <w:t>84 216,00</w:t>
            </w:r>
          </w:p>
        </w:tc>
      </w:tr>
      <w:tr w:rsidR="00366191" w:rsidRPr="000E080C" w14:paraId="29341E23" w14:textId="77777777" w:rsidTr="00F6379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D180" w14:textId="6852849F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Administrativní činnost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12CA" w14:textId="0761D9C2" w:rsidR="00366191" w:rsidRPr="000E080C" w:rsidRDefault="000E080C" w:rsidP="00F63798">
            <w:pPr>
              <w:spacing w:before="0" w:after="0"/>
            </w:pPr>
            <w:r w:rsidRPr="000E080C">
              <w:t>8 000,00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8973" w14:textId="779069E4" w:rsidR="00366191" w:rsidRPr="000E080C" w:rsidRDefault="000E080C" w:rsidP="00F63798">
            <w:pPr>
              <w:spacing w:before="0" w:after="0"/>
            </w:pPr>
            <w:r w:rsidRPr="000E080C">
              <w:t>1 680,00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79F836" w14:textId="1299A538" w:rsidR="00366191" w:rsidRPr="000E080C" w:rsidRDefault="000E080C" w:rsidP="00F63798">
            <w:pPr>
              <w:spacing w:before="0" w:after="0"/>
            </w:pPr>
            <w:r w:rsidRPr="000E080C">
              <w:t>9 680,00</w:t>
            </w:r>
          </w:p>
        </w:tc>
      </w:tr>
      <w:tr w:rsidR="00366191" w:rsidRPr="000E080C" w14:paraId="70E19BDD" w14:textId="77777777" w:rsidTr="00F6379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F74FB8E" w14:textId="77777777" w:rsidR="00366191" w:rsidRPr="000E080C" w:rsidRDefault="00366191" w:rsidP="00F63798">
            <w:pPr>
              <w:spacing w:before="0" w:after="0"/>
            </w:pPr>
            <w:r w:rsidRPr="000E080C"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E3646E" w14:textId="20282B0E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77 600,00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F90B4BE" w14:textId="2897A936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16 296,00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3D729C43" w14:textId="7E6B2337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93 896,00</w:t>
            </w:r>
          </w:p>
        </w:tc>
      </w:tr>
    </w:tbl>
    <w:p w14:paraId="1A257236" w14:textId="77777777" w:rsidR="00366191" w:rsidRPr="000E080C" w:rsidRDefault="00366191" w:rsidP="00366191">
      <w:pPr>
        <w:pStyle w:val="Default"/>
        <w:ind w:left="357"/>
        <w:rPr>
          <w:sz w:val="22"/>
          <w:szCs w:val="22"/>
        </w:rPr>
      </w:pPr>
      <w:bookmarkStart w:id="3" w:name="_Hlk36122845"/>
      <w:bookmarkStart w:id="4" w:name="_Hlk36122353"/>
      <w:bookmarkEnd w:id="2"/>
      <w:r w:rsidRPr="000E080C">
        <w:rPr>
          <w:sz w:val="22"/>
          <w:szCs w:val="22"/>
        </w:rPr>
        <w:t>(Cena bude uváděna na haléře, tj. na 2 desetinná místa)</w:t>
      </w:r>
      <w:bookmarkEnd w:id="3"/>
      <w:bookmarkEnd w:id="4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203475FE" w14:textId="77777777" w:rsidR="00757BBE" w:rsidRPr="006B7667" w:rsidRDefault="00FF0932" w:rsidP="5170DEB6">
      <w:pPr>
        <w:pStyle w:val="l-L2"/>
        <w:ind w:left="357"/>
      </w:pPr>
      <w:r>
        <w:t xml:space="preserve">Konečný příjemce: </w:t>
      </w:r>
      <w:r w:rsidR="00757BBE" w:rsidRPr="001104E4">
        <w:t xml:space="preserve">Státní pozemkový úřad, KPÚ pro Kraj Vysočina, Pobočka </w:t>
      </w:r>
      <w:r w:rsidR="00757BBE" w:rsidRPr="006B7667">
        <w:t xml:space="preserve">Havlíčkův Brod, adresu, </w:t>
      </w:r>
      <w:r w:rsidR="00757BBE" w:rsidRPr="006B7667">
        <w:rPr>
          <w:rStyle w:val="slostrnky"/>
        </w:rPr>
        <w:t>Smetanovo náměstí 279, 580 01 Havlíčkův Brod</w:t>
      </w:r>
      <w:r w:rsidRPr="006B7667">
        <w:t>.</w:t>
      </w:r>
    </w:p>
    <w:p w14:paraId="4058E53E" w14:textId="179F6186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lastRenderedPageBreak/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C4E2E11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</w:t>
      </w:r>
      <w:r w:rsidRPr="00D12D68">
        <w:lastRenderedPageBreak/>
        <w:t xml:space="preserve">množství požadovanému v období před započetím poskytování plnění, a dále v případě, pokud nedojde k realizaci stavby do </w:t>
      </w:r>
      <w:r w:rsidR="00757BBE">
        <w:rPr>
          <w:b/>
          <w:bCs/>
        </w:rPr>
        <w:t>31.</w:t>
      </w:r>
      <w:r w:rsidR="00DB24DD">
        <w:rPr>
          <w:b/>
          <w:bCs/>
        </w:rPr>
        <w:t>5</w:t>
      </w:r>
      <w:r w:rsidR="00757BBE">
        <w:rPr>
          <w:b/>
          <w:bCs/>
        </w:rPr>
        <w:t>.202</w:t>
      </w:r>
      <w:r w:rsidR="00DB24DD">
        <w:rPr>
          <w:b/>
          <w:bCs/>
        </w:rPr>
        <w:t>6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09A644A9" w14:textId="77777777" w:rsidR="00366191" w:rsidRPr="00846A3B" w:rsidRDefault="00366191" w:rsidP="00366191">
      <w:pPr>
        <w:pStyle w:val="l-L2"/>
        <w:numPr>
          <w:ilvl w:val="0"/>
          <w:numId w:val="3"/>
        </w:numPr>
      </w:pPr>
      <w:r w:rsidRPr="00846A3B">
        <w:t>Smluvní strany jsou si plně vědomy zákonné povinnosti uveřejnit dle zákona č. 340/2015 Sb., o zvláštních podmínkách účinnosti některých smluv, uveřejňování těchto smluv a o registru smluv (zákon o registru smluv)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4AA4BB9F" w14:textId="77777777" w:rsidR="00366191" w:rsidRPr="00846A3B" w:rsidRDefault="00366191" w:rsidP="00366191">
      <w:pPr>
        <w:pStyle w:val="l-L2"/>
        <w:numPr>
          <w:ilvl w:val="0"/>
          <w:numId w:val="3"/>
        </w:numPr>
      </w:pPr>
      <w:r w:rsidRPr="00846A3B">
        <w:t>Zhotovitel dále výslovně prohlašuje a bere na vědomí, že tato smlouva nepředstavuje jeho obchodní tajemství ani neobsahuje jeho důvěrné informace a souhlasí s tím, aby tato smlouva, včetně veškerých změn a dodatků, byla v plném rozsahu uveřejněna v registru smluv.</w:t>
      </w:r>
    </w:p>
    <w:p w14:paraId="4367499F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>
        <w:t>s</w:t>
      </w:r>
      <w:r w:rsidRPr="00BC3C0B">
        <w:t>mlouvy bere na vědomí, že realizace díla, lhůty pro zahájení a</w:t>
      </w:r>
      <w:r>
        <w:t> </w:t>
      </w:r>
      <w:r w:rsidRPr="00BC3C0B">
        <w:t>dokončení díla, jsou závislé na výši finančních prostředků přidělených objednateli ze</w:t>
      </w:r>
      <w:r>
        <w:t> </w:t>
      </w:r>
      <w:r w:rsidRPr="00BC3C0B">
        <w:t>státního rozpočtu na investice pro příslušný kalendářní rok; tímto však není dotčeno ustanovení §</w:t>
      </w:r>
      <w:r>
        <w:t> </w:t>
      </w:r>
      <w:r w:rsidRPr="00BC3C0B">
        <w:t>222 odst.</w:t>
      </w:r>
      <w:r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6C802137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>
        <w:t> </w:t>
      </w:r>
      <w:r w:rsidRPr="00BC3C0B">
        <w:t>zhotovením díla). Povinnost mlčenlivosti se vztahuje i zaměstnance zhotovitele a</w:t>
      </w:r>
      <w:r>
        <w:t> </w:t>
      </w:r>
      <w:r w:rsidRPr="00BC3C0B">
        <w:t>na</w:t>
      </w:r>
      <w:r>
        <w:t> </w:t>
      </w:r>
      <w:r w:rsidRPr="00BC3C0B">
        <w:t>všechny další osoby, které zhotovitel k plnění předmětu smlouvy zmocnil.</w:t>
      </w:r>
    </w:p>
    <w:p w14:paraId="0A872DA0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lastRenderedPageBreak/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EEE034D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>
        <w:t> </w:t>
      </w:r>
      <w:r w:rsidRPr="00BC3C0B">
        <w:t>110/2019 Sb.</w:t>
      </w:r>
      <w:r>
        <w:t>,</w:t>
      </w:r>
      <w:r w:rsidRPr="00BC3C0B">
        <w:t xml:space="preserve"> o zpracování osobních údajů</w:t>
      </w:r>
      <w:r>
        <w:t>, ve znění pozdějších předpisů,</w:t>
      </w:r>
      <w:r w:rsidRPr="00BC3C0B">
        <w:t xml:space="preserve"> a nařízením Evropského parlamentu a Rady EU</w:t>
      </w:r>
      <w:r>
        <w:t> </w:t>
      </w:r>
      <w:r w:rsidRPr="00BC3C0B">
        <w:t xml:space="preserve">2016/679 („GDPR“). </w:t>
      </w:r>
      <w:r>
        <w:t>Objednatel</w:t>
      </w:r>
      <w:r w:rsidRPr="00BC3C0B">
        <w:t xml:space="preserve"> jako správce osobních údajů dle zákona č.</w:t>
      </w:r>
      <w:r>
        <w:t> </w:t>
      </w:r>
      <w:r w:rsidRPr="00BC3C0B">
        <w:t>110/2019 Sb. a</w:t>
      </w:r>
      <w:r>
        <w:t> </w:t>
      </w:r>
      <w:r w:rsidRPr="00BC3C0B">
        <w:t>GDPR, tímto</w:t>
      </w:r>
      <w:r>
        <w:t> </w:t>
      </w:r>
      <w:r w:rsidRPr="00BC3C0B">
        <w:t>informuje ve smlouvě uvedený subjekt, že údaje uvedené v</w:t>
      </w:r>
      <w:r>
        <w:t> </w:t>
      </w:r>
      <w:r w:rsidRPr="00BC3C0B">
        <w:t>této</w:t>
      </w:r>
      <w:r>
        <w:t> </w:t>
      </w:r>
      <w:r w:rsidRPr="00BC3C0B">
        <w:t>smlouvě zpracovává pro účely realizace, výkonu práv a povinností dle této smlouvy. Postupy a</w:t>
      </w:r>
      <w:r>
        <w:t> </w:t>
      </w:r>
      <w:r w:rsidRPr="00BC3C0B">
        <w:t xml:space="preserve">opatření se </w:t>
      </w:r>
      <w:r>
        <w:t>Objednatel</w:t>
      </w:r>
      <w:r w:rsidRPr="00BC3C0B">
        <w:t xml:space="preserve"> zavazuje dodržovat po celou dobu trvání skartační lhůty ve smyslu §</w:t>
      </w:r>
      <w:r>
        <w:t> </w:t>
      </w:r>
      <w:r w:rsidRPr="00BC3C0B">
        <w:t>2 písm</w:t>
      </w:r>
      <w:r>
        <w:t>. </w:t>
      </w:r>
      <w:r w:rsidRPr="00BC3C0B">
        <w:t>s) zákona č.</w:t>
      </w:r>
      <w:r>
        <w:t> </w:t>
      </w:r>
      <w:r w:rsidRPr="00BC3C0B">
        <w:t>499/2004 Sb., o</w:t>
      </w:r>
      <w:r>
        <w:t> </w:t>
      </w:r>
      <w:r w:rsidRPr="00BC3C0B">
        <w:t>archivnictví a spisové službě a</w:t>
      </w:r>
      <w:r>
        <w:t> </w:t>
      </w:r>
      <w:r w:rsidRPr="00BC3C0B">
        <w:t>o</w:t>
      </w:r>
      <w:r>
        <w:t> </w:t>
      </w:r>
      <w:r w:rsidRPr="00BC3C0B">
        <w:t>změně některých zákonů, ve znění pozdějších předpisů.</w:t>
      </w:r>
    </w:p>
    <w:p w14:paraId="0C019950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4633AC0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5DD1A36D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>
        <w:t> </w:t>
      </w:r>
      <w:r w:rsidRPr="00BC3C0B">
        <w:t>ZZVZ.</w:t>
      </w:r>
    </w:p>
    <w:p w14:paraId="4E7777F8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>
        <w:t xml:space="preserve"> </w:t>
      </w:r>
      <w:r w:rsidRPr="00846A3B">
        <w:t>a účinnosti dnem jejího uveřejnění v registru smluv dle ust. § 6 odst. 1 zákona o registru smluv.</w:t>
      </w:r>
    </w:p>
    <w:p w14:paraId="58424A19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221753B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>
        <w:t> </w:t>
      </w:r>
      <w:r w:rsidRPr="00BC3C0B">
        <w:t>práv a povinností nevylučuje, na právní nástupce smluvních stan.</w:t>
      </w:r>
    </w:p>
    <w:p w14:paraId="589B0B3C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4F0ADC7B" w14:textId="77777777" w:rsidR="00366191" w:rsidRDefault="00366191" w:rsidP="00366191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58301A04" w14:textId="77777777" w:rsidR="007F24BC" w:rsidRDefault="007F24BC" w:rsidP="007F24BC">
      <w:pPr>
        <w:pStyle w:val="Odstavecseseznamem"/>
        <w:ind w:left="360"/>
        <w:jc w:val="both"/>
        <w:rPr>
          <w:rFonts w:cs="Arial"/>
          <w:i/>
          <w:szCs w:val="22"/>
        </w:rPr>
      </w:pPr>
    </w:p>
    <w:p w14:paraId="24415112" w14:textId="4862EFA2" w:rsidR="007F24BC" w:rsidRPr="007F24BC" w:rsidRDefault="007F24BC" w:rsidP="007F24BC">
      <w:pPr>
        <w:pStyle w:val="Odstavecseseznamem"/>
        <w:ind w:left="360"/>
        <w:jc w:val="both"/>
        <w:rPr>
          <w:rFonts w:cs="Arial"/>
          <w:i/>
          <w:szCs w:val="22"/>
        </w:rPr>
      </w:pPr>
      <w:r w:rsidRPr="007F24BC">
        <w:rPr>
          <w:rFonts w:cs="Arial"/>
          <w:i/>
          <w:szCs w:val="22"/>
        </w:rPr>
        <w:t xml:space="preserve">Příloha č.1 – Plná moc </w:t>
      </w:r>
    </w:p>
    <w:p w14:paraId="2D52E8DF" w14:textId="77777777" w:rsidR="007C577B" w:rsidRDefault="007C577B" w:rsidP="007C577B">
      <w:pPr>
        <w:pStyle w:val="l-L2"/>
      </w:pPr>
    </w:p>
    <w:p w14:paraId="435F4819" w14:textId="77777777" w:rsidR="00F87DB3" w:rsidRDefault="00F87DB3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A17A44D" w14:textId="1696CB04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="00654BF5" w:rsidRPr="00654BF5">
        <w:rPr>
          <w:rFonts w:cs="Arial"/>
          <w:szCs w:val="24"/>
        </w:rPr>
        <w:t>V</w:t>
      </w:r>
      <w:r w:rsidR="007F24BC">
        <w:rPr>
          <w:rFonts w:cs="Arial"/>
          <w:szCs w:val="24"/>
        </w:rPr>
        <w:t xml:space="preserve"> Havlíčkově Brodě </w:t>
      </w:r>
      <w:r w:rsidR="009951AA">
        <w:rPr>
          <w:rFonts w:cs="Arial"/>
          <w:szCs w:val="24"/>
        </w:rPr>
        <w:t>26.11.2025</w:t>
      </w:r>
      <w:r w:rsidR="00654BF5" w:rsidRPr="00654BF5">
        <w:rPr>
          <w:rFonts w:cs="Arial"/>
          <w:szCs w:val="24"/>
        </w:rPr>
        <w:tab/>
        <w:t>V</w:t>
      </w:r>
      <w:r w:rsidR="007F24BC">
        <w:rPr>
          <w:rFonts w:cs="Arial"/>
          <w:szCs w:val="24"/>
        </w:rPr>
        <w:t> </w:t>
      </w:r>
      <w:r w:rsidR="00846A3B">
        <w:rPr>
          <w:rFonts w:cs="Arial"/>
          <w:szCs w:val="24"/>
        </w:rPr>
        <w:t>Brně</w:t>
      </w:r>
      <w:r w:rsidR="007F24BC">
        <w:rPr>
          <w:rFonts w:cs="Arial"/>
          <w:szCs w:val="24"/>
        </w:rPr>
        <w:t xml:space="preserve"> dle </w:t>
      </w:r>
      <w:r w:rsidR="009951AA">
        <w:rPr>
          <w:rFonts w:cs="Arial"/>
          <w:szCs w:val="24"/>
        </w:rPr>
        <w:t>25.11.2025</w:t>
      </w:r>
    </w:p>
    <w:p w14:paraId="61DB52A6" w14:textId="77777777" w:rsidR="009951AA" w:rsidRPr="00654BF5" w:rsidRDefault="009951A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FD78DC3" w14:textId="77777777" w:rsidR="005C01DF" w:rsidRDefault="005C01DF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     </w:t>
      </w:r>
    </w:p>
    <w:p w14:paraId="21F7E16F" w14:textId="77777777" w:rsidR="009951AA" w:rsidRPr="005C01DF" w:rsidRDefault="005C01DF" w:rsidP="009951AA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       </w:t>
      </w:r>
      <w:r w:rsidRPr="005C01DF">
        <w:rPr>
          <w:rFonts w:cs="Arial"/>
          <w:i/>
          <w:iCs/>
          <w:szCs w:val="24"/>
        </w:rPr>
        <w:t>„elektronicky podepsáno“</w:t>
      </w:r>
      <w:r w:rsidR="009951AA">
        <w:rPr>
          <w:rFonts w:cs="Arial"/>
          <w:i/>
          <w:iCs/>
          <w:szCs w:val="24"/>
        </w:rPr>
        <w:tab/>
      </w:r>
      <w:r w:rsidR="009951AA" w:rsidRPr="005C01DF">
        <w:rPr>
          <w:rFonts w:cs="Arial"/>
          <w:i/>
          <w:iCs/>
          <w:szCs w:val="24"/>
        </w:rPr>
        <w:t>„elektronicky podepsáno“</w:t>
      </w:r>
    </w:p>
    <w:p w14:paraId="0807000F" w14:textId="3D9028D5" w:rsidR="00654BF5" w:rsidRPr="005C01DF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249A1541" w14:textId="4E12F44A" w:rsidR="007F24BC" w:rsidRDefault="00654BF5" w:rsidP="00366191">
      <w:pPr>
        <w:pStyle w:val="Default"/>
        <w:rPr>
          <w:b/>
          <w:bCs/>
          <w:sz w:val="22"/>
          <w:szCs w:val="22"/>
        </w:rPr>
      </w:pPr>
      <w:r w:rsidRPr="00654BF5">
        <w:tab/>
      </w:r>
      <w:r w:rsidR="007F24BC" w:rsidRPr="00086CCB">
        <w:rPr>
          <w:b/>
          <w:bCs/>
          <w:sz w:val="22"/>
          <w:szCs w:val="22"/>
        </w:rPr>
        <w:t xml:space="preserve">Ing. Jana Ďásková </w:t>
      </w:r>
      <w:r w:rsidR="007F24BC">
        <w:rPr>
          <w:b/>
          <w:bCs/>
          <w:sz w:val="22"/>
          <w:szCs w:val="22"/>
        </w:rPr>
        <w:t xml:space="preserve">                                           </w:t>
      </w:r>
    </w:p>
    <w:p w14:paraId="462E1F80" w14:textId="358CBD03" w:rsidR="007F24BC" w:rsidRPr="00846A3B" w:rsidRDefault="007F24BC" w:rsidP="0036619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086CCB">
        <w:rPr>
          <w:sz w:val="22"/>
          <w:szCs w:val="22"/>
        </w:rPr>
        <w:t xml:space="preserve">vedoucí Pobočky Havlíčkův Brod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846A3B" w:rsidRPr="00846A3B">
        <w:rPr>
          <w:b/>
          <w:bCs/>
          <w:sz w:val="22"/>
          <w:szCs w:val="22"/>
        </w:rPr>
        <w:t>Ing. Luděk Halaš</w:t>
      </w:r>
    </w:p>
    <w:p w14:paraId="727B56E0" w14:textId="127CE68A" w:rsidR="007F24BC" w:rsidRPr="00366191" w:rsidRDefault="00366191" w:rsidP="00366191">
      <w:pPr>
        <w:pStyle w:val="Zkladntext"/>
        <w:spacing w:line="240" w:lineRule="auto"/>
        <w:rPr>
          <w:rFonts w:cs="Arial"/>
          <w:b w:val="0"/>
          <w:bCs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     </w:t>
      </w:r>
      <w:r w:rsidRPr="00366191">
        <w:rPr>
          <w:rFonts w:eastAsiaTheme="minorHAnsi" w:cs="Arial"/>
          <w:b w:val="0"/>
          <w:bCs/>
          <w:color w:val="000000"/>
          <w:sz w:val="22"/>
          <w:szCs w:val="22"/>
          <w:lang w:eastAsia="en-US"/>
        </w:rPr>
        <w:t>Státního pozemkového úřadu</w:t>
      </w:r>
    </w:p>
    <w:p w14:paraId="054DD68E" w14:textId="2AAD08AC" w:rsidR="003B7D9D" w:rsidRDefault="007F24BC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  <w:r w:rsidRPr="00E264F7">
        <w:rPr>
          <w:rFonts w:cs="Arial"/>
          <w:sz w:val="22"/>
          <w:szCs w:val="22"/>
        </w:rPr>
        <w:t xml:space="preserve">        </w:t>
      </w:r>
      <w:r w:rsidRPr="00E264F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Pr="00E264F7">
        <w:rPr>
          <w:rFonts w:cs="Arial"/>
          <w:b w:val="0"/>
          <w:sz w:val="22"/>
          <w:szCs w:val="22"/>
        </w:rPr>
        <w:t>(objednatel)</w:t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  <w:t xml:space="preserve"> (zhotovitel)</w:t>
      </w:r>
    </w:p>
    <w:p w14:paraId="7E78857A" w14:textId="77777777" w:rsidR="005C01DF" w:rsidRDefault="005C01DF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98FB791" w14:textId="77777777" w:rsidR="005C01DF" w:rsidRDefault="005C01DF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4BABA2DE" w14:textId="118FC0BE" w:rsidR="005C01DF" w:rsidRDefault="005C01DF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Za správnost: Dita Procházková</w:t>
      </w:r>
    </w:p>
    <w:p w14:paraId="28C9759E" w14:textId="01513C15" w:rsidR="005C01DF" w:rsidRDefault="005C01DF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       </w:t>
      </w:r>
      <w:r w:rsidRPr="005C01DF">
        <w:rPr>
          <w:rFonts w:cs="Arial"/>
          <w:i/>
          <w:iCs/>
          <w:szCs w:val="24"/>
        </w:rPr>
        <w:t>„elektronicky podepsáno“</w:t>
      </w:r>
    </w:p>
    <w:p w14:paraId="60289BC0" w14:textId="77777777" w:rsidR="00CC02F8" w:rsidRDefault="00CC02F8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D24400B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1287F9E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4B143C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72FC63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F02DDF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C4B8A5D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D29CA5A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38D6441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002D2F6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E5C104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5447DCD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768DB2B4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66C79FF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C20E1B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EEF97AB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FFFDDF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B5B112A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397CE9B3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E1DA47D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7305731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CD86D86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5B02618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9199C8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98DA6E5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72DA8453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3770C3A2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3E293B61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87ADCBF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4D39326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17078D5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E9D2020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61299C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1EC79C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ECCEE6E" w14:textId="1FA131A3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lastRenderedPageBreak/>
        <w:t>Příloha č.1</w:t>
      </w:r>
    </w:p>
    <w:p w14:paraId="67513FB8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69478B3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b/>
          <w:sz w:val="24"/>
          <w:szCs w:val="24"/>
        </w:rPr>
      </w:pPr>
      <w:r w:rsidRPr="00CC02F8">
        <w:rPr>
          <w:rFonts w:cs="Arial"/>
          <w:b/>
          <w:sz w:val="24"/>
          <w:szCs w:val="24"/>
        </w:rPr>
        <w:t>STÁTNÍ POZEMKOVÝ ÚŘAD</w:t>
      </w:r>
    </w:p>
    <w:p w14:paraId="68E75F77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Sídlo: Husinecká 1024/11a, 130 00 Praha 3 – Žižkov, IČO: 01312774, DIČ: CZ01312774</w:t>
      </w:r>
    </w:p>
    <w:p w14:paraId="0F463C6A" w14:textId="77777777" w:rsidR="00CC02F8" w:rsidRPr="00CC02F8" w:rsidRDefault="00CC02F8" w:rsidP="00CC02F8">
      <w:pPr>
        <w:pBdr>
          <w:bottom w:val="single" w:sz="6" w:space="1" w:color="auto"/>
        </w:pBdr>
        <w:spacing w:before="0" w:after="0" w:line="240" w:lineRule="auto"/>
        <w:contextualSpacing w:val="0"/>
        <w:rPr>
          <w:rFonts w:cs="Arial"/>
          <w:sz w:val="24"/>
          <w:szCs w:val="24"/>
        </w:rPr>
      </w:pPr>
    </w:p>
    <w:p w14:paraId="14885C5E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b/>
          <w:sz w:val="24"/>
          <w:szCs w:val="24"/>
        </w:rPr>
      </w:pPr>
    </w:p>
    <w:p w14:paraId="4E4C3BEB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b/>
          <w:sz w:val="24"/>
          <w:szCs w:val="24"/>
        </w:rPr>
      </w:pPr>
    </w:p>
    <w:p w14:paraId="5DA381EF" w14:textId="77777777" w:rsidR="00CC02F8" w:rsidRPr="00CC02F8" w:rsidRDefault="00CC02F8" w:rsidP="00CC02F8">
      <w:pPr>
        <w:spacing w:before="0" w:after="0" w:line="240" w:lineRule="auto"/>
        <w:contextualSpacing w:val="0"/>
        <w:jc w:val="center"/>
        <w:rPr>
          <w:rFonts w:cs="Arial"/>
          <w:b/>
          <w:sz w:val="24"/>
          <w:szCs w:val="24"/>
        </w:rPr>
      </w:pPr>
      <w:r w:rsidRPr="00CC02F8">
        <w:rPr>
          <w:rFonts w:cs="Arial"/>
          <w:b/>
          <w:sz w:val="24"/>
          <w:szCs w:val="24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C02F8" w:rsidRPr="00CC02F8" w14:paraId="2F7998C2" w14:textId="77777777" w:rsidTr="005448CB">
        <w:trPr>
          <w:trHeight w:val="247"/>
        </w:trPr>
        <w:tc>
          <w:tcPr>
            <w:tcW w:w="9606" w:type="dxa"/>
          </w:tcPr>
          <w:p w14:paraId="64BC8650" w14:textId="77777777" w:rsidR="00CC02F8" w:rsidRPr="00CC02F8" w:rsidRDefault="00CC02F8" w:rsidP="00CC02F8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6E62151" w14:textId="77777777" w:rsidR="00CC02F8" w:rsidRPr="00CC02F8" w:rsidRDefault="00CC02F8" w:rsidP="00CC02F8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eastAsiaTheme="minorHAnsi" w:cs="Arial"/>
          <w:color w:val="000000"/>
          <w:sz w:val="24"/>
          <w:szCs w:val="24"/>
          <w:lang w:eastAsia="en-US"/>
        </w:rPr>
      </w:pPr>
      <w:r w:rsidRPr="00CC02F8">
        <w:rPr>
          <w:rFonts w:eastAsiaTheme="minorHAnsi" w:cs="Arial"/>
          <w:b/>
          <w:color w:val="000000"/>
          <w:sz w:val="24"/>
          <w:szCs w:val="24"/>
          <w:lang w:eastAsia="en-US"/>
        </w:rPr>
        <w:t>Česká republika - Státní pozemkový úřad, 130 00 Praha 3,</w:t>
      </w:r>
      <w:r w:rsidRPr="00CC02F8">
        <w:rPr>
          <w:rFonts w:eastAsiaTheme="minorHAnsi" w:cs="Arial"/>
          <w:color w:val="000000"/>
          <w:sz w:val="24"/>
          <w:szCs w:val="24"/>
          <w:lang w:eastAsia="en-US"/>
        </w:rPr>
        <w:t xml:space="preserve"> </w:t>
      </w:r>
      <w:r w:rsidRPr="00CC02F8">
        <w:rPr>
          <w:rFonts w:eastAsiaTheme="minorHAnsi" w:cs="Arial"/>
          <w:b/>
          <w:color w:val="000000"/>
          <w:sz w:val="24"/>
          <w:szCs w:val="24"/>
          <w:lang w:eastAsia="en-US"/>
        </w:rPr>
        <w:t xml:space="preserve">Husinecká 1024/11a </w:t>
      </w:r>
    </w:p>
    <w:p w14:paraId="25990E46" w14:textId="77777777" w:rsidR="00CC02F8" w:rsidRPr="00CC02F8" w:rsidRDefault="00CC02F8" w:rsidP="00CC02F8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eastAsiaTheme="minorHAnsi" w:cs="Arial"/>
          <w:color w:val="000000"/>
          <w:sz w:val="24"/>
          <w:szCs w:val="24"/>
          <w:lang w:eastAsia="en-US"/>
        </w:rPr>
      </w:pPr>
      <w:r w:rsidRPr="00CC02F8">
        <w:rPr>
          <w:rFonts w:eastAsiaTheme="minorHAnsi" w:cs="Arial"/>
          <w:color w:val="000000"/>
          <w:sz w:val="24"/>
          <w:szCs w:val="24"/>
          <w:lang w:eastAsia="en-US"/>
        </w:rPr>
        <w:t xml:space="preserve">Krajský pozemkový úřad pro </w:t>
      </w:r>
      <w:r w:rsidRPr="00CC02F8">
        <w:rPr>
          <w:rFonts w:eastAsiaTheme="minorHAnsi" w:cs="Arial"/>
          <w:b/>
          <w:color w:val="000000"/>
          <w:sz w:val="24"/>
          <w:szCs w:val="24"/>
          <w:lang w:val="en-US" w:eastAsia="en-US"/>
        </w:rPr>
        <w:t>Kraj Vysočina,</w:t>
      </w:r>
      <w:r w:rsidRPr="00CC02F8">
        <w:rPr>
          <w:rFonts w:eastAsiaTheme="minorHAnsi" w:cs="Arial"/>
          <w:color w:val="000000"/>
          <w:sz w:val="24"/>
          <w:szCs w:val="24"/>
          <w:lang w:eastAsia="en-US"/>
        </w:rPr>
        <w:t xml:space="preserve"> Pobočka Havlíčkův Brod, </w:t>
      </w:r>
    </w:p>
    <w:p w14:paraId="7BC551D7" w14:textId="77777777" w:rsidR="00CC02F8" w:rsidRPr="00CC02F8" w:rsidRDefault="00CC02F8" w:rsidP="00CC02F8">
      <w:pPr>
        <w:spacing w:before="0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IČO: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  <w:t>01312774</w:t>
      </w:r>
      <w:r w:rsidRPr="00CC02F8">
        <w:rPr>
          <w:rFonts w:cs="Arial"/>
          <w:sz w:val="24"/>
          <w:szCs w:val="24"/>
        </w:rPr>
        <w:tab/>
        <w:t xml:space="preserve"> </w:t>
      </w:r>
    </w:p>
    <w:p w14:paraId="5BE1B112" w14:textId="77777777" w:rsidR="00CC02F8" w:rsidRPr="00CC02F8" w:rsidRDefault="00CC02F8" w:rsidP="00CC02F8">
      <w:pPr>
        <w:spacing w:before="0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 xml:space="preserve">DIČ: 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  <w:t>CZ01312774</w:t>
      </w:r>
    </w:p>
    <w:p w14:paraId="7C52E510" w14:textId="77777777" w:rsidR="00CC02F8" w:rsidRPr="00CC02F8" w:rsidRDefault="00CC02F8" w:rsidP="00CC02F8">
      <w:pPr>
        <w:spacing w:before="0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Adresa: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bCs/>
          <w:sz w:val="24"/>
          <w:szCs w:val="24"/>
        </w:rPr>
        <w:t>Smetanovo náměstí 279, 580 01 Havlíčkův Brod</w:t>
      </w:r>
      <w:r w:rsidRPr="00CC02F8">
        <w:rPr>
          <w:rFonts w:cs="Arial"/>
          <w:sz w:val="24"/>
          <w:szCs w:val="24"/>
        </w:rPr>
        <w:t xml:space="preserve"> </w:t>
      </w:r>
    </w:p>
    <w:p w14:paraId="132A9BBD" w14:textId="77777777" w:rsidR="00CC02F8" w:rsidRPr="00CC02F8" w:rsidRDefault="00CC02F8" w:rsidP="00CC02F8">
      <w:pPr>
        <w:spacing w:before="0" w:after="0" w:line="240" w:lineRule="auto"/>
        <w:ind w:right="566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Zastoupený: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  <w:t>Ing. Janou Ďáskovou</w:t>
      </w:r>
    </w:p>
    <w:p w14:paraId="64A55E20" w14:textId="77777777" w:rsidR="00CC02F8" w:rsidRPr="00CC02F8" w:rsidRDefault="00CC02F8" w:rsidP="00CC02F8">
      <w:pPr>
        <w:spacing w:before="0" w:after="0" w:line="240" w:lineRule="auto"/>
        <w:ind w:right="5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718E1DE" w14:textId="77777777" w:rsidR="00CC02F8" w:rsidRPr="00CC02F8" w:rsidRDefault="00CC02F8" w:rsidP="00CC02F8">
      <w:pPr>
        <w:spacing w:before="0" w:after="0" w:line="240" w:lineRule="auto"/>
        <w:ind w:right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  <w:t xml:space="preserve">   </w:t>
      </w:r>
    </w:p>
    <w:p w14:paraId="509DDF3C" w14:textId="77777777" w:rsidR="00CC02F8" w:rsidRPr="00CC02F8" w:rsidRDefault="00CC02F8" w:rsidP="00CC02F8">
      <w:pPr>
        <w:spacing w:before="0" w:after="0" w:line="240" w:lineRule="auto"/>
        <w:ind w:right="70"/>
        <w:contextualSpacing w:val="0"/>
        <w:jc w:val="center"/>
        <w:rPr>
          <w:rFonts w:cs="Arial"/>
          <w:b/>
          <w:sz w:val="24"/>
          <w:szCs w:val="24"/>
        </w:rPr>
      </w:pPr>
      <w:r w:rsidRPr="00CC02F8">
        <w:rPr>
          <w:rFonts w:cs="Arial"/>
          <w:b/>
          <w:sz w:val="24"/>
          <w:szCs w:val="24"/>
        </w:rPr>
        <w:t>z m o c ň u j e (pověřuje)</w:t>
      </w:r>
    </w:p>
    <w:p w14:paraId="508DBB84" w14:textId="77777777" w:rsid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szCs w:val="22"/>
        </w:rPr>
      </w:pPr>
    </w:p>
    <w:p w14:paraId="3BC0C4B6" w14:textId="65AD9DDB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společnost</w:t>
      </w:r>
      <w:r w:rsidRPr="00CC02F8">
        <w:rPr>
          <w:rFonts w:cs="Arial"/>
          <w:b/>
          <w:szCs w:val="22"/>
        </w:rPr>
        <w:t>:          Ing. Luděk Halaš</w:t>
      </w:r>
      <w:r w:rsidRPr="00CC02F8">
        <w:rPr>
          <w:rFonts w:cs="Arial"/>
          <w:bCs/>
          <w:szCs w:val="22"/>
        </w:rPr>
        <w:t xml:space="preserve"> </w:t>
      </w:r>
    </w:p>
    <w:p w14:paraId="6D474425" w14:textId="1C674EB6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se sídlem:            </w:t>
      </w:r>
      <w:r w:rsidR="009951AA">
        <w:rPr>
          <w:rFonts w:cs="Arial"/>
          <w:bCs/>
          <w:szCs w:val="22"/>
        </w:rPr>
        <w:t>xxxxxxxxxx</w:t>
      </w:r>
      <w:r w:rsidRPr="00CC02F8">
        <w:rPr>
          <w:rFonts w:cs="Arial"/>
          <w:bCs/>
          <w:szCs w:val="22"/>
        </w:rPr>
        <w:t xml:space="preserve"> Brno – Černá Pole </w:t>
      </w:r>
    </w:p>
    <w:p w14:paraId="620E2AF6" w14:textId="066D690D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IČO:                      60365943 </w:t>
      </w:r>
    </w:p>
    <w:p w14:paraId="54931262" w14:textId="661BA52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Zastoupená:        Ing. Luďkem Halašem </w:t>
      </w:r>
    </w:p>
    <w:p w14:paraId="673F3018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29350C79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k zastupování ČR - Státního pozemkového úřadu ve věci zajišťování autorského dozoru projektanta dle smlouvy o dílo s číslem 1142-2025-520202, uzavřené mezi Státním pozemkovým úřadem jako objednatelem a společností Ing. Luděk Halaš jako zhotovitelem v rozsahu čl. II a čl. III této smlouvy. </w:t>
      </w:r>
    </w:p>
    <w:p w14:paraId="6B6FD2F3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732C53BF" w14:textId="3BFCAF89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V rámci této plné moci je zmocněnec oprávněn:  </w:t>
      </w:r>
    </w:p>
    <w:p w14:paraId="211DA38A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0695C5C5" w14:textId="296CF145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a) </w:t>
      </w:r>
      <w:r w:rsidRPr="00CC02F8">
        <w:rPr>
          <w:rFonts w:cs="Arial"/>
          <w:bCs/>
          <w:szCs w:val="22"/>
        </w:rPr>
        <w:t xml:space="preserve">účastnit se předání a převzetí staveniště zhotovitelem stavby specifikované v čl. II. odst. 2 této smlouvy, přičemž kontroluje, zda skutečnosti známé v době předání staveniště odpovídají předpokladům, podle kterých byla vypracována projektová dokumentace, </w:t>
      </w:r>
    </w:p>
    <w:p w14:paraId="3AD0C1F3" w14:textId="0CD19B1C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b) </w:t>
      </w:r>
      <w:r w:rsidRPr="00CC02F8">
        <w:rPr>
          <w:rFonts w:cs="Arial"/>
          <w:bCs/>
          <w:szCs w:val="22"/>
        </w:rPr>
        <w:t xml:space="preserve">dohlížet na soulad zhotovované stavby s projektovou dokumentací ověřenou ve stavebním řízení, která je podkladem pro jeho činnost, sledovat a kontrolovat postup výstavby ve vztahu k dokumentaci, </w:t>
      </w:r>
    </w:p>
    <w:p w14:paraId="75AD67A2" w14:textId="6ABA738D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c) </w:t>
      </w:r>
      <w:r w:rsidRPr="00CC02F8">
        <w:rPr>
          <w:rFonts w:cs="Arial"/>
          <w:bCs/>
          <w:szCs w:val="22"/>
        </w:rPr>
        <w:t xml:space="preserve">sledovat postup výstavby z technického hlediska a z hlediska časového plánu výstavby </w:t>
      </w:r>
    </w:p>
    <w:p w14:paraId="186DA252" w14:textId="0F16DB10" w:rsidR="00CC02F8" w:rsidRPr="00CC02F8" w:rsidRDefault="00CC02F8" w:rsidP="00CC02F8">
      <w:pPr>
        <w:numPr>
          <w:ilvl w:val="1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d) </w:t>
      </w:r>
      <w:r w:rsidRPr="00CC02F8">
        <w:rPr>
          <w:rFonts w:cs="Arial"/>
          <w:bCs/>
          <w:szCs w:val="22"/>
        </w:rPr>
        <w:t xml:space="preserve">účastnit se bezodkladně na výzvu objednatele či zhotovitele stavby kontrolních dnů, zásadních </w:t>
      </w:r>
      <w:r>
        <w:rPr>
          <w:rFonts w:cs="Arial"/>
          <w:bCs/>
          <w:szCs w:val="22"/>
        </w:rPr>
        <w:t xml:space="preserve">  </w:t>
      </w:r>
      <w:r w:rsidRPr="00CC02F8">
        <w:rPr>
          <w:rFonts w:cs="Arial"/>
          <w:bCs/>
          <w:szCs w:val="22"/>
        </w:rPr>
        <w:t xml:space="preserve">zkoušek a měření a vydávat stanoviska k jejich výsledkům, </w:t>
      </w:r>
    </w:p>
    <w:p w14:paraId="40F8EFFE" w14:textId="4079E0B3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e) </w:t>
      </w:r>
      <w:r w:rsidRPr="00CC02F8">
        <w:rPr>
          <w:rFonts w:cs="Arial"/>
          <w:bCs/>
          <w:szCs w:val="22"/>
        </w:rPr>
        <w:t xml:space="preserve">podávat nutná vysvětlení k dokumentaci stavby, která je podkladem pro výkon autorského dozoru a spolupracovat při odstraňování důsledků nedostatků, zjištěných v této dokumentaci, </w:t>
      </w:r>
    </w:p>
    <w:p w14:paraId="291BB2B3" w14:textId="3A507F3D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f) </w:t>
      </w:r>
      <w:r w:rsidRPr="00CC02F8">
        <w:rPr>
          <w:rFonts w:cs="Arial"/>
          <w:bCs/>
          <w:szCs w:val="22"/>
        </w:rPr>
        <w:t xml:space="preserve">podávat vyjádření k požadavkům na větší množství výrobků a výkonů oproti projektové dokumentaci </w:t>
      </w:r>
    </w:p>
    <w:p w14:paraId="0888D63F" w14:textId="178B4650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g)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navrhovat změny a odchylky ke zlepšení řešení projektu, vznikající ve fázi realizace projektu,</w:t>
      </w:r>
    </w:p>
    <w:p w14:paraId="048FF70C" w14:textId="26F3B4CB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h)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posuzovat návrhy na změny stavby, na odchylky od schválené projektové dokumentace, které byly vyvolány vlivem okolností vzniklých v průběhu realizace díla, </w:t>
      </w:r>
    </w:p>
    <w:p w14:paraId="220537C4" w14:textId="335EF2B0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lastRenderedPageBreak/>
        <w:t>i)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 průběhu realizace díla,</w:t>
      </w:r>
    </w:p>
    <w:p w14:paraId="3D391AB8" w14:textId="5C9107E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j)</w:t>
      </w:r>
      <w:r w:rsidRPr="00CC02F8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účastnit se vybraných kontrolních dnů v minimálním rozsahu stanoveným ve stavebním povolení </w:t>
      </w:r>
    </w:p>
    <w:p w14:paraId="52C2C761" w14:textId="2E1D0D4D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k)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spolupracovat s   ostatními partnery (objednatel, zhotovitel stavby, technický dozor stavebníka, koordinátor bezpečnosti práce) při operativním řešení problémů vzniklých na stavbě,</w:t>
      </w:r>
    </w:p>
    <w:p w14:paraId="1567B978" w14:textId="42E90B13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l)</w:t>
      </w:r>
      <w:r w:rsidRPr="00CC02F8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sledovat dodržování podmínek pro stavbu tak, jak jsou určeny stavebním povolením a stanovisky dotčených účastníků výstavby, která jsou ve stavebním povolení stanovena jako závazná, </w:t>
      </w:r>
    </w:p>
    <w:p w14:paraId="4742F348" w14:textId="6BCBED1D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m)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svá zjištění, požadavky a návrhy zaznamenávat do stavebního deníku, </w:t>
      </w:r>
    </w:p>
    <w:p w14:paraId="6E7BDDF5" w14:textId="0312E5A9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n)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aktivně se zúčastnit přebírání stavby objednatelem od zhotovitele stavby specifikované v čl. II. odst. 2. této smlouvy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20FEE0D0" w14:textId="524DF444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o)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aktivně se účastnit kolaudace a při kontrole odstranění kolaudačních závad,</w:t>
      </w:r>
    </w:p>
    <w:p w14:paraId="6D03591C" w14:textId="18376A6F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p)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odsouhlasovat dokumentaci skutečného provedení stavby,</w:t>
      </w:r>
    </w:p>
    <w:p w14:paraId="347E874D" w14:textId="518EECA5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q)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po dokončení stavby zhotovitel vyhotoví zprávu o souladu zhotovené stavby s ověřenou projektovou dokumentací.</w:t>
      </w:r>
    </w:p>
    <w:p w14:paraId="697E0D19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23C96435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Tato plná moc je platná ode dne jejího udělení a končí splněním předmětu výše uvedené smlouvy o dílo; je vyhotovena ve třech stejnopisech, z nichž jeden je založen u zmocnitele.</w:t>
      </w:r>
    </w:p>
    <w:p w14:paraId="0015FCDB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6692087E" w14:textId="4264E425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V</w:t>
      </w:r>
      <w:r>
        <w:rPr>
          <w:rFonts w:cs="Arial"/>
          <w:bCs/>
          <w:szCs w:val="22"/>
        </w:rPr>
        <w:t> Havlíčkově Brodě</w:t>
      </w:r>
      <w:r w:rsidRPr="00CC02F8">
        <w:rPr>
          <w:rFonts w:cs="Arial"/>
          <w:bCs/>
          <w:szCs w:val="22"/>
        </w:rPr>
        <w:t xml:space="preserve"> dne</w:t>
      </w:r>
      <w:r>
        <w:rPr>
          <w:rFonts w:cs="Arial"/>
          <w:bCs/>
          <w:szCs w:val="22"/>
        </w:rPr>
        <w:t xml:space="preserve"> 25.11.2025</w:t>
      </w:r>
    </w:p>
    <w:p w14:paraId="0B5CA6B0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74D10A1F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127E3615" w14:textId="0DD93DD3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i/>
          <w:iCs/>
          <w:szCs w:val="22"/>
        </w:rPr>
      </w:pPr>
      <w:r>
        <w:rPr>
          <w:rFonts w:cs="Arial"/>
          <w:bCs/>
          <w:szCs w:val="22"/>
        </w:rPr>
        <w:t xml:space="preserve">              </w:t>
      </w:r>
      <w:r w:rsidRPr="00CC02F8">
        <w:rPr>
          <w:rFonts w:cs="Arial"/>
          <w:bCs/>
          <w:i/>
          <w:iCs/>
          <w:szCs w:val="22"/>
        </w:rPr>
        <w:t>„elektronicky podepsáno“</w:t>
      </w:r>
    </w:p>
    <w:p w14:paraId="0EED8FFC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…………………………………………………..</w:t>
      </w:r>
    </w:p>
    <w:p w14:paraId="4AB96D8B" w14:textId="658B43AF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 xml:space="preserve">       </w:t>
      </w:r>
      <w:r w:rsidRPr="00CC02F8">
        <w:rPr>
          <w:rFonts w:cs="Arial"/>
          <w:bCs/>
          <w:szCs w:val="22"/>
        </w:rPr>
        <w:t xml:space="preserve">Ing. Jana Ďásková </w:t>
      </w:r>
    </w:p>
    <w:p w14:paraId="46AC53C6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vedoucí Pobočky Havlíčkův Brod </w:t>
      </w:r>
    </w:p>
    <w:p w14:paraId="5C16AA72" w14:textId="1F325A55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</w:t>
      </w:r>
      <w:r w:rsidRPr="00CC02F8">
        <w:rPr>
          <w:rFonts w:cs="Arial"/>
          <w:bCs/>
          <w:szCs w:val="22"/>
        </w:rPr>
        <w:t>KPÚ pro Kraj Vysočina</w:t>
      </w:r>
    </w:p>
    <w:p w14:paraId="6C95B73F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46A3D1F0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504B4D11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73D85319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46860485" w14:textId="00843B7A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Plnou moc přijímá:</w:t>
      </w:r>
      <w:r>
        <w:rPr>
          <w:rFonts w:cs="Arial"/>
          <w:bCs/>
          <w:szCs w:val="22"/>
        </w:rPr>
        <w:t xml:space="preserve"> Ing. Luděk Halaš dne 25.11.2025         </w:t>
      </w:r>
      <w:r w:rsidRPr="00CC02F8">
        <w:rPr>
          <w:rFonts w:cs="Arial"/>
          <w:bCs/>
          <w:i/>
          <w:iCs/>
          <w:szCs w:val="22"/>
        </w:rPr>
        <w:t>„elektronicky podepsáno“</w:t>
      </w:r>
    </w:p>
    <w:sectPr w:rsidR="00CC02F8" w:rsidRPr="00CC02F8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5E1E" w14:textId="11B3B542" w:rsidR="00B94C77" w:rsidRDefault="00846A3B" w:rsidP="00DB5561">
    <w:pPr>
      <w:jc w:val="right"/>
    </w:pPr>
    <w:r>
      <w:t>Č. sml. 1142-2025-520202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F6FD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9"/>
  </w:num>
  <w:num w:numId="2" w16cid:durableId="2113667903">
    <w:abstractNumId w:val="6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10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5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3"/>
  </w:num>
  <w:num w:numId="13" w16cid:durableId="79715456">
    <w:abstractNumId w:val="4"/>
  </w:num>
  <w:num w:numId="14" w16cid:durableId="589237625">
    <w:abstractNumId w:val="2"/>
  </w:num>
  <w:num w:numId="15" w16cid:durableId="1151023518">
    <w:abstractNumId w:val="8"/>
  </w:num>
  <w:num w:numId="16" w16cid:durableId="1808477219">
    <w:abstractNumId w:val="7"/>
  </w:num>
  <w:num w:numId="17" w16cid:durableId="36005998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3B2D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080C"/>
    <w:rsid w:val="000E6467"/>
    <w:rsid w:val="000F1247"/>
    <w:rsid w:val="001014C4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57C3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66191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01DF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B7667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57BBE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24BC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46A3B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2978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D651A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13F53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5416B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1AA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0A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13A2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F47BF"/>
    <w:rsid w:val="00C02F0B"/>
    <w:rsid w:val="00C033C1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2F8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56751"/>
    <w:rsid w:val="00D62907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24DD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3A56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14E"/>
    <w:rsid w:val="00F25344"/>
    <w:rsid w:val="00F31B94"/>
    <w:rsid w:val="00F31FC7"/>
    <w:rsid w:val="00F32916"/>
    <w:rsid w:val="00F33FE9"/>
    <w:rsid w:val="00F36C88"/>
    <w:rsid w:val="00F45CC4"/>
    <w:rsid w:val="00F60711"/>
    <w:rsid w:val="00F627CD"/>
    <w:rsid w:val="00F64E37"/>
    <w:rsid w:val="00F66E65"/>
    <w:rsid w:val="00F723B6"/>
    <w:rsid w:val="00F74D73"/>
    <w:rsid w:val="00F815D0"/>
    <w:rsid w:val="00F87DB3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2F8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4085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Procházková Dita</cp:lastModifiedBy>
  <cp:revision>3</cp:revision>
  <cp:lastPrinted>2025-11-25T13:47:00Z</cp:lastPrinted>
  <dcterms:created xsi:type="dcterms:W3CDTF">2025-11-26T09:59:00Z</dcterms:created>
  <dcterms:modified xsi:type="dcterms:W3CDTF">2025-12-10T15:24:00Z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