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C037824" w14:textId="77777777" w:rsidR="009869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</w:t>
      </w:r>
      <w:r w:rsidR="009869DD">
        <w:rPr>
          <w:rFonts w:ascii="Arial" w:hAnsi="Arial" w:cs="Arial"/>
          <w:sz w:val="22"/>
          <w:szCs w:val="22"/>
        </w:rPr>
        <w:t> </w:t>
      </w:r>
      <w:r w:rsidRPr="003C0D30">
        <w:rPr>
          <w:rFonts w:ascii="Arial" w:hAnsi="Arial" w:cs="Arial"/>
          <w:sz w:val="22"/>
          <w:szCs w:val="22"/>
        </w:rPr>
        <w:t>774,</w:t>
      </w:r>
    </w:p>
    <w:p w14:paraId="26A008D6" w14:textId="77777777" w:rsidR="009869DD" w:rsidRDefault="009869DD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869DD">
        <w:rPr>
          <w:rFonts w:ascii="Arial" w:hAnsi="Arial" w:cs="Arial"/>
          <w:sz w:val="22"/>
          <w:szCs w:val="22"/>
        </w:rPr>
        <w:t xml:space="preserve">Krajský pozemkový úřad pro Královéhradecký kraj, Kydlinovská 245, 503 01 Hradec Králové </w:t>
      </w:r>
    </w:p>
    <w:p w14:paraId="26D67C6C" w14:textId="77777777" w:rsidR="000804E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804E0" w:rsidRPr="000804E0">
        <w:rPr>
          <w:rFonts w:ascii="Arial" w:hAnsi="Arial" w:cs="Arial"/>
          <w:sz w:val="22"/>
          <w:szCs w:val="22"/>
        </w:rPr>
        <w:t>Ing. Petrem Lázňovským, ředitelem KPÚ pro Královéhradecký kraj</w:t>
      </w:r>
    </w:p>
    <w:p w14:paraId="6A6699CC" w14:textId="77777777" w:rsidR="0046735F" w:rsidRDefault="00797092" w:rsidP="0046735F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46735F" w:rsidRPr="0046735F">
        <w:rPr>
          <w:rFonts w:ascii="Arial" w:hAnsi="Arial" w:cs="Arial"/>
          <w:sz w:val="22"/>
          <w:szCs w:val="22"/>
        </w:rPr>
        <w:t xml:space="preserve">Ing. Petrem Lázňovským, ředitelem KPÚ </w:t>
      </w:r>
    </w:p>
    <w:p w14:paraId="0719BEB5" w14:textId="308FCB5E" w:rsidR="00DC3F3C" w:rsidRDefault="00797092" w:rsidP="00DC3F3C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C3F3C" w:rsidRPr="00DC3F3C">
        <w:rPr>
          <w:rFonts w:ascii="Arial" w:hAnsi="Arial" w:cs="Arial"/>
          <w:snapToGrid w:val="0"/>
          <w:sz w:val="22"/>
          <w:szCs w:val="22"/>
        </w:rPr>
        <w:t xml:space="preserve">Ing. Josefem Kutinou, vedoucím Pobočky Trutnov, Horská 5, 541 01 Trutnov, </w:t>
      </w:r>
      <w:r w:rsidR="00DC3F3C">
        <w:rPr>
          <w:rFonts w:ascii="Arial" w:hAnsi="Arial" w:cs="Arial"/>
          <w:snapToGrid w:val="0"/>
          <w:sz w:val="22"/>
          <w:szCs w:val="22"/>
        </w:rPr>
        <w:t>Mgr. Petra Hájková</w:t>
      </w:r>
      <w:r w:rsidR="00DC3F3C" w:rsidRPr="00DC3F3C">
        <w:rPr>
          <w:rFonts w:ascii="Arial" w:hAnsi="Arial" w:cs="Arial"/>
          <w:snapToGrid w:val="0"/>
          <w:sz w:val="22"/>
          <w:szCs w:val="22"/>
        </w:rPr>
        <w:t xml:space="preserve">, Pobočka Trutnov </w:t>
      </w:r>
    </w:p>
    <w:p w14:paraId="532BF7CA" w14:textId="6980A3D3" w:rsidR="00797092" w:rsidRPr="003C0D30" w:rsidRDefault="00797092" w:rsidP="00523B07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D13339A" w14:textId="77777777" w:rsidR="008F1328" w:rsidRPr="008F1328" w:rsidRDefault="008F1328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8F1328">
        <w:rPr>
          <w:rFonts w:ascii="Arial" w:hAnsi="Arial" w:cs="Arial"/>
          <w:sz w:val="22"/>
          <w:szCs w:val="22"/>
        </w:rPr>
        <w:t>Tel.: +420 727 937 172, +420 606 689 085</w:t>
      </w:r>
    </w:p>
    <w:p w14:paraId="60AAF957" w14:textId="4662656B" w:rsidR="00523B07" w:rsidRDefault="008F1328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8F1328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523B07" w:rsidRPr="005713B4">
          <w:rPr>
            <w:rStyle w:val="Hypertextovodkaz"/>
            <w:rFonts w:ascii="Arial" w:hAnsi="Arial" w:cs="Arial"/>
            <w:sz w:val="22"/>
            <w:szCs w:val="22"/>
          </w:rPr>
          <w:t>trutnov.pk@spu.gov.cz</w:t>
        </w:r>
      </w:hyperlink>
    </w:p>
    <w:p w14:paraId="1A4CEAA3" w14:textId="48402A7E" w:rsidR="00797092" w:rsidRDefault="00797092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3742B7AB" w14:textId="77777777" w:rsidR="00523B07" w:rsidRPr="003C0D30" w:rsidRDefault="00523B07" w:rsidP="00523B07">
      <w:pPr>
        <w:spacing w:before="0"/>
        <w:ind w:left="567" w:right="1418"/>
        <w:rPr>
          <w:rFonts w:ascii="Arial" w:hAnsi="Arial" w:cs="Arial"/>
          <w:b/>
          <w:i/>
          <w:sz w:val="22"/>
          <w:szCs w:val="22"/>
        </w:rPr>
      </w:pP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D4939C5" w:rsidR="00797092" w:rsidRPr="003C0D30" w:rsidRDefault="006111A5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Ing. Mgr. Hana Vanclová</w:t>
      </w:r>
    </w:p>
    <w:p w14:paraId="5DD907AA" w14:textId="5128B0A5" w:rsidR="00C8787C" w:rsidRDefault="00C8787C" w:rsidP="00A852E3">
      <w:pPr>
        <w:spacing w:before="0" w:after="120"/>
        <w:ind w:left="567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spole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nost založená a existující podle právního </w:t>
      </w:r>
      <w:r>
        <w:rPr>
          <w:rFonts w:ascii="Arial" w:eastAsiaTheme="minorHAnsi" w:hAnsi="Arial" w:cs="Arial"/>
          <w:sz w:val="22"/>
          <w:szCs w:val="22"/>
          <w:lang w:eastAsia="en-US"/>
        </w:rPr>
        <w:t>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ádu [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eské republiky], se sídlem</w:t>
      </w:r>
      <w:r w:rsidR="007C225C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Nová Ves I,</w:t>
      </w:r>
      <w:r w:rsidR="007C225C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O: 03577805, zapsaná v živnostenském rejst</w:t>
      </w:r>
      <w:r>
        <w:rPr>
          <w:rFonts w:ascii="Arial" w:eastAsiaTheme="minorHAnsi" w:hAnsi="Arial" w:cs="Arial"/>
          <w:sz w:val="22"/>
          <w:szCs w:val="22"/>
          <w:lang w:eastAsia="en-US"/>
        </w:rPr>
        <w:t>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íku vedeném u </w:t>
      </w:r>
      <w:proofErr w:type="spellStart"/>
      <w:r>
        <w:rPr>
          <w:rFonts w:ascii="Helvetica" w:eastAsiaTheme="minorHAnsi" w:hAnsi="Helvetica" w:cs="Helvetica"/>
          <w:sz w:val="22"/>
          <w:szCs w:val="22"/>
          <w:lang w:eastAsia="en-US"/>
        </w:rPr>
        <w:t>M</w:t>
      </w:r>
      <w:r>
        <w:rPr>
          <w:rFonts w:ascii="Arial" w:eastAsiaTheme="minorHAnsi" w:hAnsi="Arial" w:cs="Arial"/>
          <w:sz w:val="22"/>
          <w:szCs w:val="22"/>
          <w:lang w:eastAsia="en-US"/>
        </w:rPr>
        <w:t>ě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Ú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Kolín.</w:t>
      </w:r>
    </w:p>
    <w:p w14:paraId="47FA9FF2" w14:textId="106DD6E4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306CB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F306CB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4D6E459" w14:textId="0200E1A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F306CB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77C19">
        <w:rPr>
          <w:rFonts w:ascii="Arial" w:hAnsi="Arial" w:cs="Arial"/>
          <w:snapToGrid w:val="0"/>
          <w:sz w:val="22"/>
          <w:szCs w:val="22"/>
        </w:rPr>
        <w:t xml:space="preserve">Mgr. Hanou </w:t>
      </w:r>
      <w:proofErr w:type="spellStart"/>
      <w:r w:rsidR="00477C19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3031793" w14:textId="21F75D45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C225C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58AC5C4F" w14:textId="39B6B2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3D127C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7C225C">
        <w:rPr>
          <w:rFonts w:ascii="Helvetica" w:eastAsiaTheme="minorHAnsi" w:hAnsi="Helvetica" w:cs="Helvetica"/>
          <w:sz w:val="22"/>
          <w:szCs w:val="22"/>
          <w:lang w:eastAsia="en-US"/>
        </w:rPr>
        <w:t>xxxxxxxxxxxxxxx</w:t>
      </w:r>
      <w:proofErr w:type="spellEnd"/>
    </w:p>
    <w:p w14:paraId="238788A1" w14:textId="29DFE80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proofErr w:type="spellStart"/>
        <w:r w:rsidR="007C225C">
          <w:rPr>
            <w:rStyle w:val="Hypertextovodkaz"/>
            <w:rFonts w:ascii="Helvetica" w:eastAsiaTheme="minorHAnsi" w:hAnsi="Helvetica" w:cs="Helvetica"/>
            <w:sz w:val="22"/>
            <w:szCs w:val="22"/>
            <w:lang w:eastAsia="en-US"/>
          </w:rPr>
          <w:t>xxxxxxxxxxxxx</w:t>
        </w:r>
        <w:proofErr w:type="spellEnd"/>
      </w:hyperlink>
      <w:r w:rsidR="00BE19D8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14:paraId="2191597D" w14:textId="67FB590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52AAA">
        <w:rPr>
          <w:rFonts w:ascii="Helvetica" w:eastAsiaTheme="minorHAnsi" w:hAnsi="Helvetica" w:cs="Helvetica"/>
          <w:sz w:val="22"/>
          <w:szCs w:val="22"/>
          <w:lang w:eastAsia="en-US"/>
        </w:rPr>
        <w:t>xxxxxxxx</w:t>
      </w:r>
      <w:proofErr w:type="spellEnd"/>
    </w:p>
    <w:p w14:paraId="6022D172" w14:textId="337614E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1256C">
        <w:rPr>
          <w:rFonts w:ascii="Helvetica" w:eastAsiaTheme="minorHAnsi" w:hAnsi="Helvetica" w:cs="Helvetica"/>
          <w:sz w:val="22"/>
          <w:szCs w:val="22"/>
          <w:lang w:eastAsia="en-US"/>
        </w:rPr>
        <w:t>xxxxxxxxxxxxxxx</w:t>
      </w:r>
      <w:proofErr w:type="spellEnd"/>
    </w:p>
    <w:p w14:paraId="32C9F5BB" w14:textId="2B48EB8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</w:t>
      </w:r>
      <w:r w:rsidR="0014362C">
        <w:rPr>
          <w:rFonts w:ascii="Arial" w:hAnsi="Arial" w:cs="Arial"/>
          <w:sz w:val="22"/>
          <w:szCs w:val="22"/>
        </w:rPr>
        <w:t xml:space="preserve">tu: </w:t>
      </w:r>
      <w:proofErr w:type="spellStart"/>
      <w:r w:rsidR="0014362C">
        <w:rPr>
          <w:rFonts w:ascii="Arial" w:hAnsi="Arial" w:cs="Arial"/>
          <w:sz w:val="22"/>
          <w:szCs w:val="22"/>
        </w:rPr>
        <w:t>xxxxxxxxxx</w:t>
      </w:r>
      <w:proofErr w:type="spellEnd"/>
    </w:p>
    <w:p w14:paraId="08E4CF51" w14:textId="6740B4C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0204F8">
        <w:rPr>
          <w:rFonts w:ascii="Helvetica" w:eastAsiaTheme="minorHAnsi" w:hAnsi="Helvetica" w:cs="Helvetica"/>
          <w:sz w:val="22"/>
          <w:szCs w:val="22"/>
          <w:lang w:eastAsia="en-US"/>
        </w:rPr>
        <w:t>xxxxxxxxxxx</w:t>
      </w:r>
      <w:proofErr w:type="spellEnd"/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88D66B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D27D5" w:rsidRPr="004D27D5">
        <w:rPr>
          <w:rFonts w:ascii="Arial" w:hAnsi="Arial" w:cs="Arial"/>
          <w:sz w:val="22"/>
          <w:szCs w:val="22"/>
        </w:rPr>
        <w:t xml:space="preserve">zadávaná v dynamickém nákupním systému DNS 09 – Geodetické služby pro SPÚ s názvem Výzvy: </w:t>
      </w:r>
      <w:r w:rsidR="004B21F8" w:rsidRPr="0081133F">
        <w:rPr>
          <w:rFonts w:ascii="Arial" w:hAnsi="Arial" w:cs="Arial"/>
          <w:snapToGrid w:val="0"/>
          <w:sz w:val="22"/>
          <w:szCs w:val="22"/>
        </w:rPr>
        <w:lastRenderedPageBreak/>
        <w:t xml:space="preserve">HK/2_TU_Čermná v </w:t>
      </w:r>
      <w:proofErr w:type="spellStart"/>
      <w:r w:rsidR="004B21F8" w:rsidRPr="0081133F">
        <w:rPr>
          <w:rFonts w:ascii="Arial" w:hAnsi="Arial" w:cs="Arial"/>
          <w:snapToGrid w:val="0"/>
          <w:sz w:val="22"/>
          <w:szCs w:val="22"/>
        </w:rPr>
        <w:t>Krkonoších_Doubravice</w:t>
      </w:r>
      <w:proofErr w:type="spellEnd"/>
      <w:r w:rsidR="004B21F8" w:rsidRPr="0081133F">
        <w:rPr>
          <w:rFonts w:ascii="Arial" w:hAnsi="Arial" w:cs="Arial"/>
          <w:snapToGrid w:val="0"/>
          <w:sz w:val="22"/>
          <w:szCs w:val="22"/>
        </w:rPr>
        <w:t xml:space="preserve"> u </w:t>
      </w:r>
      <w:proofErr w:type="spellStart"/>
      <w:r w:rsidR="004B21F8" w:rsidRPr="0081133F">
        <w:rPr>
          <w:rFonts w:ascii="Arial" w:hAnsi="Arial" w:cs="Arial"/>
          <w:snapToGrid w:val="0"/>
          <w:sz w:val="22"/>
          <w:szCs w:val="22"/>
        </w:rPr>
        <w:t>DK_Dubenec_Radeč</w:t>
      </w:r>
      <w:proofErr w:type="spellEnd"/>
      <w:r w:rsidR="004B21F8" w:rsidRPr="0081133F">
        <w:rPr>
          <w:rFonts w:ascii="Arial" w:hAnsi="Arial" w:cs="Arial"/>
          <w:snapToGrid w:val="0"/>
          <w:sz w:val="22"/>
          <w:szCs w:val="22"/>
        </w:rPr>
        <w:t xml:space="preserve">_ Vilantice </w:t>
      </w:r>
      <w:r w:rsidR="00411B27" w:rsidRPr="0081133F">
        <w:rPr>
          <w:rFonts w:ascii="Arial" w:hAnsi="Arial" w:cs="Arial"/>
          <w:snapToGrid w:val="0"/>
          <w:sz w:val="22"/>
          <w:szCs w:val="22"/>
        </w:rPr>
        <w:t>dále jen</w:t>
      </w:r>
      <w:r w:rsidR="00411B27" w:rsidRPr="0081133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956F3">
        <w:rPr>
          <w:rFonts w:ascii="Arial" w:hAnsi="Arial" w:cs="Arial"/>
          <w:bCs/>
          <w:snapToGrid w:val="0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ABDB1B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D6D373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5A2DA1">
        <w:rPr>
          <w:rFonts w:ascii="Arial" w:hAnsi="Arial" w:cs="Arial"/>
          <w:sz w:val="22"/>
          <w:szCs w:val="22"/>
        </w:rPr>
        <w:t>4.9.2025</w:t>
      </w:r>
    </w:p>
    <w:p w14:paraId="085E7CB4" w14:textId="5D831ED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776A8">
        <w:rPr>
          <w:rFonts w:ascii="Arial" w:hAnsi="Arial" w:cs="Arial"/>
          <w:sz w:val="22"/>
          <w:szCs w:val="22"/>
        </w:rPr>
        <w:t>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2776A8">
        <w:rPr>
          <w:rFonts w:ascii="Arial" w:hAnsi="Arial" w:cs="Arial"/>
          <w:sz w:val="22"/>
          <w:szCs w:val="22"/>
        </w:rPr>
        <w:t>Trutnov.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67CCD9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A0D35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BA0D35">
        <w:rPr>
          <w:rFonts w:ascii="Arial" w:hAnsi="Arial" w:cs="Arial"/>
          <w:sz w:val="22"/>
          <w:szCs w:val="22"/>
        </w:rPr>
        <w:t xml:space="preserve"> Čermná</w:t>
      </w:r>
      <w:r w:rsidR="00CD0CC1">
        <w:rPr>
          <w:rFonts w:ascii="Arial" w:hAnsi="Arial" w:cs="Arial"/>
          <w:sz w:val="22"/>
          <w:szCs w:val="22"/>
        </w:rPr>
        <w:t xml:space="preserve"> v Krkonoších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CD0CC1">
        <w:rPr>
          <w:rFonts w:ascii="Arial" w:hAnsi="Arial" w:cs="Arial"/>
          <w:sz w:val="22"/>
          <w:szCs w:val="22"/>
        </w:rPr>
        <w:t xml:space="preserve"> Doubravice u Dvora Králové, </w:t>
      </w:r>
      <w:r w:rsidR="001A5F59">
        <w:rPr>
          <w:rFonts w:ascii="Arial" w:hAnsi="Arial" w:cs="Arial"/>
          <w:sz w:val="22"/>
          <w:szCs w:val="22"/>
        </w:rPr>
        <w:t xml:space="preserve">Dubenec, </w:t>
      </w:r>
      <w:r w:rsidR="009B4DC6">
        <w:rPr>
          <w:rFonts w:ascii="Arial" w:hAnsi="Arial" w:cs="Arial"/>
          <w:sz w:val="22"/>
          <w:szCs w:val="22"/>
        </w:rPr>
        <w:t xml:space="preserve">Radeč, </w:t>
      </w:r>
      <w:r w:rsidR="001A5F59">
        <w:rPr>
          <w:rFonts w:ascii="Arial" w:hAnsi="Arial" w:cs="Arial"/>
          <w:sz w:val="22"/>
          <w:szCs w:val="22"/>
        </w:rPr>
        <w:t>Vilantice, vše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1A5F59">
        <w:rPr>
          <w:rFonts w:ascii="Arial" w:hAnsi="Arial" w:cs="Arial"/>
          <w:sz w:val="22"/>
          <w:szCs w:val="22"/>
        </w:rPr>
        <w:t xml:space="preserve"> Trutnov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1A5F59">
        <w:rPr>
          <w:rFonts w:ascii="Arial" w:hAnsi="Arial" w:cs="Arial"/>
          <w:sz w:val="22"/>
          <w:szCs w:val="22"/>
        </w:rPr>
        <w:t xml:space="preserve">1 smlouvy o </w:t>
      </w:r>
      <w:proofErr w:type="gramStart"/>
      <w:r w:rsidR="001A5F59">
        <w:rPr>
          <w:rFonts w:ascii="Arial" w:hAnsi="Arial" w:cs="Arial"/>
          <w:sz w:val="22"/>
          <w:szCs w:val="22"/>
        </w:rPr>
        <w:t>dílo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96EDBC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681C" w:rsidRPr="00014665">
        <w:rPr>
          <w:rFonts w:ascii="Arial" w:hAnsi="Arial" w:cs="Arial"/>
          <w:sz w:val="22"/>
          <w:szCs w:val="22"/>
        </w:rPr>
        <w:t>(</w:t>
      </w:r>
      <w:r w:rsidR="00056CFB">
        <w:rPr>
          <w:rFonts w:ascii="Arial" w:hAnsi="Arial" w:cs="Arial"/>
          <w:sz w:val="22"/>
          <w:szCs w:val="22"/>
        </w:rPr>
        <w:t xml:space="preserve"> 3</w:t>
      </w:r>
      <w:proofErr w:type="gramEnd"/>
      <w:r w:rsidR="00056CFB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 dn</w:t>
      </w:r>
      <w:r w:rsidR="00056CFB">
        <w:rPr>
          <w:rFonts w:ascii="Arial" w:hAnsi="Arial" w:cs="Arial"/>
          <w:sz w:val="22"/>
          <w:szCs w:val="22"/>
        </w:rPr>
        <w:t>y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8E3E6D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4D5973">
        <w:rPr>
          <w:rFonts w:ascii="Arial" w:hAnsi="Arial" w:cs="Arial"/>
          <w:sz w:val="22"/>
          <w:szCs w:val="22"/>
        </w:rPr>
        <w:t>Královéhradecký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79595B">
        <w:rPr>
          <w:rFonts w:ascii="Arial" w:hAnsi="Arial" w:cs="Arial"/>
          <w:sz w:val="22"/>
          <w:szCs w:val="22"/>
        </w:rPr>
        <w:t>Trutnov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9783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1A4541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5A2DA1" w:rsidRPr="000C0674">
        <w:rPr>
          <w:rFonts w:ascii="Arial" w:hAnsi="Arial" w:cs="Arial"/>
          <w:b/>
          <w:bCs/>
          <w:sz w:val="22"/>
          <w:szCs w:val="22"/>
        </w:rPr>
        <w:t>50</w:t>
      </w:r>
      <w:r w:rsidR="00294AF8" w:rsidRPr="000C0674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24D6C69D" w14:textId="09D34E8D" w:rsidR="009B4DC6" w:rsidRDefault="00FD4817" w:rsidP="002C4F3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B4DC6">
        <w:rPr>
          <w:rFonts w:ascii="Arial" w:hAnsi="Arial" w:cs="Arial"/>
          <w:sz w:val="22"/>
          <w:szCs w:val="22"/>
        </w:rPr>
        <w:t xml:space="preserve">Místo plnění </w:t>
      </w:r>
      <w:r w:rsidR="00BF373E" w:rsidRPr="009B4DC6">
        <w:rPr>
          <w:rFonts w:ascii="Arial" w:hAnsi="Arial" w:cs="Arial"/>
          <w:sz w:val="22"/>
          <w:szCs w:val="22"/>
        </w:rPr>
        <w:t>D</w:t>
      </w:r>
      <w:r w:rsidRPr="009B4DC6">
        <w:rPr>
          <w:rFonts w:ascii="Arial" w:hAnsi="Arial" w:cs="Arial"/>
          <w:sz w:val="22"/>
          <w:szCs w:val="22"/>
        </w:rPr>
        <w:t>íla:</w:t>
      </w:r>
      <w:r w:rsidR="00977C0C" w:rsidRPr="009B4DC6">
        <w:rPr>
          <w:rFonts w:ascii="Arial" w:hAnsi="Arial" w:cs="Arial"/>
          <w:sz w:val="22"/>
          <w:szCs w:val="22"/>
        </w:rPr>
        <w:t xml:space="preserve"> </w:t>
      </w:r>
      <w:r w:rsidR="00D6451F" w:rsidRPr="009B4DC6">
        <w:rPr>
          <w:rFonts w:ascii="Arial" w:hAnsi="Arial" w:cs="Arial"/>
          <w:sz w:val="22"/>
          <w:szCs w:val="22"/>
        </w:rPr>
        <w:t>katastrální území:</w:t>
      </w:r>
      <w:r w:rsidR="009B4DC6" w:rsidRPr="009B4DC6">
        <w:t xml:space="preserve"> </w:t>
      </w:r>
      <w:r w:rsidR="009B4DC6" w:rsidRPr="009B4DC6">
        <w:rPr>
          <w:rFonts w:ascii="Arial" w:hAnsi="Arial" w:cs="Arial"/>
          <w:sz w:val="22"/>
          <w:szCs w:val="22"/>
        </w:rPr>
        <w:t>Čermná v Krkonoších, Doubravice u Dvora Králové, Dubenec,</w:t>
      </w:r>
      <w:r w:rsidR="009B4DC6">
        <w:rPr>
          <w:rFonts w:ascii="Arial" w:hAnsi="Arial" w:cs="Arial"/>
          <w:sz w:val="22"/>
          <w:szCs w:val="22"/>
        </w:rPr>
        <w:t xml:space="preserve"> Radeč,</w:t>
      </w:r>
      <w:r w:rsidR="009B4DC6" w:rsidRPr="009B4DC6">
        <w:rPr>
          <w:rFonts w:ascii="Arial" w:hAnsi="Arial" w:cs="Arial"/>
          <w:sz w:val="22"/>
          <w:szCs w:val="22"/>
        </w:rPr>
        <w:t xml:space="preserve"> Vilantice, vše okres Trutnov (viz Příloha č. 1 smlouvy o dílo)</w:t>
      </w:r>
    </w:p>
    <w:p w14:paraId="2D78EFEF" w14:textId="79253E5F" w:rsidR="00FD4817" w:rsidRPr="009B4DC6" w:rsidRDefault="00FD4817" w:rsidP="002C4F3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B4DC6">
        <w:rPr>
          <w:rFonts w:ascii="Arial" w:hAnsi="Arial" w:cs="Arial"/>
          <w:sz w:val="22"/>
          <w:szCs w:val="22"/>
        </w:rPr>
        <w:t xml:space="preserve">Dokončené </w:t>
      </w:r>
      <w:r w:rsidR="00FF0C21" w:rsidRPr="009B4DC6">
        <w:rPr>
          <w:rFonts w:ascii="Arial" w:hAnsi="Arial" w:cs="Arial"/>
          <w:sz w:val="22"/>
          <w:szCs w:val="22"/>
        </w:rPr>
        <w:t>Dílo</w:t>
      </w:r>
      <w:r w:rsidRPr="009B4DC6">
        <w:rPr>
          <w:rFonts w:ascii="Arial" w:hAnsi="Arial" w:cs="Arial"/>
          <w:sz w:val="22"/>
          <w:szCs w:val="22"/>
        </w:rPr>
        <w:t xml:space="preserve"> bude předáno </w:t>
      </w:r>
      <w:r w:rsidR="00A87320" w:rsidRPr="009B4DC6">
        <w:rPr>
          <w:rFonts w:ascii="Arial" w:hAnsi="Arial" w:cs="Arial"/>
          <w:sz w:val="22"/>
          <w:szCs w:val="22"/>
        </w:rPr>
        <w:t>O</w:t>
      </w:r>
      <w:r w:rsidR="00D6451F" w:rsidRPr="009B4DC6">
        <w:rPr>
          <w:rFonts w:ascii="Arial" w:hAnsi="Arial" w:cs="Arial"/>
          <w:sz w:val="22"/>
          <w:szCs w:val="22"/>
        </w:rPr>
        <w:t xml:space="preserve">bjednateli </w:t>
      </w:r>
      <w:r w:rsidR="00145065" w:rsidRPr="009B4DC6">
        <w:rPr>
          <w:rFonts w:ascii="Arial" w:hAnsi="Arial" w:cs="Arial"/>
          <w:sz w:val="22"/>
          <w:szCs w:val="22"/>
        </w:rPr>
        <w:t>na adrese:</w:t>
      </w:r>
      <w:r w:rsidR="006B2EE2" w:rsidRPr="009B4DC6">
        <w:rPr>
          <w:rFonts w:ascii="Arial" w:hAnsi="Arial" w:cs="Arial"/>
          <w:sz w:val="22"/>
          <w:szCs w:val="22"/>
        </w:rPr>
        <w:t xml:space="preserve"> </w:t>
      </w:r>
      <w:r w:rsidR="008427B4" w:rsidRPr="009B4DC6">
        <w:rPr>
          <w:rFonts w:ascii="Arial" w:hAnsi="Arial" w:cs="Arial"/>
          <w:sz w:val="22"/>
          <w:szCs w:val="22"/>
        </w:rPr>
        <w:t>Horská 5</w:t>
      </w:r>
      <w:r w:rsidR="00BF016F" w:rsidRPr="009B4DC6">
        <w:rPr>
          <w:rFonts w:ascii="Arial" w:hAnsi="Arial" w:cs="Arial"/>
          <w:sz w:val="22"/>
          <w:szCs w:val="22"/>
        </w:rPr>
        <w:t>, 541 01 Trutnov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38F8178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9226459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7215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A96066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C0674">
        <w:rPr>
          <w:rFonts w:ascii="Arial" w:hAnsi="Arial" w:cs="Arial"/>
          <w:b/>
          <w:bCs/>
          <w:sz w:val="22"/>
          <w:szCs w:val="22"/>
        </w:rPr>
        <w:t>99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1FDC2F7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C0674">
        <w:rPr>
          <w:rFonts w:ascii="Arial" w:hAnsi="Arial" w:cs="Arial"/>
          <w:b/>
          <w:sz w:val="22"/>
          <w:szCs w:val="22"/>
        </w:rPr>
        <w:t>969,00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FD0730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2D44CB"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95.931,-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4EAAA2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</w:t>
      </w:r>
      <w:r w:rsidR="002D44CB">
        <w:rPr>
          <w:rFonts w:ascii="Arial" w:hAnsi="Arial" w:cs="Arial"/>
          <w:b/>
          <w:sz w:val="22"/>
          <w:szCs w:val="22"/>
          <w:u w:val="single"/>
        </w:rPr>
        <w:t xml:space="preserve"> 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D44CB" w:rsidRPr="002D44CB">
        <w:rPr>
          <w:rFonts w:ascii="Helvetica-Bold" w:eastAsiaTheme="minorHAnsi" w:hAnsi="Helvetica-Bold" w:cs="Helvetica-Bold"/>
          <w:b/>
          <w:bCs/>
          <w:sz w:val="22"/>
          <w:szCs w:val="22"/>
          <w:u w:val="single"/>
          <w:lang w:eastAsia="en-US"/>
        </w:rPr>
        <w:t>20.145,51</w:t>
      </w:r>
      <w:r w:rsidR="002D44CB" w:rsidRPr="002D44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44CB">
        <w:rPr>
          <w:rFonts w:ascii="Arial" w:hAnsi="Arial" w:cs="Arial"/>
          <w:b/>
          <w:sz w:val="22"/>
          <w:szCs w:val="22"/>
          <w:u w:val="single"/>
        </w:rPr>
        <w:t>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389D2AE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D44CB" w:rsidRPr="002D44CB">
        <w:rPr>
          <w:rFonts w:ascii="Arial" w:hAnsi="Arial" w:cs="Arial"/>
          <w:b/>
          <w:sz w:val="22"/>
          <w:szCs w:val="22"/>
          <w:u w:val="double"/>
        </w:rPr>
        <w:t>116.076,51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D46C10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16930">
        <w:rPr>
          <w:rFonts w:ascii="Arial" w:hAnsi="Arial" w:cs="Arial"/>
          <w:sz w:val="22"/>
          <w:szCs w:val="22"/>
        </w:rPr>
        <w:t>Trutnov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31537">
        <w:rPr>
          <w:rFonts w:ascii="Arial" w:hAnsi="Arial" w:cs="Arial"/>
          <w:sz w:val="22"/>
          <w:szCs w:val="22"/>
        </w:rPr>
        <w:t xml:space="preserve">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EC307F">
        <w:rPr>
          <w:rFonts w:ascii="Arial" w:hAnsi="Arial" w:cs="Arial"/>
          <w:b/>
          <w:snapToGrid w:val="0"/>
          <w:sz w:val="22"/>
          <w:szCs w:val="22"/>
        </w:rPr>
        <w:lastRenderedPageBreak/>
        <w:t>Královéhradecký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EC307F">
        <w:rPr>
          <w:rFonts w:ascii="Arial" w:hAnsi="Arial" w:cs="Arial"/>
          <w:b/>
          <w:snapToGrid w:val="0"/>
          <w:sz w:val="22"/>
          <w:szCs w:val="22"/>
        </w:rPr>
        <w:t>Trutnov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C307F">
        <w:rPr>
          <w:rFonts w:ascii="Arial" w:hAnsi="Arial" w:cs="Arial"/>
          <w:snapToGrid w:val="0"/>
          <w:sz w:val="22"/>
          <w:szCs w:val="22"/>
        </w:rPr>
        <w:t xml:space="preserve"> Horská 5, 541 01 Trutnov.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B74022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34A6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34A66">
        <w:rPr>
          <w:rFonts w:ascii="Arial" w:hAnsi="Arial" w:cs="Arial"/>
          <w:sz w:val="22"/>
          <w:szCs w:val="22"/>
        </w:rPr>
        <w:t xml:space="preserve"> Trutnov</w:t>
      </w:r>
      <w:r w:rsidR="00B40076">
        <w:rPr>
          <w:rFonts w:ascii="Arial" w:hAnsi="Arial" w:cs="Arial"/>
          <w:sz w:val="22"/>
          <w:szCs w:val="22"/>
        </w:rPr>
        <w:t xml:space="preserve"> a Příloha č. 2 – mapový zákres.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A0F4D7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D44CB" w:rsidRPr="002D44CB">
        <w:rPr>
          <w:rFonts w:ascii="Arial" w:hAnsi="Arial" w:cs="Arial"/>
          <w:b/>
          <w:bCs/>
          <w:sz w:val="22"/>
          <w:szCs w:val="22"/>
        </w:rPr>
        <w:t>Ing. Mgr. Hana Vanclová</w:t>
      </w:r>
    </w:p>
    <w:p w14:paraId="0780E320" w14:textId="4CC130B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C7CF8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D44CB">
        <w:rPr>
          <w:rFonts w:ascii="Arial" w:hAnsi="Arial" w:cs="Arial"/>
          <w:sz w:val="22"/>
          <w:szCs w:val="22"/>
        </w:rPr>
        <w:t xml:space="preserve">Nová Ves </w:t>
      </w:r>
      <w:proofErr w:type="gramStart"/>
      <w:r w:rsidR="002D44CB">
        <w:rPr>
          <w:rFonts w:ascii="Arial" w:hAnsi="Arial" w:cs="Arial"/>
          <w:sz w:val="22"/>
          <w:szCs w:val="22"/>
        </w:rPr>
        <w:t>I - Ohrada</w:t>
      </w:r>
      <w:proofErr w:type="gramEnd"/>
    </w:p>
    <w:p w14:paraId="275FAE40" w14:textId="6A8752EE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7637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15.9.2025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57151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                </w:t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F102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12.9.2025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3A1F1B86" w14:textId="02DA06B4" w:rsidR="001F0812" w:rsidRDefault="009A6805" w:rsidP="001F0812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Lázňovský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1F0812">
        <w:rPr>
          <w:rFonts w:ascii="Arial" w:hAnsi="Arial" w:cs="Arial"/>
          <w:sz w:val="22"/>
          <w:szCs w:val="22"/>
        </w:rPr>
        <w:tab/>
      </w:r>
      <w:r w:rsidR="001F0812">
        <w:rPr>
          <w:rFonts w:ascii="Helvetica" w:eastAsiaTheme="minorHAnsi" w:hAnsi="Helvetica" w:cs="Helvetica"/>
          <w:sz w:val="22"/>
          <w:szCs w:val="22"/>
          <w:lang w:eastAsia="en-US"/>
        </w:rPr>
        <w:t>Ing. Mgr. Hana Vanclová</w:t>
      </w:r>
      <w:r w:rsidR="001F0812">
        <w:rPr>
          <w:rFonts w:ascii="Arial" w:hAnsi="Arial" w:cs="Arial"/>
          <w:sz w:val="22"/>
          <w:szCs w:val="22"/>
        </w:rPr>
        <w:t xml:space="preserve"> </w:t>
      </w:r>
    </w:p>
    <w:p w14:paraId="1F5A5897" w14:textId="0AC81D77" w:rsidR="00BB303E" w:rsidRPr="00014665" w:rsidRDefault="009A6805" w:rsidP="001F0812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</w:t>
      </w:r>
      <w:r w:rsidR="00C174CF">
        <w:rPr>
          <w:rFonts w:ascii="Arial" w:hAnsi="Arial" w:cs="Arial"/>
          <w:sz w:val="22"/>
          <w:szCs w:val="22"/>
        </w:rPr>
        <w:t xml:space="preserve"> úřadu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 </w:t>
      </w:r>
    </w:p>
    <w:bookmarkEnd w:id="1"/>
    <w:p w14:paraId="6E0FC991" w14:textId="29FC4660" w:rsidR="00C15359" w:rsidRDefault="00C174CF" w:rsidP="00BC7CF8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 Královéhradecký kraj</w:t>
      </w:r>
    </w:p>
    <w:p w14:paraId="6F402574" w14:textId="6D032DA6" w:rsidR="00C174CF" w:rsidRDefault="00C174CF" w:rsidP="00BC7CF8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Státní pozemkový úřad</w:t>
      </w:r>
    </w:p>
    <w:p w14:paraId="535C7FB4" w14:textId="77777777" w:rsidR="00BC7CF8" w:rsidRPr="00014665" w:rsidRDefault="00BC7CF8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22CB5600" w:rsidR="008B50BB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B40076">
        <w:rPr>
          <w:rFonts w:ascii="Arial" w:hAnsi="Arial" w:cs="Arial"/>
          <w:sz w:val="22"/>
          <w:szCs w:val="22"/>
        </w:rPr>
        <w:t>mapový zákres</w:t>
      </w:r>
    </w:p>
    <w:p w14:paraId="0A9E8A21" w14:textId="77777777" w:rsidR="00154C27" w:rsidRDefault="00154C2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B8850A" w14:textId="77777777" w:rsidR="00154C27" w:rsidRDefault="00154C2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701"/>
        <w:gridCol w:w="1385"/>
        <w:gridCol w:w="503"/>
        <w:gridCol w:w="485"/>
        <w:gridCol w:w="146"/>
        <w:gridCol w:w="146"/>
      </w:tblGrid>
      <w:tr w:rsidR="00154C27" w:rsidRPr="00154C27" w14:paraId="47DFEF11" w14:textId="77777777" w:rsidTr="00154C27">
        <w:trPr>
          <w:trHeight w:val="30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71B5" w14:textId="77777777" w:rsidR="00154C27" w:rsidRPr="00154C27" w:rsidRDefault="00154C27" w:rsidP="00154C2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PŘÍLOHA č. 1 - seznam vytyčovaných pozemků</w:t>
            </w:r>
          </w:p>
        </w:tc>
      </w:tr>
      <w:tr w:rsidR="00154C27" w:rsidRPr="00154C27" w14:paraId="5C6FBFEB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F7F" w14:textId="77777777" w:rsidR="00154C27" w:rsidRPr="00154C27" w:rsidRDefault="00154C27" w:rsidP="00154C2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108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BCF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EC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8F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CCC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5D6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9068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3F97F38" w14:textId="77777777" w:rsidTr="00154C27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87E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B4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728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5F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AD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EF6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A2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069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02B564D8" w14:textId="77777777" w:rsidTr="00154C27">
        <w:trPr>
          <w:trHeight w:val="31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41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79A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E8B9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F7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1AF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BD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D8D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F0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7FB76AE0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8C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DD5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8C1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1E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1A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2AE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8D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C92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75DDB77B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CC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6AF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AD05F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A3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F15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994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A8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0A6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41C324EA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50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3B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EA3F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9BA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877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E1F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0B3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027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36E78A88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4F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1E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AC54A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6E7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A91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AE3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C81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7B5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2DD7206D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4E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3E5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E773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A8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97C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34C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32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AB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23DAD160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CE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D4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F0D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66D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CB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59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848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784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63396FAD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F5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0A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CF0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BCC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DC3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F85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4C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4D7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3420E809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3B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B9B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F301F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26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46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AD7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000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FD2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57AB5DCE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87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30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1E32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08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039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A8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EC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65A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08F2711F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32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D6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A773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C27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EB3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CE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F35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262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6A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CE9E468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8E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43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7DB4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143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C77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90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AF3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54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799E721F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D8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E2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8E74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9EB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D0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8EB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44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58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1084722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FE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4E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662E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C0A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34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50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DB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B3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3E823561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CE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A3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DFE7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2E2A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E2A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72B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F7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AF9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87C5389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83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97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304D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CC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1F2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60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436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E81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54C99345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37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A7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6D1B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21D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26D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FC3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819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22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0ADEB34B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96B5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305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E7BC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6FF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51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322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ABA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43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5801EDA6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D2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81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94F8A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DA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5CC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2D5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1D6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A8A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42855BCC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DCE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34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F6BB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FDC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D0B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FE2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AE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59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63556A15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8A5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D37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1484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3E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1B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481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561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7D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0FBF031D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F2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70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E98C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935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FB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B9C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43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796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4FD4A8F4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71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DB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053FA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594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C48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AE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FA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6A9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0B5B090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10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Čermná v Krkonoších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14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67D3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75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7B4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8BA" w14:textId="77777777" w:rsidR="00154C27" w:rsidRPr="00154C27" w:rsidRDefault="00154C27" w:rsidP="00154C27">
            <w:pPr>
              <w:spacing w:before="0"/>
              <w:ind w:left="-827" w:right="34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C439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919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639F6AAF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6F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Radeč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37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AEFA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05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F8E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30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94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A8D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39C6A2E7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B91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Radeč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179F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8033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D6E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7D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7C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BA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D2B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08574DA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4B7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Radeč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C0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8396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35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11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297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AE38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B1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78E56B9F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6B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Radeč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B2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27805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13E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F0B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B2F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36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371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2C01BAC1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E1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Doubravice u Dvora Králové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A7F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D48A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906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BCC6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97E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EE2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CF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2D52B593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FF9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Vilantice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6B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6627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27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12D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EFD7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ADA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90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4315B9FB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EC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Vilantice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97D2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629FB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21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96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BCBB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182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E7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5481BFD8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15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Vilantice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AA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969D3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861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E4CC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CEA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FFC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970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19C7C25E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95D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Dubenec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AB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30FB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D6E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39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59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DEF2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BBE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24B41DB9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DE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Dubenec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11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D7084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7981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5F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BE2F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1EC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43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0DC9671B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09D7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Dubenec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975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9EADE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069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99D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39DA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FE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0A1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72161381" w14:textId="77777777" w:rsidTr="00154C27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618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Dubenec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B6F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A7B50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A2AC" w14:textId="77777777" w:rsidR="00154C27" w:rsidRPr="00154C27" w:rsidRDefault="00154C27" w:rsidP="00154C2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8F02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F035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E8BD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91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  <w:tr w:rsidR="00154C27" w:rsidRPr="00154C27" w14:paraId="31FF0003" w14:textId="77777777" w:rsidTr="00154C2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16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7F6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E205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91A3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006C" w14:textId="77777777" w:rsidR="00154C27" w:rsidRPr="00154C27" w:rsidRDefault="00154C27" w:rsidP="00154C27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D96C" w14:textId="77777777" w:rsidR="00154C27" w:rsidRPr="00154C27" w:rsidRDefault="00154C27" w:rsidP="00154C27">
            <w:pPr>
              <w:spacing w:before="0"/>
              <w:ind w:left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54C27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1D4" w14:textId="77777777" w:rsidR="00154C27" w:rsidRPr="00154C27" w:rsidRDefault="00154C27" w:rsidP="00154C27">
            <w:pPr>
              <w:spacing w:before="0"/>
              <w:ind w:left="0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154" w14:textId="77777777" w:rsidR="00154C27" w:rsidRPr="00154C27" w:rsidRDefault="00154C27" w:rsidP="00154C27">
            <w:pPr>
              <w:spacing w:before="0"/>
              <w:ind w:left="0"/>
              <w:jc w:val="left"/>
            </w:pPr>
          </w:p>
        </w:tc>
      </w:tr>
    </w:tbl>
    <w:p w14:paraId="68BB7AA7" w14:textId="77777777" w:rsidR="00154C27" w:rsidRDefault="00154C2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6E91B6E" w14:textId="77777777" w:rsidR="008A0572" w:rsidRDefault="008A057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41FC66F" w14:textId="77777777" w:rsidR="008A0572" w:rsidRDefault="008A057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747FA69" w14:textId="77777777" w:rsidR="008A0572" w:rsidRDefault="008A057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FB43617" w14:textId="77777777" w:rsidR="004F2763" w:rsidRPr="004F2763" w:rsidRDefault="004F2763" w:rsidP="004F2763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F2763">
        <w:rPr>
          <w:rFonts w:ascii="Arial" w:hAnsi="Arial" w:cs="Arial"/>
          <w:b/>
          <w:bCs/>
          <w:sz w:val="22"/>
          <w:szCs w:val="22"/>
        </w:rPr>
        <w:lastRenderedPageBreak/>
        <w:t>Příloha č. 2 – mapový zákres</w:t>
      </w:r>
    </w:p>
    <w:p w14:paraId="36161C3C" w14:textId="77777777" w:rsidR="004F2763" w:rsidRDefault="004F2763" w:rsidP="004F276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E5A9C9" w14:textId="37CFB316" w:rsidR="004F2763" w:rsidRPr="004F2763" w:rsidRDefault="004F2763" w:rsidP="004F276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Na základě § 3 odst. 2 písm. b) zákona č. 340/2015 Sb., ve znění pozdějších předpisů se na</w:t>
      </w:r>
    </w:p>
    <w:p w14:paraId="3FD164E0" w14:textId="46AF4FC6" w:rsidR="008A0572" w:rsidRPr="004F2763" w:rsidRDefault="004F2763" w:rsidP="004F2763">
      <w:pPr>
        <w:spacing w:before="0"/>
        <w:ind w:left="0"/>
        <w:rPr>
          <w:rFonts w:ascii="Arial" w:hAnsi="Arial" w:cs="Arial"/>
          <w:sz w:val="22"/>
          <w:szCs w:val="22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Přílohu č. 2 vztahuje výjimka z povinnosti uveřejnění.</w:t>
      </w:r>
    </w:p>
    <w:sectPr w:rsidR="008A0572" w:rsidRPr="004F2763" w:rsidSect="00A109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D78E" w14:textId="77777777" w:rsidR="000D73A1" w:rsidRDefault="000D73A1" w:rsidP="003C2E23">
      <w:pPr>
        <w:spacing w:before="0"/>
      </w:pPr>
      <w:r>
        <w:separator/>
      </w:r>
    </w:p>
  </w:endnote>
  <w:endnote w:type="continuationSeparator" w:id="0">
    <w:p w14:paraId="3DDFB0E3" w14:textId="77777777" w:rsidR="000D73A1" w:rsidRDefault="000D73A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63EF" w14:textId="77777777" w:rsidR="00F8708F" w:rsidRDefault="00F870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EAA1" w14:textId="77777777" w:rsidR="00F8708F" w:rsidRDefault="00F87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130E" w14:textId="77777777" w:rsidR="000D73A1" w:rsidRDefault="000D73A1" w:rsidP="003C2E23">
      <w:pPr>
        <w:spacing w:before="0"/>
      </w:pPr>
      <w:r>
        <w:separator/>
      </w:r>
    </w:p>
  </w:footnote>
  <w:footnote w:type="continuationSeparator" w:id="0">
    <w:p w14:paraId="7017DF21" w14:textId="77777777" w:rsidR="000D73A1" w:rsidRDefault="000D73A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9F5" w14:textId="77777777" w:rsidR="00F8708F" w:rsidRDefault="00F870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0F32F6E" w:rsidR="00FF0C21" w:rsidRPr="00931473" w:rsidRDefault="00931473" w:rsidP="00931473">
    <w:pPr>
      <w:pStyle w:val="Zhlav"/>
    </w:pPr>
    <w:r w:rsidRPr="00931473">
      <w:rPr>
        <w:rFonts w:ascii="Arial" w:hAnsi="Arial" w:cs="Arial"/>
        <w:sz w:val="16"/>
        <w:szCs w:val="16"/>
      </w:rPr>
      <w:t>Vytyčení pozemků v k.ú. Čermná v Krkonoších, Doubravice u Dvora Králové, Dubenec, Radeč, Vilantice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C972952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8708F">
      <w:rPr>
        <w:rFonts w:ascii="Arial" w:hAnsi="Arial" w:cs="Arial"/>
        <w:sz w:val="16"/>
        <w:szCs w:val="16"/>
      </w:rPr>
      <w:t>934</w:t>
    </w:r>
    <w:r w:rsidR="00A71F43">
      <w:rPr>
        <w:rFonts w:ascii="Arial" w:hAnsi="Arial" w:cs="Arial"/>
        <w:sz w:val="16"/>
        <w:szCs w:val="16"/>
      </w:rPr>
      <w:t>-2025-514205</w:t>
    </w:r>
    <w:r w:rsidRPr="00FF7DBF">
      <w:rPr>
        <w:rFonts w:ascii="Arial" w:hAnsi="Arial" w:cs="Arial"/>
        <w:sz w:val="16"/>
        <w:szCs w:val="16"/>
      </w:rPr>
      <w:tab/>
    </w:r>
  </w:p>
  <w:p w14:paraId="4855AD84" w14:textId="0379DC30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3918D3">
      <w:rPr>
        <w:rFonts w:ascii="Arial" w:hAnsi="Arial" w:cs="Arial"/>
        <w:sz w:val="16"/>
        <w:szCs w:val="16"/>
      </w:rPr>
      <w:t xml:space="preserve">: </w:t>
    </w:r>
    <w:r w:rsidR="003918D3" w:rsidRPr="003918D3">
      <w:rPr>
        <w:rFonts w:ascii="Arial" w:hAnsi="Arial" w:cs="Arial"/>
        <w:sz w:val="16"/>
        <w:szCs w:val="16"/>
      </w:rPr>
      <w:t>spudms00000015935956</w:t>
    </w:r>
  </w:p>
  <w:p w14:paraId="12A62E41" w14:textId="5DFE277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A71F43">
      <w:rPr>
        <w:rFonts w:ascii="Arial" w:hAnsi="Arial" w:cs="Arial"/>
        <w:sz w:val="16"/>
        <w:szCs w:val="16"/>
      </w:rPr>
      <w:t xml:space="preserve"> 40</w:t>
    </w:r>
    <w:r w:rsidRPr="00FF7DBF">
      <w:rPr>
        <w:rFonts w:ascii="Arial" w:hAnsi="Arial" w:cs="Arial"/>
        <w:sz w:val="16"/>
        <w:szCs w:val="16"/>
      </w:rPr>
      <w:tab/>
    </w:r>
  </w:p>
  <w:p w14:paraId="0C492D63" w14:textId="32AA39E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</w:t>
    </w:r>
    <w:r w:rsidR="00702284">
      <w:rPr>
        <w:rFonts w:ascii="Arial" w:hAnsi="Arial" w:cs="Arial"/>
        <w:sz w:val="16"/>
        <w:szCs w:val="16"/>
      </w:rPr>
      <w:t xml:space="preserve">v k.ú. Čermná v Krkonoších, Doubravice u Dvora Králové, </w:t>
    </w:r>
    <w:r w:rsidR="009A7DE9">
      <w:rPr>
        <w:rFonts w:ascii="Arial" w:hAnsi="Arial" w:cs="Arial"/>
        <w:sz w:val="16"/>
        <w:szCs w:val="16"/>
      </w:rPr>
      <w:t>Dubenec, Radeč, Vilantice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4F8"/>
    <w:rsid w:val="0002130A"/>
    <w:rsid w:val="0002251A"/>
    <w:rsid w:val="00022CF5"/>
    <w:rsid w:val="000304D9"/>
    <w:rsid w:val="00032DA2"/>
    <w:rsid w:val="00034E93"/>
    <w:rsid w:val="000530CF"/>
    <w:rsid w:val="0005660E"/>
    <w:rsid w:val="00056659"/>
    <w:rsid w:val="00056CFB"/>
    <w:rsid w:val="00057F1D"/>
    <w:rsid w:val="0006017D"/>
    <w:rsid w:val="00065233"/>
    <w:rsid w:val="0006730A"/>
    <w:rsid w:val="00072627"/>
    <w:rsid w:val="00072757"/>
    <w:rsid w:val="000804E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0674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D73A1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62C"/>
    <w:rsid w:val="00143FA2"/>
    <w:rsid w:val="00144CBF"/>
    <w:rsid w:val="00145065"/>
    <w:rsid w:val="00147577"/>
    <w:rsid w:val="0015097E"/>
    <w:rsid w:val="00154C27"/>
    <w:rsid w:val="00155A3E"/>
    <w:rsid w:val="001572AB"/>
    <w:rsid w:val="00157D1A"/>
    <w:rsid w:val="00161189"/>
    <w:rsid w:val="00163AEF"/>
    <w:rsid w:val="00166DEE"/>
    <w:rsid w:val="00167941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A5F59"/>
    <w:rsid w:val="001B0CE6"/>
    <w:rsid w:val="001B10F6"/>
    <w:rsid w:val="001B7512"/>
    <w:rsid w:val="001C05F9"/>
    <w:rsid w:val="001D05E9"/>
    <w:rsid w:val="001D68A1"/>
    <w:rsid w:val="001E3DAD"/>
    <w:rsid w:val="001E40FB"/>
    <w:rsid w:val="001E4440"/>
    <w:rsid w:val="001E638F"/>
    <w:rsid w:val="001E785D"/>
    <w:rsid w:val="001F0812"/>
    <w:rsid w:val="001F0AAC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6A8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44CB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30A"/>
    <w:rsid w:val="00327747"/>
    <w:rsid w:val="00340BE7"/>
    <w:rsid w:val="0034297B"/>
    <w:rsid w:val="0034343F"/>
    <w:rsid w:val="00345D17"/>
    <w:rsid w:val="00352AAA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046B"/>
    <w:rsid w:val="0038133B"/>
    <w:rsid w:val="00383E83"/>
    <w:rsid w:val="00385DC6"/>
    <w:rsid w:val="003918D3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1C79"/>
    <w:rsid w:val="00406B4F"/>
    <w:rsid w:val="00406BA3"/>
    <w:rsid w:val="004078C7"/>
    <w:rsid w:val="00411B27"/>
    <w:rsid w:val="00411C69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4A66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6735F"/>
    <w:rsid w:val="00472C74"/>
    <w:rsid w:val="00473FE6"/>
    <w:rsid w:val="004753AE"/>
    <w:rsid w:val="00477C19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21F8"/>
    <w:rsid w:val="004B31E9"/>
    <w:rsid w:val="004B7CA2"/>
    <w:rsid w:val="004C0066"/>
    <w:rsid w:val="004C0AB2"/>
    <w:rsid w:val="004C0BB1"/>
    <w:rsid w:val="004C3487"/>
    <w:rsid w:val="004C6C5E"/>
    <w:rsid w:val="004D27D5"/>
    <w:rsid w:val="004D4F64"/>
    <w:rsid w:val="004D5973"/>
    <w:rsid w:val="004D6D49"/>
    <w:rsid w:val="004D781B"/>
    <w:rsid w:val="004E3851"/>
    <w:rsid w:val="004E40BD"/>
    <w:rsid w:val="004E5957"/>
    <w:rsid w:val="004E7340"/>
    <w:rsid w:val="004E735D"/>
    <w:rsid w:val="004F102A"/>
    <w:rsid w:val="004F2344"/>
    <w:rsid w:val="004F2763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B0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63FAB"/>
    <w:rsid w:val="00571519"/>
    <w:rsid w:val="005729A1"/>
    <w:rsid w:val="00572A16"/>
    <w:rsid w:val="005755B2"/>
    <w:rsid w:val="0058121A"/>
    <w:rsid w:val="005835D7"/>
    <w:rsid w:val="00584CAC"/>
    <w:rsid w:val="00584E24"/>
    <w:rsid w:val="00593A97"/>
    <w:rsid w:val="00595B77"/>
    <w:rsid w:val="00596CCA"/>
    <w:rsid w:val="00597AAD"/>
    <w:rsid w:val="005A0078"/>
    <w:rsid w:val="005A109E"/>
    <w:rsid w:val="005A2DA1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2D7F"/>
    <w:rsid w:val="005E0F42"/>
    <w:rsid w:val="005E362D"/>
    <w:rsid w:val="005E4A68"/>
    <w:rsid w:val="005F38B8"/>
    <w:rsid w:val="005F4DB0"/>
    <w:rsid w:val="00600BC1"/>
    <w:rsid w:val="00610F2F"/>
    <w:rsid w:val="006111A5"/>
    <w:rsid w:val="0061170B"/>
    <w:rsid w:val="00613A2F"/>
    <w:rsid w:val="00626C53"/>
    <w:rsid w:val="00632F9C"/>
    <w:rsid w:val="006344F1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2284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7A42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595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225C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133F"/>
    <w:rsid w:val="008121B0"/>
    <w:rsid w:val="00812748"/>
    <w:rsid w:val="008131AD"/>
    <w:rsid w:val="00815B19"/>
    <w:rsid w:val="00817582"/>
    <w:rsid w:val="008206C6"/>
    <w:rsid w:val="008211F8"/>
    <w:rsid w:val="00822F4C"/>
    <w:rsid w:val="00825CE3"/>
    <w:rsid w:val="00825EB6"/>
    <w:rsid w:val="00827422"/>
    <w:rsid w:val="00831524"/>
    <w:rsid w:val="00831940"/>
    <w:rsid w:val="008345B9"/>
    <w:rsid w:val="008427B4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56F3"/>
    <w:rsid w:val="00897473"/>
    <w:rsid w:val="008A0572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328"/>
    <w:rsid w:val="008F15CC"/>
    <w:rsid w:val="008F51AE"/>
    <w:rsid w:val="008F5F5B"/>
    <w:rsid w:val="008F7CE8"/>
    <w:rsid w:val="008F7E74"/>
    <w:rsid w:val="0090165D"/>
    <w:rsid w:val="0091090C"/>
    <w:rsid w:val="00910DD9"/>
    <w:rsid w:val="0091238B"/>
    <w:rsid w:val="009123B4"/>
    <w:rsid w:val="0091285C"/>
    <w:rsid w:val="00921016"/>
    <w:rsid w:val="00921728"/>
    <w:rsid w:val="00926421"/>
    <w:rsid w:val="00931473"/>
    <w:rsid w:val="00937914"/>
    <w:rsid w:val="00941C2E"/>
    <w:rsid w:val="009427AC"/>
    <w:rsid w:val="009457EA"/>
    <w:rsid w:val="0095212B"/>
    <w:rsid w:val="00956A45"/>
    <w:rsid w:val="009574D7"/>
    <w:rsid w:val="00957761"/>
    <w:rsid w:val="009577A2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869DD"/>
    <w:rsid w:val="00993230"/>
    <w:rsid w:val="009A250C"/>
    <w:rsid w:val="009A31A6"/>
    <w:rsid w:val="009A6805"/>
    <w:rsid w:val="009A7DE9"/>
    <w:rsid w:val="009B371D"/>
    <w:rsid w:val="009B4DC6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482F"/>
    <w:rsid w:val="00A16930"/>
    <w:rsid w:val="00A21ECB"/>
    <w:rsid w:val="00A22F20"/>
    <w:rsid w:val="00A245BA"/>
    <w:rsid w:val="00A269F7"/>
    <w:rsid w:val="00A30CA7"/>
    <w:rsid w:val="00A3153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1F43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3818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347E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7D1A"/>
    <w:rsid w:val="00B2052C"/>
    <w:rsid w:val="00B24ADF"/>
    <w:rsid w:val="00B24B48"/>
    <w:rsid w:val="00B2624E"/>
    <w:rsid w:val="00B26FC9"/>
    <w:rsid w:val="00B33054"/>
    <w:rsid w:val="00B33B52"/>
    <w:rsid w:val="00B40076"/>
    <w:rsid w:val="00B40096"/>
    <w:rsid w:val="00B467FB"/>
    <w:rsid w:val="00B46CDB"/>
    <w:rsid w:val="00B50728"/>
    <w:rsid w:val="00B51C4C"/>
    <w:rsid w:val="00B5735E"/>
    <w:rsid w:val="00B5778D"/>
    <w:rsid w:val="00B649BB"/>
    <w:rsid w:val="00B654CB"/>
    <w:rsid w:val="00B66224"/>
    <w:rsid w:val="00B721A9"/>
    <w:rsid w:val="00B7660C"/>
    <w:rsid w:val="00B768A0"/>
    <w:rsid w:val="00B76B92"/>
    <w:rsid w:val="00B817EB"/>
    <w:rsid w:val="00B8444D"/>
    <w:rsid w:val="00B90274"/>
    <w:rsid w:val="00B915F2"/>
    <w:rsid w:val="00B91F41"/>
    <w:rsid w:val="00B9310B"/>
    <w:rsid w:val="00B93C9A"/>
    <w:rsid w:val="00B9585D"/>
    <w:rsid w:val="00BA0D35"/>
    <w:rsid w:val="00BA2889"/>
    <w:rsid w:val="00BA3D97"/>
    <w:rsid w:val="00BA50E2"/>
    <w:rsid w:val="00BA6F0A"/>
    <w:rsid w:val="00BA715F"/>
    <w:rsid w:val="00BB156E"/>
    <w:rsid w:val="00BB303E"/>
    <w:rsid w:val="00BB6D6B"/>
    <w:rsid w:val="00BC6261"/>
    <w:rsid w:val="00BC6A31"/>
    <w:rsid w:val="00BC6F9C"/>
    <w:rsid w:val="00BC7CF8"/>
    <w:rsid w:val="00BD4F5D"/>
    <w:rsid w:val="00BE0C70"/>
    <w:rsid w:val="00BE19D8"/>
    <w:rsid w:val="00BE3533"/>
    <w:rsid w:val="00BE3B44"/>
    <w:rsid w:val="00BF016F"/>
    <w:rsid w:val="00BF0628"/>
    <w:rsid w:val="00BF373E"/>
    <w:rsid w:val="00C05583"/>
    <w:rsid w:val="00C1256C"/>
    <w:rsid w:val="00C15359"/>
    <w:rsid w:val="00C174CF"/>
    <w:rsid w:val="00C2000D"/>
    <w:rsid w:val="00C246A4"/>
    <w:rsid w:val="00C30AB8"/>
    <w:rsid w:val="00C323A0"/>
    <w:rsid w:val="00C32683"/>
    <w:rsid w:val="00C34013"/>
    <w:rsid w:val="00C3461E"/>
    <w:rsid w:val="00C37EC2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15E"/>
    <w:rsid w:val="00C83BFD"/>
    <w:rsid w:val="00C863D8"/>
    <w:rsid w:val="00C8787C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CC1"/>
    <w:rsid w:val="00CD255B"/>
    <w:rsid w:val="00CD4A3B"/>
    <w:rsid w:val="00CD5389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040"/>
    <w:rsid w:val="00D07C20"/>
    <w:rsid w:val="00D12161"/>
    <w:rsid w:val="00D12C22"/>
    <w:rsid w:val="00D16CCC"/>
    <w:rsid w:val="00D172A1"/>
    <w:rsid w:val="00D25D12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7637F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3F3C"/>
    <w:rsid w:val="00DC4D21"/>
    <w:rsid w:val="00DD0836"/>
    <w:rsid w:val="00DD11F4"/>
    <w:rsid w:val="00DD23A8"/>
    <w:rsid w:val="00DD5D8D"/>
    <w:rsid w:val="00DE57F2"/>
    <w:rsid w:val="00DE718A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1F24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307F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6CB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708F"/>
    <w:rsid w:val="00F91836"/>
    <w:rsid w:val="00F922E7"/>
    <w:rsid w:val="00F92935"/>
    <w:rsid w:val="00F933CD"/>
    <w:rsid w:val="00F9412A"/>
    <w:rsid w:val="00F9783F"/>
    <w:rsid w:val="00FB0298"/>
    <w:rsid w:val="00FB03D1"/>
    <w:rsid w:val="00FB2675"/>
    <w:rsid w:val="00FB28EB"/>
    <w:rsid w:val="00FB6FC9"/>
    <w:rsid w:val="00FC174A"/>
    <w:rsid w:val="00FD2D51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763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nclova@promapy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trutnov.pk@sp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5142</Words>
  <Characters>30343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Hájková Petra Mgr.</cp:lastModifiedBy>
  <cp:revision>82</cp:revision>
  <cp:lastPrinted>2019-05-02T06:41:00Z</cp:lastPrinted>
  <dcterms:created xsi:type="dcterms:W3CDTF">2025-08-20T13:27:00Z</dcterms:created>
  <dcterms:modified xsi:type="dcterms:W3CDTF">2025-09-26T10:46:00Z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</Properties>
</file>