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16E8DB67" w14:textId="41118A3D" w:rsidR="00E95CD0" w:rsidRPr="00E95CD0" w:rsidRDefault="00E95CD0" w:rsidP="00CA3B01">
      <w:pPr>
        <w:pStyle w:val="Nzev"/>
        <w:rPr>
          <w:rFonts w:cs="Arial"/>
          <w:bCs/>
          <w:color w:val="auto"/>
          <w:kern w:val="28"/>
          <w:szCs w:val="32"/>
          <w:u w:val="single"/>
        </w:rPr>
      </w:pPr>
      <w:r w:rsidRPr="00E95CD0">
        <w:rPr>
          <w:rFonts w:cs="Arial"/>
          <w:bCs/>
          <w:color w:val="auto"/>
          <w:kern w:val="28"/>
          <w:szCs w:val="32"/>
          <w:u w:val="single"/>
        </w:rPr>
        <w:t xml:space="preserve">pro </w:t>
      </w:r>
      <w:proofErr w:type="spellStart"/>
      <w:r w:rsidRPr="00E95CD0">
        <w:rPr>
          <w:rFonts w:cs="Arial"/>
          <w:bCs/>
          <w:color w:val="auto"/>
          <w:kern w:val="28"/>
          <w:szCs w:val="32"/>
          <w:u w:val="single"/>
        </w:rPr>
        <w:t>KoPÚ</w:t>
      </w:r>
      <w:proofErr w:type="spellEnd"/>
      <w:r w:rsidRPr="00E95CD0">
        <w:rPr>
          <w:rFonts w:cs="Arial"/>
          <w:bCs/>
          <w:color w:val="auto"/>
          <w:kern w:val="28"/>
          <w:szCs w:val="32"/>
          <w:u w:val="single"/>
        </w:rPr>
        <w:t xml:space="preserve"> v k. </w:t>
      </w:r>
      <w:proofErr w:type="spellStart"/>
      <w:r w:rsidRPr="00E95CD0">
        <w:rPr>
          <w:rFonts w:cs="Arial"/>
          <w:bCs/>
          <w:color w:val="auto"/>
          <w:kern w:val="28"/>
          <w:szCs w:val="32"/>
          <w:u w:val="single"/>
        </w:rPr>
        <w:t>ú.</w:t>
      </w:r>
      <w:proofErr w:type="spellEnd"/>
      <w:r w:rsidRPr="00E95CD0">
        <w:rPr>
          <w:rFonts w:cs="Arial"/>
          <w:bCs/>
          <w:color w:val="auto"/>
          <w:kern w:val="28"/>
          <w:szCs w:val="32"/>
          <w:u w:val="single"/>
        </w:rPr>
        <w:t xml:space="preserve"> Čeložnice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685605" w:rsidRDefault="005703F9" w:rsidP="00CA3B01">
      <w:pPr>
        <w:pStyle w:val="Nzev"/>
        <w:rPr>
          <w:rFonts w:cs="Arial"/>
          <w:b w:val="0"/>
          <w:color w:val="auto"/>
          <w:kern w:val="28"/>
          <w:sz w:val="12"/>
          <w:szCs w:val="12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30E5A5E5" w14:textId="77777777" w:rsidR="00685605" w:rsidRPr="00685605" w:rsidRDefault="00685605" w:rsidP="00685605">
      <w:pPr>
        <w:tabs>
          <w:tab w:val="left" w:pos="4253"/>
        </w:tabs>
        <w:spacing w:before="0" w:after="0" w:line="240" w:lineRule="auto"/>
        <w:rPr>
          <w:rFonts w:cs="Arial"/>
          <w:bCs/>
          <w:sz w:val="12"/>
          <w:szCs w:val="12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6EAA1C4B" w14:textId="77777777" w:rsidR="00685605" w:rsidRPr="00685605" w:rsidRDefault="00685605" w:rsidP="00685605">
      <w:pPr>
        <w:tabs>
          <w:tab w:val="left" w:pos="4253"/>
        </w:tabs>
        <w:spacing w:before="0" w:after="0" w:line="240" w:lineRule="auto"/>
        <w:rPr>
          <w:rFonts w:cs="Arial"/>
          <w:bCs/>
          <w:sz w:val="12"/>
          <w:szCs w:val="12"/>
        </w:rPr>
      </w:pPr>
    </w:p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5E73D946" w14:textId="77777777" w:rsidR="00685605" w:rsidRPr="00685605" w:rsidRDefault="00685605" w:rsidP="00685605">
      <w:pPr>
        <w:tabs>
          <w:tab w:val="left" w:pos="4253"/>
        </w:tabs>
        <w:spacing w:before="0" w:after="0" w:line="240" w:lineRule="auto"/>
        <w:rPr>
          <w:rFonts w:cs="Arial"/>
          <w:bCs/>
          <w:sz w:val="12"/>
          <w:szCs w:val="12"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</w:t>
      </w:r>
      <w:proofErr w:type="gramStart"/>
      <w:r w:rsidRPr="009966C5">
        <w:rPr>
          <w:rFonts w:cs="Arial"/>
        </w:rPr>
        <w:t>11a</w:t>
      </w:r>
      <w:proofErr w:type="gramEnd"/>
      <w:r w:rsidRPr="009966C5">
        <w:rPr>
          <w:rFonts w:cs="Arial"/>
        </w:rPr>
        <w:t>, 130 00 Praha 3</w:t>
      </w:r>
      <w:bookmarkEnd w:id="0"/>
    </w:p>
    <w:p w14:paraId="2C949005" w14:textId="243B97CE" w:rsidR="00E95CD0" w:rsidRPr="00E95CD0" w:rsidRDefault="00E95CD0" w:rsidP="00E95CD0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E95CD0">
        <w:rPr>
          <w:rFonts w:cs="Arial"/>
          <w:b/>
        </w:rPr>
        <w:t xml:space="preserve">Krajský pozemkový úřad pro Jihomoravský kraj, </w:t>
      </w:r>
      <w:r w:rsidRPr="009966C5">
        <w:rPr>
          <w:rFonts w:cs="Arial"/>
          <w:b/>
        </w:rPr>
        <w:t xml:space="preserve">Pobočka </w:t>
      </w:r>
      <w:r w:rsidRPr="00E95CD0">
        <w:rPr>
          <w:rFonts w:cs="Arial"/>
          <w:b/>
        </w:rPr>
        <w:t>Břeclav, pracoviště Hodonín</w:t>
      </w:r>
    </w:p>
    <w:p w14:paraId="1FB5C1FA" w14:textId="77777777" w:rsidR="00E95CD0" w:rsidRPr="00E95CD0" w:rsidRDefault="00E95CD0" w:rsidP="00E95CD0">
      <w:pPr>
        <w:spacing w:line="280" w:lineRule="exact"/>
        <w:rPr>
          <w:rFonts w:cs="Arial"/>
          <w:b/>
        </w:rPr>
      </w:pPr>
      <w:r w:rsidRPr="00E24120">
        <w:rPr>
          <w:rFonts w:cs="Arial"/>
          <w:b/>
        </w:rPr>
        <w:t>Adresa</w:t>
      </w:r>
      <w:r>
        <w:rPr>
          <w:rFonts w:cs="Arial"/>
          <w:b/>
        </w:rPr>
        <w:t xml:space="preserve"> KPÚ JMK</w:t>
      </w:r>
      <w:r w:rsidRPr="00E24120">
        <w:rPr>
          <w:rFonts w:cs="Arial"/>
          <w:b/>
        </w:rPr>
        <w:t>:</w:t>
      </w:r>
      <w:r w:rsidRPr="00E95CD0">
        <w:rPr>
          <w:rFonts w:cs="Arial"/>
          <w:b/>
        </w:rPr>
        <w:t xml:space="preserve"> </w:t>
      </w:r>
      <w:r w:rsidRPr="00E95CD0">
        <w:rPr>
          <w:rFonts w:cs="Arial"/>
          <w:bCs/>
        </w:rPr>
        <w:t>Hroznová 227/17, 603 00 Brno</w:t>
      </w:r>
    </w:p>
    <w:p w14:paraId="27D2627D" w14:textId="77777777" w:rsidR="00E95CD0" w:rsidRPr="00E24120" w:rsidRDefault="00E95CD0" w:rsidP="00E95CD0">
      <w:pPr>
        <w:spacing w:line="280" w:lineRule="exact"/>
        <w:rPr>
          <w:rFonts w:cs="Arial"/>
          <w:b/>
        </w:rPr>
      </w:pPr>
      <w:r w:rsidRPr="00E24120">
        <w:rPr>
          <w:rFonts w:cs="Arial"/>
          <w:b/>
        </w:rPr>
        <w:t>Adresa</w:t>
      </w:r>
      <w:r>
        <w:rPr>
          <w:rFonts w:cs="Arial"/>
          <w:b/>
        </w:rPr>
        <w:t xml:space="preserve"> Pobočky Břeclav</w:t>
      </w:r>
      <w:r w:rsidRPr="00E24120">
        <w:rPr>
          <w:rFonts w:cs="Arial"/>
          <w:b/>
        </w:rPr>
        <w:t>:</w:t>
      </w:r>
      <w:r w:rsidRPr="00E95CD0">
        <w:rPr>
          <w:rFonts w:cs="Arial"/>
          <w:b/>
        </w:rPr>
        <w:t xml:space="preserve"> </w:t>
      </w:r>
      <w:bookmarkStart w:id="1" w:name="_Hlk204937108"/>
      <w:r w:rsidRPr="00E95CD0">
        <w:rPr>
          <w:rFonts w:cs="Arial"/>
          <w:bCs/>
        </w:rPr>
        <w:t>náměstí T. G. Masaryka 2957/</w:t>
      </w:r>
      <w:proofErr w:type="gramStart"/>
      <w:r w:rsidRPr="00E95CD0">
        <w:rPr>
          <w:rFonts w:cs="Arial"/>
          <w:bCs/>
        </w:rPr>
        <w:t>9a</w:t>
      </w:r>
      <w:proofErr w:type="gramEnd"/>
      <w:r w:rsidRPr="00E95CD0">
        <w:rPr>
          <w:rFonts w:cs="Arial"/>
          <w:bCs/>
        </w:rPr>
        <w:t>, 690 02 Břeclav</w:t>
      </w:r>
      <w:bookmarkEnd w:id="1"/>
    </w:p>
    <w:p w14:paraId="4D191FF7" w14:textId="77777777" w:rsidR="00E95CD0" w:rsidRPr="000A2332" w:rsidRDefault="00E95CD0" w:rsidP="00E95CD0">
      <w:pPr>
        <w:spacing w:line="280" w:lineRule="exact"/>
        <w:rPr>
          <w:rFonts w:cs="Arial"/>
          <w:b/>
        </w:rPr>
      </w:pPr>
      <w:r w:rsidRPr="000A2332">
        <w:rPr>
          <w:rFonts w:cs="Arial"/>
          <w:b/>
        </w:rPr>
        <w:t xml:space="preserve">Adresa pracoviště Hodonín: </w:t>
      </w:r>
      <w:r w:rsidRPr="00E95CD0">
        <w:rPr>
          <w:rFonts w:cs="Arial"/>
          <w:bCs/>
        </w:rPr>
        <w:t>Bratislavská 1/6, 695 01 Hodonín</w:t>
      </w:r>
    </w:p>
    <w:p w14:paraId="57EC164E" w14:textId="77777777" w:rsidR="00E95CD0" w:rsidRPr="00021761" w:rsidRDefault="00E95CD0" w:rsidP="00E95CD0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Lucida Sans Unicode" w:cs="Arial"/>
        </w:rPr>
      </w:pPr>
      <w:bookmarkStart w:id="2" w:name="_Hlk204937040"/>
      <w:r w:rsidRPr="00021761">
        <w:rPr>
          <w:rFonts w:eastAsia="Lucida Sans Unicode" w:cs="Arial"/>
        </w:rPr>
        <w:t xml:space="preserve">zastoupený: </w:t>
      </w:r>
      <w:r w:rsidRPr="006A0E71">
        <w:rPr>
          <w:rFonts w:eastAsia="Lucida Sans Unicode" w:cs="Arial"/>
          <w:b/>
          <w:bCs/>
        </w:rPr>
        <w:t>Ing. et Ing. Luďkem Drápalem, MBA, vedoucím Pobočky Břeclav</w:t>
      </w:r>
      <w:r w:rsidRPr="00E618FD" w:rsidDel="00E618FD">
        <w:rPr>
          <w:rFonts w:eastAsia="Lucida Sans Unicode" w:cs="Arial"/>
          <w:b/>
        </w:rPr>
        <w:t xml:space="preserve"> </w:t>
      </w:r>
    </w:p>
    <w:bookmarkEnd w:id="2"/>
    <w:p w14:paraId="0657EF3D" w14:textId="56E2602D" w:rsidR="000F0124" w:rsidRPr="009966C5" w:rsidRDefault="000F0124" w:rsidP="00685605">
      <w:pPr>
        <w:widowControl w:val="0"/>
        <w:tabs>
          <w:tab w:val="left" w:pos="4536"/>
        </w:tabs>
        <w:suppressAutoHyphens/>
        <w:ind w:left="4536" w:right="-144" w:hanging="4536"/>
        <w:jc w:val="left"/>
        <w:rPr>
          <w:rFonts w:eastAsia="Lucida Sans Unicode" w:cs="Arial"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r w:rsidR="00E95CD0" w:rsidRPr="00296D39">
        <w:rPr>
          <w:rFonts w:cs="Arial"/>
          <w:szCs w:val="22"/>
        </w:rPr>
        <w:t xml:space="preserve">Ing. et Ing. Luděk Drápal, </w:t>
      </w:r>
      <w:proofErr w:type="gramStart"/>
      <w:r w:rsidR="00E95CD0" w:rsidRPr="00296D39">
        <w:rPr>
          <w:rFonts w:cs="Arial"/>
          <w:szCs w:val="22"/>
        </w:rPr>
        <w:t>MBA -</w:t>
      </w:r>
      <w:r w:rsidR="00E95CD0">
        <w:rPr>
          <w:rFonts w:cs="Arial"/>
          <w:szCs w:val="22"/>
        </w:rPr>
        <w:t xml:space="preserve"> </w:t>
      </w:r>
      <w:r w:rsidR="00E95CD0" w:rsidRPr="00296D39">
        <w:rPr>
          <w:rFonts w:cs="Arial"/>
          <w:szCs w:val="22"/>
        </w:rPr>
        <w:t>vedoucí</w:t>
      </w:r>
      <w:proofErr w:type="gramEnd"/>
      <w:r w:rsidR="00E95CD0" w:rsidRPr="00296D39">
        <w:rPr>
          <w:rFonts w:cs="Arial"/>
          <w:szCs w:val="22"/>
        </w:rPr>
        <w:t xml:space="preserve"> </w:t>
      </w:r>
      <w:r w:rsidR="00685605">
        <w:rPr>
          <w:rFonts w:cs="Arial"/>
          <w:szCs w:val="22"/>
        </w:rPr>
        <w:t>p</w:t>
      </w:r>
      <w:r w:rsidR="00E95CD0">
        <w:rPr>
          <w:rFonts w:cs="Arial"/>
          <w:szCs w:val="22"/>
        </w:rPr>
        <w:t>obočky</w:t>
      </w:r>
    </w:p>
    <w:p w14:paraId="7256136E" w14:textId="77777777" w:rsidR="00685605" w:rsidRDefault="000F0124" w:rsidP="00907A1C">
      <w:pPr>
        <w:widowControl w:val="0"/>
        <w:tabs>
          <w:tab w:val="left" w:pos="4536"/>
        </w:tabs>
        <w:suppressAutoHyphens/>
        <w:ind w:left="4536" w:hanging="4536"/>
        <w:rPr>
          <w:rFonts w:eastAsia="Lucida Sans Unicode" w:cs="Arial"/>
          <w:snapToGrid w:val="0"/>
        </w:rPr>
      </w:pPr>
      <w:r w:rsidRPr="009966C5">
        <w:rPr>
          <w:rFonts w:eastAsia="Lucida Sans Unicode" w:cs="Arial"/>
        </w:rPr>
        <w:t xml:space="preserve">v </w:t>
      </w:r>
      <w:r w:rsidRPr="009966C5">
        <w:rPr>
          <w:rFonts w:eastAsia="Lucida Sans Unicode" w:cs="Arial"/>
          <w:snapToGrid w:val="0"/>
        </w:rPr>
        <w:t>technických záležitostech oprávněn jednat:</w:t>
      </w:r>
      <w:r w:rsidRPr="009966C5">
        <w:rPr>
          <w:rFonts w:eastAsia="Lucida Sans Unicode" w:cs="Arial"/>
          <w:snapToGrid w:val="0"/>
        </w:rPr>
        <w:tab/>
      </w:r>
    </w:p>
    <w:p w14:paraId="76819847" w14:textId="39EA734D" w:rsidR="000F0124" w:rsidRDefault="0044679C" w:rsidP="00907A1C">
      <w:pPr>
        <w:widowControl w:val="0"/>
        <w:tabs>
          <w:tab w:val="left" w:pos="4536"/>
        </w:tabs>
        <w:suppressAutoHyphens/>
        <w:ind w:left="4536" w:hanging="4536"/>
        <w:rPr>
          <w:rFonts w:eastAsia="Lucida Sans Unicode" w:cs="Arial"/>
          <w:bCs/>
        </w:rPr>
      </w:pPr>
      <w:r>
        <w:rPr>
          <w:rFonts w:eastAsia="Lucida Sans Unicode" w:cs="Arial"/>
          <w:snapToGrid w:val="0"/>
        </w:rPr>
        <w:t>paní Martina Lindnerová</w:t>
      </w:r>
      <w:r w:rsidRPr="0044679C">
        <w:rPr>
          <w:rFonts w:eastAsia="Lucida Sans Unicode" w:cs="Arial"/>
          <w:bCs/>
        </w:rPr>
        <w:t>, rada Pobočky Břeclav, pracoviště Hodonín</w:t>
      </w:r>
      <w:r>
        <w:rPr>
          <w:rFonts w:eastAsia="Lucida Sans Unicode" w:cs="Arial"/>
          <w:bCs/>
        </w:rPr>
        <w:t xml:space="preserve"> a </w:t>
      </w:r>
    </w:p>
    <w:p w14:paraId="51042213" w14:textId="7A3D57D2" w:rsidR="0044679C" w:rsidRPr="0044679C" w:rsidRDefault="001865F9" w:rsidP="00685605">
      <w:pPr>
        <w:widowControl w:val="0"/>
        <w:tabs>
          <w:tab w:val="left" w:pos="0"/>
        </w:tabs>
        <w:suppressAutoHyphens/>
        <w:jc w:val="left"/>
        <w:rPr>
          <w:rFonts w:eastAsia="Lucida Sans Unicode" w:cs="Arial"/>
          <w:bCs/>
          <w:snapToGrid w:val="0"/>
        </w:rPr>
      </w:pPr>
      <w:proofErr w:type="spellStart"/>
      <w:r>
        <w:rPr>
          <w:rFonts w:eastAsia="Lucida Sans Unicode" w:cs="Arial"/>
          <w:bCs/>
        </w:rPr>
        <w:t>xxx</w:t>
      </w:r>
      <w:proofErr w:type="spellEnd"/>
      <w:r w:rsidR="0044679C" w:rsidRPr="007E26C7">
        <w:rPr>
          <w:rFonts w:eastAsia="Lucida Sans Unicode" w:cs="Arial"/>
        </w:rPr>
        <w:t xml:space="preserve">, na základě SOD č. 982-2023-523101 „Komplexní pozemkové </w:t>
      </w:r>
      <w:r w:rsidR="0044679C" w:rsidRPr="0044679C">
        <w:rPr>
          <w:rFonts w:eastAsia="Lucida Sans Unicode" w:cs="Arial"/>
        </w:rPr>
        <w:t xml:space="preserve">úpravy v </w:t>
      </w:r>
      <w:proofErr w:type="spellStart"/>
      <w:r w:rsidR="0044679C" w:rsidRPr="0044679C">
        <w:rPr>
          <w:rFonts w:eastAsia="Lucida Sans Unicode" w:cs="Arial"/>
        </w:rPr>
        <w:t>k.ú</w:t>
      </w:r>
      <w:proofErr w:type="spellEnd"/>
      <w:r w:rsidR="0044679C" w:rsidRPr="0044679C">
        <w:rPr>
          <w:rFonts w:eastAsia="Lucida Sans Unicode" w:cs="Arial"/>
        </w:rPr>
        <w:t>. Čeložnice“ ze dne 29.8.2023</w:t>
      </w:r>
    </w:p>
    <w:p w14:paraId="11D786B8" w14:textId="63F22312" w:rsidR="000F0124" w:rsidRPr="009966C5" w:rsidRDefault="000F0124" w:rsidP="00907A1C">
      <w:pPr>
        <w:widowControl w:val="0"/>
        <w:tabs>
          <w:tab w:val="left" w:pos="284"/>
          <w:tab w:val="left" w:pos="4536"/>
        </w:tabs>
        <w:suppressAutoHyphens/>
        <w:ind w:left="4536" w:hanging="4536"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Tel.:</w:t>
      </w:r>
      <w:r w:rsidRPr="009966C5">
        <w:rPr>
          <w:rFonts w:eastAsia="Lucida Sans Unicode" w:cs="Arial"/>
        </w:rPr>
        <w:tab/>
        <w:t>+</w:t>
      </w:r>
      <w:r w:rsidR="0044679C" w:rsidRPr="0044679C">
        <w:rPr>
          <w:rFonts w:cs="Arial"/>
          <w:sz w:val="20"/>
          <w:szCs w:val="20"/>
        </w:rPr>
        <w:t xml:space="preserve"> </w:t>
      </w:r>
      <w:r w:rsidR="0044679C" w:rsidRPr="0044679C">
        <w:rPr>
          <w:rFonts w:eastAsia="Lucida Sans Unicode" w:cs="Arial"/>
        </w:rPr>
        <w:t>420 606 601</w:t>
      </w:r>
      <w:r w:rsidR="00907A1C">
        <w:rPr>
          <w:rFonts w:eastAsia="Lucida Sans Unicode" w:cs="Arial"/>
        </w:rPr>
        <w:t> </w:t>
      </w:r>
      <w:r w:rsidR="0044679C" w:rsidRPr="0044679C">
        <w:rPr>
          <w:rFonts w:eastAsia="Lucida Sans Unicode" w:cs="Arial"/>
        </w:rPr>
        <w:t>025</w:t>
      </w:r>
      <w:r w:rsidR="00907A1C">
        <w:rPr>
          <w:rFonts w:eastAsia="Lucida Sans Unicode" w:cs="Arial"/>
        </w:rPr>
        <w:t xml:space="preserve">; </w:t>
      </w:r>
      <w:r w:rsidR="00907A1C" w:rsidRPr="009966C5">
        <w:rPr>
          <w:rFonts w:eastAsia="Lucida Sans Unicode" w:cs="Arial"/>
        </w:rPr>
        <w:t>+</w:t>
      </w:r>
      <w:r w:rsidR="00907A1C" w:rsidRPr="0044679C">
        <w:rPr>
          <w:rFonts w:cs="Arial"/>
          <w:sz w:val="20"/>
          <w:szCs w:val="20"/>
        </w:rPr>
        <w:t xml:space="preserve"> </w:t>
      </w:r>
      <w:r w:rsidR="00907A1C" w:rsidRPr="0044679C">
        <w:rPr>
          <w:rFonts w:eastAsia="Lucida Sans Unicode" w:cs="Arial"/>
        </w:rPr>
        <w:t>420 </w:t>
      </w:r>
      <w:r w:rsidR="00907A1C" w:rsidRPr="00C61C28">
        <w:rPr>
          <w:rFonts w:eastAsia="Lucida Sans Unicode" w:cs="Arial"/>
          <w:szCs w:val="22"/>
        </w:rPr>
        <w:t>727 957 211</w:t>
      </w:r>
    </w:p>
    <w:p w14:paraId="145806FB" w14:textId="6FA5D2A0" w:rsidR="000F0124" w:rsidRPr="0044679C" w:rsidRDefault="000F0124" w:rsidP="00907A1C">
      <w:pPr>
        <w:widowControl w:val="0"/>
        <w:tabs>
          <w:tab w:val="left" w:pos="284"/>
          <w:tab w:val="left" w:pos="4536"/>
        </w:tabs>
        <w:suppressAutoHyphens/>
        <w:ind w:left="4536" w:hanging="4536"/>
        <w:rPr>
          <w:rFonts w:eastAsia="Lucida Sans Unicode" w:cs="Arial"/>
          <w:b/>
          <w:bCs/>
        </w:rPr>
      </w:pPr>
      <w:r w:rsidRPr="009966C5">
        <w:rPr>
          <w:rFonts w:eastAsia="Lucida Sans Unicode" w:cs="Arial"/>
        </w:rPr>
        <w:tab/>
        <w:t>E-mail:</w:t>
      </w:r>
      <w:r w:rsidRPr="009966C5">
        <w:rPr>
          <w:rFonts w:eastAsia="Lucida Sans Unicode" w:cs="Arial"/>
        </w:rPr>
        <w:tab/>
      </w:r>
      <w:hyperlink r:id="rId15" w:history="1">
        <w:r w:rsidR="00907A1C" w:rsidRPr="00907A1C">
          <w:rPr>
            <w:rStyle w:val="Hypertextovodkaz"/>
            <w:rFonts w:cs="Arial"/>
            <w:bCs/>
            <w:sz w:val="18"/>
            <w:szCs w:val="18"/>
          </w:rPr>
          <w:t>martina.lindnerova@spu.gov.cz</w:t>
        </w:r>
      </w:hyperlink>
      <w:r w:rsidR="00907A1C" w:rsidRPr="00907A1C">
        <w:rPr>
          <w:rStyle w:val="Hypertextovodkaz"/>
          <w:sz w:val="18"/>
          <w:szCs w:val="18"/>
        </w:rPr>
        <w:t xml:space="preserve">; </w:t>
      </w:r>
      <w:hyperlink r:id="rId16" w:history="1">
        <w:r w:rsidR="00907A1C" w:rsidRPr="00E30F75">
          <w:rPr>
            <w:rStyle w:val="Hypertextovodkaz"/>
            <w:rFonts w:cs="Arial"/>
            <w:bCs/>
            <w:sz w:val="18"/>
            <w:szCs w:val="18"/>
          </w:rPr>
          <w:t>breclav.pk</w:t>
        </w:r>
        <w:r w:rsidR="00907A1C" w:rsidRPr="00E30F75">
          <w:rPr>
            <w:rStyle w:val="Hypertextovodkaz"/>
            <w:rFonts w:cs="Arial"/>
            <w:sz w:val="18"/>
            <w:szCs w:val="18"/>
          </w:rPr>
          <w:t>@spu.gov.cz</w:t>
        </w:r>
      </w:hyperlink>
    </w:p>
    <w:p w14:paraId="10107F43" w14:textId="77777777" w:rsidR="000F0124" w:rsidRPr="009966C5" w:rsidRDefault="000F0124" w:rsidP="00907A1C">
      <w:pPr>
        <w:widowControl w:val="0"/>
        <w:tabs>
          <w:tab w:val="left" w:pos="284"/>
          <w:tab w:val="left" w:pos="4536"/>
        </w:tabs>
        <w:suppressAutoHyphens/>
        <w:ind w:left="4536" w:hanging="4536"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77777777" w:rsidR="000F0124" w:rsidRPr="009966C5" w:rsidRDefault="000F0124" w:rsidP="00907A1C">
      <w:pPr>
        <w:widowControl w:val="0"/>
        <w:tabs>
          <w:tab w:val="left" w:pos="284"/>
          <w:tab w:val="left" w:pos="4536"/>
        </w:tabs>
        <w:suppressAutoHyphens/>
        <w:ind w:left="4536" w:hanging="4536"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77777777" w:rsidR="000F0124" w:rsidRPr="009966C5" w:rsidRDefault="000F0124" w:rsidP="00907A1C">
      <w:pPr>
        <w:widowControl w:val="0"/>
        <w:tabs>
          <w:tab w:val="left" w:pos="284"/>
          <w:tab w:val="left" w:pos="4536"/>
        </w:tabs>
        <w:suppressAutoHyphens/>
        <w:ind w:left="4536" w:hanging="4536"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77777777" w:rsidR="000F0124" w:rsidRPr="009966C5" w:rsidRDefault="000F0124" w:rsidP="00907A1C">
      <w:pPr>
        <w:widowControl w:val="0"/>
        <w:tabs>
          <w:tab w:val="left" w:pos="284"/>
          <w:tab w:val="left" w:pos="4536"/>
        </w:tabs>
        <w:suppressAutoHyphens/>
        <w:ind w:left="4536" w:hanging="4536"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77777777" w:rsidR="000F0124" w:rsidRPr="009966C5" w:rsidRDefault="000F0124" w:rsidP="00907A1C">
      <w:pPr>
        <w:widowControl w:val="0"/>
        <w:tabs>
          <w:tab w:val="left" w:pos="284"/>
          <w:tab w:val="left" w:pos="4536"/>
        </w:tabs>
        <w:suppressAutoHyphens/>
        <w:ind w:left="4536" w:hanging="4536"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685605" w:rsidRDefault="000F0124" w:rsidP="00685605">
      <w:pPr>
        <w:tabs>
          <w:tab w:val="left" w:pos="4253"/>
        </w:tabs>
        <w:spacing w:before="0" w:after="0" w:line="240" w:lineRule="auto"/>
        <w:rPr>
          <w:rFonts w:cs="Arial"/>
          <w:bCs/>
          <w:sz w:val="12"/>
          <w:szCs w:val="12"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6F806CBF" w14:textId="77777777" w:rsidR="00907A1C" w:rsidRPr="00A60622" w:rsidRDefault="00907A1C" w:rsidP="00907A1C">
      <w:pPr>
        <w:tabs>
          <w:tab w:val="left" w:pos="4536"/>
        </w:tabs>
        <w:rPr>
          <w:rFonts w:eastAsia="Lucida Sans Unicode" w:cs="Arial"/>
          <w:b/>
          <w:szCs w:val="22"/>
        </w:rPr>
      </w:pPr>
      <w:r>
        <w:rPr>
          <w:rFonts w:cs="Arial"/>
          <w:b/>
          <w:szCs w:val="22"/>
        </w:rPr>
        <w:t>Jméno/Název:</w:t>
      </w:r>
      <w:r>
        <w:rPr>
          <w:rFonts w:cs="Arial"/>
          <w:bCs/>
          <w:snapToGrid w:val="0"/>
          <w:szCs w:val="22"/>
          <w:lang w:val="en-US"/>
        </w:rPr>
        <w:tab/>
      </w:r>
      <w:r w:rsidRPr="00A60622">
        <w:rPr>
          <w:rFonts w:eastAsia="Lucida Sans Unicode" w:cs="Arial"/>
          <w:b/>
          <w:szCs w:val="22"/>
        </w:rPr>
        <w:t xml:space="preserve">HIG geologická služba, </w:t>
      </w:r>
      <w:proofErr w:type="spellStart"/>
      <w:proofErr w:type="gramStart"/>
      <w:r w:rsidRPr="00A60622">
        <w:rPr>
          <w:rFonts w:eastAsia="Lucida Sans Unicode" w:cs="Arial"/>
          <w:b/>
          <w:szCs w:val="22"/>
        </w:rPr>
        <w:t>spol.s</w:t>
      </w:r>
      <w:proofErr w:type="spellEnd"/>
      <w:proofErr w:type="gramEnd"/>
      <w:r w:rsidRPr="00A60622">
        <w:rPr>
          <w:rFonts w:eastAsia="Lucida Sans Unicode" w:cs="Arial"/>
          <w:b/>
          <w:szCs w:val="22"/>
        </w:rPr>
        <w:t xml:space="preserve"> r.o.</w:t>
      </w:r>
    </w:p>
    <w:p w14:paraId="2CD8D9DE" w14:textId="77777777" w:rsidR="00907A1C" w:rsidRPr="00A60622" w:rsidRDefault="00907A1C" w:rsidP="00907A1C">
      <w:pPr>
        <w:tabs>
          <w:tab w:val="left" w:pos="4536"/>
        </w:tabs>
        <w:rPr>
          <w:rFonts w:eastAsia="Lucida Sans Unicode" w:cs="Arial"/>
          <w:bCs/>
          <w:szCs w:val="22"/>
        </w:rPr>
      </w:pPr>
      <w:r>
        <w:rPr>
          <w:rFonts w:cs="Arial"/>
          <w:b/>
          <w:szCs w:val="22"/>
        </w:rPr>
        <w:t>Sídlo:</w:t>
      </w:r>
      <w:r>
        <w:rPr>
          <w:rFonts w:cs="Arial"/>
          <w:b/>
          <w:szCs w:val="22"/>
        </w:rPr>
        <w:tab/>
      </w:r>
      <w:r w:rsidRPr="00A60622">
        <w:rPr>
          <w:rFonts w:eastAsia="Lucida Sans Unicode" w:cs="Arial"/>
          <w:bCs/>
          <w:szCs w:val="22"/>
        </w:rPr>
        <w:t>Školní 322, Želešice 664</w:t>
      </w:r>
      <w:r>
        <w:rPr>
          <w:rFonts w:eastAsia="Lucida Sans Unicode" w:cs="Arial"/>
          <w:bCs/>
          <w:szCs w:val="22"/>
        </w:rPr>
        <w:t xml:space="preserve"> </w:t>
      </w:r>
      <w:r w:rsidRPr="00A60622">
        <w:rPr>
          <w:rFonts w:eastAsia="Lucida Sans Unicode" w:cs="Arial"/>
          <w:bCs/>
          <w:szCs w:val="22"/>
        </w:rPr>
        <w:t>43</w:t>
      </w:r>
    </w:p>
    <w:p w14:paraId="162AE481" w14:textId="77777777" w:rsidR="00907A1C" w:rsidRPr="00A60622" w:rsidRDefault="00907A1C" w:rsidP="00907A1C">
      <w:pPr>
        <w:tabs>
          <w:tab w:val="left" w:pos="4536"/>
        </w:tabs>
        <w:autoSpaceDE w:val="0"/>
        <w:autoSpaceDN w:val="0"/>
        <w:adjustRightInd w:val="0"/>
        <w:rPr>
          <w:rFonts w:eastAsia="Lucida Sans Unicode" w:cs="Arial"/>
          <w:bCs/>
          <w:szCs w:val="22"/>
        </w:rPr>
      </w:pPr>
      <w:r w:rsidRPr="0074357D">
        <w:rPr>
          <w:rFonts w:cs="Arial"/>
          <w:szCs w:val="22"/>
        </w:rPr>
        <w:t>zastoupený</w:t>
      </w:r>
      <w:r>
        <w:rPr>
          <w:rFonts w:cs="Arial"/>
          <w:szCs w:val="22"/>
        </w:rPr>
        <w:t>:</w:t>
      </w:r>
      <w:r w:rsidRPr="0074357D">
        <w:rPr>
          <w:rFonts w:cs="Arial"/>
          <w:szCs w:val="22"/>
        </w:rPr>
        <w:tab/>
      </w:r>
      <w:r w:rsidRPr="00A60622">
        <w:rPr>
          <w:rFonts w:eastAsia="Lucida Sans Unicode" w:cs="Arial"/>
          <w:bCs/>
          <w:szCs w:val="22"/>
        </w:rPr>
        <w:t>Mgr. Alešem Grünwaldem, jednatelem</w:t>
      </w:r>
    </w:p>
    <w:p w14:paraId="068CEDF3" w14:textId="1AF7CE7A" w:rsidR="00907A1C" w:rsidRPr="00A60622" w:rsidRDefault="00907A1C" w:rsidP="00907A1C">
      <w:pPr>
        <w:tabs>
          <w:tab w:val="left" w:pos="4536"/>
        </w:tabs>
        <w:rPr>
          <w:rFonts w:eastAsia="Lucida Sans Unicode" w:cs="Arial"/>
          <w:bCs/>
          <w:szCs w:val="22"/>
        </w:rPr>
      </w:pPr>
      <w:r w:rsidRPr="00E93F51">
        <w:rPr>
          <w:rFonts w:cs="Arial"/>
          <w:szCs w:val="22"/>
        </w:rPr>
        <w:t>tel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tab/>
      </w:r>
      <w:proofErr w:type="spellStart"/>
      <w:r w:rsidR="001865F9">
        <w:rPr>
          <w:rFonts w:eastAsia="Lucida Sans Unicode" w:cs="Arial"/>
          <w:bCs/>
          <w:szCs w:val="22"/>
        </w:rPr>
        <w:t>xxx</w:t>
      </w:r>
      <w:proofErr w:type="spellEnd"/>
    </w:p>
    <w:p w14:paraId="679148E2" w14:textId="19EFC3FB" w:rsidR="00907A1C" w:rsidRPr="00A60622" w:rsidRDefault="00907A1C" w:rsidP="00907A1C">
      <w:pPr>
        <w:tabs>
          <w:tab w:val="left" w:pos="4536"/>
        </w:tabs>
        <w:ind w:right="-110"/>
        <w:rPr>
          <w:rFonts w:eastAsia="Lucida Sans Unicode" w:cs="Arial"/>
          <w:bCs/>
          <w:szCs w:val="22"/>
        </w:rPr>
      </w:pPr>
      <w:r w:rsidRPr="00E93F51">
        <w:rPr>
          <w:rFonts w:cs="Arial"/>
          <w:szCs w:val="22"/>
        </w:rPr>
        <w:t>e-mail:</w:t>
      </w:r>
      <w:r>
        <w:rPr>
          <w:rFonts w:cs="Arial"/>
          <w:szCs w:val="22"/>
        </w:rPr>
        <w:tab/>
      </w:r>
      <w:proofErr w:type="spellStart"/>
      <w:r w:rsidR="001865F9">
        <w:rPr>
          <w:rFonts w:eastAsia="Lucida Sans Unicode" w:cs="Arial"/>
          <w:bCs/>
          <w:szCs w:val="22"/>
        </w:rPr>
        <w:t>xxx</w:t>
      </w:r>
      <w:proofErr w:type="spellEnd"/>
    </w:p>
    <w:p w14:paraId="3142B4BC" w14:textId="77777777" w:rsidR="00685605" w:rsidRPr="00A60622" w:rsidRDefault="00685605" w:rsidP="00685605">
      <w:pPr>
        <w:tabs>
          <w:tab w:val="left" w:pos="4536"/>
        </w:tabs>
        <w:spacing w:line="288" w:lineRule="auto"/>
        <w:ind w:right="-110"/>
        <w:rPr>
          <w:rFonts w:eastAsia="Lucida Sans Unicode" w:cs="Arial"/>
          <w:bCs/>
          <w:szCs w:val="22"/>
        </w:rPr>
      </w:pPr>
      <w:r w:rsidRPr="00812ED3">
        <w:rPr>
          <w:rFonts w:cs="Arial"/>
          <w:szCs w:val="22"/>
        </w:rPr>
        <w:t>ID DS:</w:t>
      </w:r>
      <w:r w:rsidRPr="00E93F51">
        <w:rPr>
          <w:rFonts w:cs="Arial"/>
          <w:szCs w:val="22"/>
        </w:rPr>
        <w:tab/>
      </w:r>
      <w:r w:rsidRPr="00A60622">
        <w:rPr>
          <w:rFonts w:eastAsia="Lucida Sans Unicode" w:cs="Arial"/>
          <w:bCs/>
          <w:szCs w:val="22"/>
        </w:rPr>
        <w:t>3k64hr7</w:t>
      </w:r>
    </w:p>
    <w:p w14:paraId="13ABB30D" w14:textId="00F4A094" w:rsidR="00685605" w:rsidRPr="00E93F51" w:rsidRDefault="00685605" w:rsidP="00685605">
      <w:pPr>
        <w:tabs>
          <w:tab w:val="left" w:pos="4536"/>
        </w:tabs>
        <w:spacing w:before="240"/>
        <w:ind w:right="-284"/>
        <w:rPr>
          <w:rFonts w:cs="Arial"/>
          <w:szCs w:val="22"/>
        </w:rPr>
      </w:pPr>
      <w:r w:rsidRPr="00E93F51">
        <w:rPr>
          <w:rFonts w:cs="Arial"/>
          <w:szCs w:val="22"/>
        </w:rPr>
        <w:t>v technických záležitostech oprávněn jednat:</w:t>
      </w:r>
      <w:r w:rsidRPr="00E93F51">
        <w:rPr>
          <w:rFonts w:cs="Arial"/>
          <w:szCs w:val="22"/>
        </w:rPr>
        <w:tab/>
      </w:r>
      <w:proofErr w:type="spellStart"/>
      <w:r w:rsidR="001865F9">
        <w:rPr>
          <w:rFonts w:eastAsia="Lucida Sans Unicode" w:cs="Arial"/>
          <w:bCs/>
          <w:szCs w:val="22"/>
        </w:rPr>
        <w:t>xxx</w:t>
      </w:r>
      <w:proofErr w:type="spellEnd"/>
    </w:p>
    <w:p w14:paraId="445EA3AD" w14:textId="2A24A61D" w:rsidR="00685605" w:rsidRPr="00E93F51" w:rsidRDefault="00685605" w:rsidP="00685605">
      <w:pPr>
        <w:tabs>
          <w:tab w:val="left" w:pos="4536"/>
        </w:tabs>
        <w:spacing w:line="288" w:lineRule="auto"/>
        <w:ind w:right="-284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Pr="00E93F51">
        <w:rPr>
          <w:rFonts w:cs="Arial"/>
          <w:szCs w:val="22"/>
        </w:rPr>
        <w:t>ankovní spojení:</w:t>
      </w:r>
      <w:r w:rsidRPr="00E93F51">
        <w:rPr>
          <w:rFonts w:cs="Arial"/>
          <w:szCs w:val="22"/>
        </w:rPr>
        <w:tab/>
      </w:r>
      <w:r w:rsidRPr="00F94BF1">
        <w:rPr>
          <w:rStyle w:val="markedcontent"/>
          <w:rFonts w:cs="Arial"/>
          <w:szCs w:val="22"/>
        </w:rPr>
        <w:t>Raiffeisenbank</w:t>
      </w:r>
    </w:p>
    <w:p w14:paraId="7DBA0FE4" w14:textId="7B4EC93C" w:rsidR="00685605" w:rsidRPr="00E93F51" w:rsidRDefault="00685605" w:rsidP="00685605">
      <w:pPr>
        <w:tabs>
          <w:tab w:val="left" w:pos="4536"/>
        </w:tabs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>Č</w:t>
      </w:r>
      <w:r w:rsidRPr="00E93F51">
        <w:rPr>
          <w:rFonts w:cs="Arial"/>
          <w:szCs w:val="22"/>
        </w:rPr>
        <w:t>íslo účtu:</w:t>
      </w:r>
      <w:r w:rsidRPr="00E93F51">
        <w:rPr>
          <w:rFonts w:cs="Arial"/>
          <w:szCs w:val="22"/>
        </w:rPr>
        <w:tab/>
      </w:r>
      <w:r w:rsidRPr="00F94BF1">
        <w:rPr>
          <w:rStyle w:val="markedcontent"/>
          <w:rFonts w:cs="Arial"/>
          <w:szCs w:val="22"/>
        </w:rPr>
        <w:t>153296543/5500</w:t>
      </w:r>
    </w:p>
    <w:p w14:paraId="66009B2E" w14:textId="77777777" w:rsidR="00685605" w:rsidRPr="00A60622" w:rsidRDefault="00685605" w:rsidP="00685605">
      <w:pPr>
        <w:tabs>
          <w:tab w:val="left" w:pos="4536"/>
        </w:tabs>
        <w:spacing w:line="288" w:lineRule="auto"/>
        <w:rPr>
          <w:rFonts w:eastAsia="Lucida Sans Unicode" w:cs="Arial"/>
          <w:bCs/>
          <w:szCs w:val="22"/>
        </w:rPr>
      </w:pPr>
      <w:r w:rsidRPr="00E93F51">
        <w:rPr>
          <w:rFonts w:cs="Arial"/>
          <w:szCs w:val="22"/>
        </w:rPr>
        <w:t>IČO:</w:t>
      </w:r>
      <w:r w:rsidRPr="00E93F51">
        <w:rPr>
          <w:rFonts w:cs="Arial"/>
          <w:szCs w:val="22"/>
        </w:rPr>
        <w:tab/>
      </w:r>
      <w:r w:rsidRPr="00A60622">
        <w:rPr>
          <w:rFonts w:eastAsia="Lucida Sans Unicode" w:cs="Arial"/>
          <w:bCs/>
          <w:szCs w:val="22"/>
        </w:rPr>
        <w:t>49969986</w:t>
      </w:r>
    </w:p>
    <w:p w14:paraId="404E2F91" w14:textId="77777777" w:rsidR="00685605" w:rsidRPr="00E93F51" w:rsidRDefault="00685605" w:rsidP="00685605">
      <w:pPr>
        <w:tabs>
          <w:tab w:val="left" w:pos="4536"/>
        </w:tabs>
        <w:spacing w:line="288" w:lineRule="auto"/>
        <w:rPr>
          <w:rFonts w:cs="Arial"/>
          <w:szCs w:val="22"/>
        </w:rPr>
      </w:pPr>
      <w:r w:rsidRPr="00E93F51">
        <w:rPr>
          <w:rFonts w:cs="Arial"/>
          <w:szCs w:val="22"/>
        </w:rPr>
        <w:t>DIČ:</w:t>
      </w:r>
      <w:r w:rsidRPr="00E93F51">
        <w:rPr>
          <w:rFonts w:cs="Arial"/>
          <w:szCs w:val="22"/>
        </w:rPr>
        <w:tab/>
      </w:r>
      <w:r w:rsidRPr="00BC197F">
        <w:rPr>
          <w:rFonts w:cs="Arial"/>
          <w:bCs/>
          <w:snapToGrid w:val="0"/>
          <w:szCs w:val="22"/>
          <w:lang w:val="en-US"/>
        </w:rPr>
        <w:t>CZ</w:t>
      </w:r>
      <w:r>
        <w:rPr>
          <w:rFonts w:cs="Arial"/>
          <w:bCs/>
          <w:snapToGrid w:val="0"/>
          <w:szCs w:val="22"/>
          <w:lang w:val="en-US"/>
        </w:rPr>
        <w:t>49969986</w:t>
      </w:r>
    </w:p>
    <w:p w14:paraId="1283B12F" w14:textId="77777777" w:rsidR="00685605" w:rsidRPr="00E93F51" w:rsidRDefault="00685605" w:rsidP="00685605">
      <w:pPr>
        <w:ind w:right="-284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Společnost je zapsaná v obchodním rejstříku vedeném u </w:t>
      </w:r>
      <w:r>
        <w:rPr>
          <w:rFonts w:cs="Arial"/>
          <w:bCs/>
          <w:snapToGrid w:val="0"/>
          <w:szCs w:val="22"/>
          <w:lang w:val="en-US"/>
        </w:rPr>
        <w:t>KS Brno</w:t>
      </w:r>
      <w:r w:rsidRPr="00E93F51">
        <w:rPr>
          <w:rFonts w:cs="Arial"/>
          <w:szCs w:val="22"/>
        </w:rPr>
        <w:t>, oddíl</w:t>
      </w:r>
      <w:r>
        <w:rPr>
          <w:rFonts w:cs="Arial"/>
          <w:szCs w:val="22"/>
        </w:rPr>
        <w:t xml:space="preserve"> </w:t>
      </w:r>
      <w:r w:rsidRPr="00BC197F">
        <w:rPr>
          <w:rFonts w:cs="Arial"/>
          <w:bCs/>
          <w:snapToGrid w:val="0"/>
          <w:szCs w:val="22"/>
          <w:lang w:val="en-US"/>
        </w:rPr>
        <w:t>C</w:t>
      </w:r>
      <w:r w:rsidRPr="00E93F51">
        <w:rPr>
          <w:rFonts w:cs="Arial"/>
          <w:szCs w:val="22"/>
        </w:rPr>
        <w:t>, vložka</w:t>
      </w:r>
      <w:r>
        <w:rPr>
          <w:rFonts w:cs="Arial"/>
          <w:szCs w:val="22"/>
        </w:rPr>
        <w:t xml:space="preserve"> </w:t>
      </w:r>
      <w:r>
        <w:rPr>
          <w:rFonts w:cs="Arial"/>
          <w:bCs/>
          <w:snapToGrid w:val="0"/>
          <w:szCs w:val="22"/>
          <w:lang w:val="en-US"/>
        </w:rPr>
        <w:t>13521</w:t>
      </w:r>
    </w:p>
    <w:p w14:paraId="613113F1" w14:textId="77777777" w:rsidR="00685605" w:rsidRPr="00685605" w:rsidRDefault="00685605" w:rsidP="00685605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685605">
        <w:rPr>
          <w:rFonts w:cs="Arial"/>
        </w:rPr>
        <w:t>(dále jen „</w:t>
      </w:r>
      <w:r w:rsidRPr="00685605">
        <w:rPr>
          <w:rFonts w:cs="Arial"/>
          <w:b/>
          <w:bCs/>
        </w:rPr>
        <w:t>zhotovitel</w:t>
      </w:r>
      <w:r w:rsidRPr="00685605">
        <w:rPr>
          <w:rFonts w:cs="Arial"/>
        </w:rPr>
        <w:t>“)</w:t>
      </w:r>
    </w:p>
    <w:p w14:paraId="7D1AEB07" w14:textId="77777777" w:rsidR="00D1499E" w:rsidRPr="000A6F24" w:rsidRDefault="00D1499E" w:rsidP="00112524">
      <w:pPr>
        <w:rPr>
          <w:rFonts w:cs="Arial"/>
          <w:sz w:val="12"/>
          <w:szCs w:val="12"/>
        </w:rPr>
      </w:pPr>
    </w:p>
    <w:p w14:paraId="0C330FEA" w14:textId="2FE2E837" w:rsidR="0094054F" w:rsidRPr="009966C5" w:rsidRDefault="004539E7" w:rsidP="006D5759">
      <w:pPr>
        <w:spacing w:before="0" w:after="0" w:line="240" w:lineRule="auto"/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</w:t>
      </w:r>
      <w:r w:rsidR="00685605">
        <w:rPr>
          <w:rFonts w:cs="Arial"/>
          <w:szCs w:val="22"/>
        </w:rPr>
        <w:t> </w:t>
      </w:r>
      <w:r>
        <w:rPr>
          <w:rFonts w:cs="Arial"/>
          <w:szCs w:val="22"/>
        </w:rPr>
        <w:t>názvem</w:t>
      </w:r>
      <w:r w:rsidR="00685605">
        <w:rPr>
          <w:rFonts w:cs="Arial"/>
          <w:szCs w:val="22"/>
        </w:rPr>
        <w:t xml:space="preserve"> „</w:t>
      </w:r>
      <w:r w:rsidR="00685605" w:rsidRPr="00685605">
        <w:rPr>
          <w:rFonts w:cs="Arial"/>
          <w:b/>
          <w:bCs/>
          <w:szCs w:val="22"/>
        </w:rPr>
        <w:t xml:space="preserve">Geotechnický průzkum pro </w:t>
      </w:r>
      <w:proofErr w:type="spellStart"/>
      <w:r w:rsidR="00685605" w:rsidRPr="00685605">
        <w:rPr>
          <w:rFonts w:cs="Arial"/>
          <w:b/>
          <w:bCs/>
          <w:szCs w:val="22"/>
        </w:rPr>
        <w:t>KoPÚ</w:t>
      </w:r>
      <w:proofErr w:type="spellEnd"/>
      <w:r w:rsidR="00685605" w:rsidRPr="00685605">
        <w:rPr>
          <w:rFonts w:cs="Arial"/>
          <w:b/>
          <w:bCs/>
          <w:szCs w:val="22"/>
        </w:rPr>
        <w:t xml:space="preserve"> v k. </w:t>
      </w:r>
      <w:proofErr w:type="spellStart"/>
      <w:r w:rsidR="00685605" w:rsidRPr="00685605">
        <w:rPr>
          <w:rFonts w:cs="Arial"/>
          <w:b/>
          <w:bCs/>
          <w:szCs w:val="22"/>
        </w:rPr>
        <w:t>ú.</w:t>
      </w:r>
      <w:proofErr w:type="spellEnd"/>
      <w:r w:rsidR="00685605" w:rsidRPr="00685605">
        <w:rPr>
          <w:rFonts w:cs="Arial"/>
          <w:b/>
          <w:bCs/>
          <w:szCs w:val="22"/>
        </w:rPr>
        <w:t xml:space="preserve"> Čeložnice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A6F24">
      <w:pPr>
        <w:pStyle w:val="Zkladntext"/>
        <w:spacing w:before="0" w:after="0" w:line="240" w:lineRule="auto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316C64AB" w:rsidR="004404D8" w:rsidRPr="009966C5" w:rsidRDefault="007F5AFE" w:rsidP="00E208C8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proofErr w:type="spellStart"/>
      <w:r w:rsidR="00C71EBC" w:rsidRPr="001F0EDD">
        <w:rPr>
          <w:b/>
          <w:bCs/>
        </w:rPr>
        <w:t>spis.zn</w:t>
      </w:r>
      <w:proofErr w:type="spellEnd"/>
      <w:r w:rsidR="00C71EBC" w:rsidRPr="001F0EDD">
        <w:rPr>
          <w:b/>
          <w:bCs/>
        </w:rPr>
        <w:t>.</w:t>
      </w:r>
      <w:r w:rsidR="00364403" w:rsidRPr="001F0EDD">
        <w:rPr>
          <w:b/>
          <w:bCs/>
        </w:rPr>
        <w:t xml:space="preserve"> </w:t>
      </w:r>
      <w:r w:rsidR="00C71EBC" w:rsidRPr="001F0EDD">
        <w:rPr>
          <w:b/>
          <w:bCs/>
        </w:rPr>
        <w:t>SP6858/2025-523203</w:t>
      </w:r>
      <w:r w:rsidR="00C71EBC">
        <w:t xml:space="preserve"> pro z</w:t>
      </w:r>
      <w:bookmarkStart w:id="3" w:name="_Hlk16152047"/>
      <w:r w:rsidR="001A32A5" w:rsidRPr="009966C5">
        <w:t xml:space="preserve">pracování geotechnického průzkumu </w:t>
      </w:r>
      <w:bookmarkEnd w:id="3"/>
      <w:r w:rsidR="001A32A5" w:rsidRPr="009966C5">
        <w:t>v </w:t>
      </w:r>
      <w:proofErr w:type="spellStart"/>
      <w:r w:rsidR="001A32A5" w:rsidRPr="009966C5">
        <w:t>k.ú</w:t>
      </w:r>
      <w:proofErr w:type="spellEnd"/>
      <w:r w:rsidR="001A32A5" w:rsidRPr="009966C5">
        <w:t>.</w:t>
      </w:r>
      <w:r w:rsidR="00E935E1">
        <w:t> </w:t>
      </w:r>
      <w:r w:rsidR="00C71EBC" w:rsidRPr="001F0EDD">
        <w:rPr>
          <w:b/>
        </w:rPr>
        <w:t>Čeložnice</w:t>
      </w:r>
      <w:r w:rsidR="00B70E97" w:rsidRPr="00C71EBC">
        <w:t>.</w:t>
      </w:r>
      <w:bookmarkStart w:id="4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k.ú.</w:t>
      </w:r>
      <w:r w:rsidR="00E935E1">
        <w:t> </w:t>
      </w:r>
      <w:r w:rsidR="001F0EDD" w:rsidRPr="001F0EDD">
        <w:rPr>
          <w:b/>
        </w:rPr>
        <w:t>Čeložnice</w:t>
      </w:r>
      <w:r w:rsidR="001D5DA9" w:rsidRPr="009966C5">
        <w:t>.</w:t>
      </w:r>
      <w:r w:rsidR="001F0EDD">
        <w:t xml:space="preserve"> </w:t>
      </w:r>
      <w:r w:rsidR="001F0EDD" w:rsidRPr="001F0EDD">
        <w:rPr>
          <w:rFonts w:cs="Arial"/>
          <w:szCs w:val="22"/>
          <w:u w:val="single"/>
        </w:rPr>
        <w:t>Předpokládaný rozsah:</w:t>
      </w:r>
      <w:r w:rsidR="001F0EDD" w:rsidRPr="001F0EDD">
        <w:rPr>
          <w:rFonts w:cs="Arial"/>
          <w:szCs w:val="22"/>
        </w:rPr>
        <w:t xml:space="preserve"> </w:t>
      </w:r>
      <w:r w:rsidR="001F0EDD" w:rsidRPr="001F0EDD">
        <w:rPr>
          <w:b/>
          <w:bCs/>
        </w:rPr>
        <w:t>15 ks vrtaných sond</w:t>
      </w:r>
      <w:r w:rsidR="001F0EDD" w:rsidRPr="001F0EDD">
        <w:t>, z toho: 11 ks pro cestní síť do</w:t>
      </w:r>
      <w:r w:rsidR="001F0EDD">
        <w:t xml:space="preserve"> </w:t>
      </w:r>
      <w:r w:rsidR="001F0EDD" w:rsidRPr="001F0EDD">
        <w:t>hloubky 1,5 m a 4 ks pro vodohospodářská opatření do hloubky 3,0 m, včetně určení</w:t>
      </w:r>
      <w:r w:rsidR="001F0EDD">
        <w:t xml:space="preserve"> </w:t>
      </w:r>
      <w:r w:rsidR="001F0EDD" w:rsidRPr="001F0EDD">
        <w:t>hodnoty CBR pro stanovení vhodnosti podloží pro komunikaci a stanovení případné sanace</w:t>
      </w:r>
      <w:r w:rsidR="001F0EDD">
        <w:t xml:space="preserve">. Blíže viz </w:t>
      </w:r>
      <w:r w:rsidR="001F0EDD" w:rsidRPr="009966C5">
        <w:rPr>
          <w:bCs/>
        </w:rPr>
        <w:t>Příloh</w:t>
      </w:r>
      <w:r w:rsidR="001F0EDD">
        <w:rPr>
          <w:bCs/>
        </w:rPr>
        <w:t>a</w:t>
      </w:r>
      <w:r w:rsidR="001F0EDD" w:rsidRPr="009966C5">
        <w:rPr>
          <w:bCs/>
        </w:rPr>
        <w:t xml:space="preserve"> č. </w:t>
      </w:r>
      <w:r w:rsidR="001F0EDD">
        <w:rPr>
          <w:bCs/>
        </w:rPr>
        <w:t>2</w:t>
      </w:r>
      <w:r w:rsidR="001F0EDD">
        <w:t xml:space="preserve"> </w:t>
      </w:r>
      <w:r w:rsidR="00E94268">
        <w:t>–</w:t>
      </w:r>
      <w:r w:rsidR="001F0EDD">
        <w:t xml:space="preserve"> </w:t>
      </w:r>
      <w:r w:rsidR="00E94268">
        <w:t>Vstupní p</w:t>
      </w:r>
      <w:r w:rsidR="001F0EDD">
        <w:t xml:space="preserve">odklad od zpracovatele </w:t>
      </w:r>
      <w:proofErr w:type="spellStart"/>
      <w:r w:rsidR="001F0EDD">
        <w:t>KoPÚ</w:t>
      </w:r>
      <w:proofErr w:type="spellEnd"/>
      <w:r w:rsidR="001F0EDD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4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39BE8FE3" w:rsidR="001B7847" w:rsidRPr="009966C5" w:rsidRDefault="008325A1" w:rsidP="00955757">
      <w:pPr>
        <w:pStyle w:val="l-L2"/>
        <w:ind w:left="357"/>
        <w:rPr>
          <w:bCs/>
        </w:rPr>
      </w:pPr>
      <w:r w:rsidRPr="009966C5">
        <w:rPr>
          <w:bCs/>
        </w:rPr>
        <w:t xml:space="preserve">GTP bude proveden dle požadavků objednatele jako </w:t>
      </w:r>
      <w:r w:rsidRPr="000A6F24">
        <w:rPr>
          <w:bCs/>
        </w:rPr>
        <w:t>předběžný</w:t>
      </w:r>
      <w:r w:rsidR="00DC55FB" w:rsidRPr="000A6F24">
        <w:rPr>
          <w:bCs/>
        </w:rPr>
        <w:t xml:space="preserve"> pro polní cesty</w:t>
      </w:r>
      <w:r w:rsidRPr="000A6F24">
        <w:rPr>
          <w:bCs/>
        </w:rPr>
        <w:t xml:space="preserve">, </w:t>
      </w:r>
      <w:r w:rsidR="00DC55FB" w:rsidRPr="000A6F24">
        <w:rPr>
          <w:bCs/>
        </w:rPr>
        <w:t xml:space="preserve">předběžný pro vodní nádrže a poldry, </w:t>
      </w:r>
      <w:r w:rsidR="00AF35CF" w:rsidRPr="009966C5">
        <w:rPr>
          <w:bCs/>
        </w:rPr>
        <w:t xml:space="preserve">na základě podkladů </w:t>
      </w:r>
      <w:r w:rsidR="000A6F24" w:rsidRPr="009966C5">
        <w:rPr>
          <w:bCs/>
        </w:rPr>
        <w:t>dle Přílohy č. </w:t>
      </w:r>
      <w:r w:rsidR="000A6F24">
        <w:rPr>
          <w:bCs/>
        </w:rPr>
        <w:t xml:space="preserve">2 </w:t>
      </w:r>
      <w:r w:rsidR="00AF35CF" w:rsidRPr="009966C5">
        <w:rPr>
          <w:bCs/>
        </w:rPr>
        <w:t xml:space="preserve">a 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 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0A6F24">
      <w:pPr>
        <w:pStyle w:val="l-L2"/>
        <w:spacing w:before="0" w:after="0" w:line="240" w:lineRule="auto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58DFC390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="006D5759">
        <w:rPr>
          <w:rStyle w:val="Siln"/>
          <w:b w:val="0"/>
          <w:bCs w:val="0"/>
        </w:rPr>
        <w:t xml:space="preserve"> a Přílohy č. 2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6D5759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12"/>
          <w:szCs w:val="1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3D351BEF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 xml:space="preserve">a předáno objednateli nejpozději </w:t>
      </w:r>
      <w:r w:rsidRPr="006D5759">
        <w:t>do</w:t>
      </w:r>
      <w:r w:rsidR="002B4EE2" w:rsidRPr="006D5759">
        <w:t xml:space="preserve"> </w:t>
      </w:r>
      <w:r w:rsidR="006D5759" w:rsidRPr="006D5759">
        <w:rPr>
          <w:b/>
          <w:bCs/>
        </w:rPr>
        <w:t>20.11.2025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641A8FDB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proofErr w:type="spellStart"/>
      <w:r w:rsidR="006D5759" w:rsidRPr="006D5759">
        <w:rPr>
          <w:b/>
          <w:bCs/>
        </w:rPr>
        <w:t>k.ú</w:t>
      </w:r>
      <w:proofErr w:type="spellEnd"/>
      <w:r w:rsidR="006D5759" w:rsidRPr="006D5759">
        <w:rPr>
          <w:b/>
          <w:bCs/>
        </w:rPr>
        <w:t>. Čeložnice</w:t>
      </w:r>
      <w:r w:rsidR="00B20EC4" w:rsidRPr="009966C5">
        <w:t xml:space="preserve">, </w:t>
      </w:r>
      <w:bookmarkStart w:id="5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5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</w:t>
      </w:r>
      <w:proofErr w:type="spellStart"/>
      <w:r w:rsidR="00347565" w:rsidRPr="009966C5">
        <w:t>best</w:t>
      </w:r>
      <w:proofErr w:type="spellEnd"/>
      <w:r w:rsidR="00347565" w:rsidRPr="009966C5">
        <w:t xml:space="preserve"> </w:t>
      </w:r>
      <w:proofErr w:type="spellStart"/>
      <w:r w:rsidR="00347565" w:rsidRPr="009966C5">
        <w:t>practice</w:t>
      </w:r>
      <w:proofErr w:type="spellEnd"/>
      <w:r w:rsidR="00347565" w:rsidRPr="009966C5">
        <w:t>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proofErr w:type="spellStart"/>
      <w:r w:rsidR="00CA4003">
        <w:t>listinně</w:t>
      </w:r>
      <w:proofErr w:type="spellEnd"/>
      <w:r w:rsidR="00CA4003">
        <w:t xml:space="preserve">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6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6"/>
    </w:p>
    <w:p w14:paraId="4F806BB6" w14:textId="179495EB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6D5759">
        <w:t xml:space="preserve"> termínu dle čl. III, odst. 1. této smlouvy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</w:t>
      </w:r>
      <w:r w:rsidR="00FD6988" w:rsidRPr="009966C5">
        <w:lastRenderedPageBreak/>
        <w:t xml:space="preserve">bez výhrad a smluvní strany </w:t>
      </w:r>
      <w:proofErr w:type="gramStart"/>
      <w:r w:rsidR="00FD6988" w:rsidRPr="009966C5">
        <w:t>podepíší</w:t>
      </w:r>
      <w:proofErr w:type="gramEnd"/>
      <w:r w:rsidR="00FD6988" w:rsidRPr="009966C5">
        <w:t xml:space="preserve">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7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</w:t>
      </w:r>
      <w:proofErr w:type="spellStart"/>
      <w:r w:rsidR="5ED1874E" w:rsidRPr="009966C5">
        <w:t>paré</w:t>
      </w:r>
      <w:proofErr w:type="spellEnd"/>
      <w:r w:rsidR="5ED1874E" w:rsidRPr="009966C5">
        <w:t xml:space="preserve">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8" w:name="_Ref368985193"/>
      <w:bookmarkStart w:id="9" w:name="_Ref368985943"/>
      <w:bookmarkEnd w:id="7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8"/>
      <w:bookmarkEnd w:id="9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10" w:name="_Ref368992191"/>
      <w:r w:rsidRPr="009966C5">
        <w:t>Vlastnické právo, právo užívání</w:t>
      </w:r>
      <w:bookmarkEnd w:id="10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 xml:space="preserve">, uděluje zhotovitel objednateli </w:t>
      </w:r>
      <w:r w:rsidRPr="009966C5">
        <w:lastRenderedPageBreak/>
        <w:t>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11" w:name="_Ref369001345"/>
      <w:bookmarkStart w:id="12" w:name="_Ref368993045"/>
      <w:r w:rsidRPr="009966C5">
        <w:t>C</w:t>
      </w:r>
      <w:r w:rsidR="002727DF" w:rsidRPr="009966C5">
        <w:t>e</w:t>
      </w:r>
      <w:r w:rsidRPr="009966C5">
        <w:t>na</w:t>
      </w:r>
      <w:bookmarkEnd w:id="11"/>
      <w:bookmarkEnd w:id="12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449C66D9" w14:textId="54D77320" w:rsidR="00991C00" w:rsidRPr="00FA731C" w:rsidRDefault="00991C00" w:rsidP="00991C00">
      <w:pPr>
        <w:pStyle w:val="Zkladntext"/>
        <w:tabs>
          <w:tab w:val="right" w:pos="7938"/>
        </w:tabs>
        <w:ind w:left="426"/>
        <w:rPr>
          <w:rFonts w:cs="Arial"/>
          <w:bCs/>
          <w:i w:val="0"/>
          <w:szCs w:val="22"/>
        </w:rPr>
      </w:pPr>
      <w:r w:rsidRPr="00E93F51">
        <w:rPr>
          <w:rFonts w:cs="Arial"/>
          <w:b w:val="0"/>
          <w:i w:val="0"/>
          <w:szCs w:val="22"/>
        </w:rPr>
        <w:t xml:space="preserve">Celková cena za provedení Díla bez DPH   </w:t>
      </w:r>
      <w:r>
        <w:rPr>
          <w:rFonts w:cs="Arial"/>
          <w:b w:val="0"/>
          <w:i w:val="0"/>
          <w:szCs w:val="22"/>
        </w:rPr>
        <w:tab/>
      </w:r>
      <w:r w:rsidRPr="00FA731C">
        <w:rPr>
          <w:rFonts w:cs="Arial"/>
          <w:bCs/>
          <w:i w:val="0"/>
          <w:szCs w:val="22"/>
        </w:rPr>
        <w:t>1</w:t>
      </w:r>
      <w:r>
        <w:rPr>
          <w:rFonts w:cs="Arial"/>
          <w:bCs/>
          <w:i w:val="0"/>
          <w:szCs w:val="22"/>
        </w:rPr>
        <w:t>2</w:t>
      </w:r>
      <w:r w:rsidRPr="00FA731C">
        <w:rPr>
          <w:rFonts w:cs="Arial"/>
          <w:bCs/>
          <w:i w:val="0"/>
          <w:szCs w:val="22"/>
        </w:rPr>
        <w:t>8 </w:t>
      </w:r>
      <w:r>
        <w:rPr>
          <w:rFonts w:cs="Arial"/>
          <w:bCs/>
          <w:i w:val="0"/>
          <w:szCs w:val="22"/>
        </w:rPr>
        <w:t>4</w:t>
      </w:r>
      <w:r w:rsidRPr="00FA731C">
        <w:rPr>
          <w:rFonts w:cs="Arial"/>
          <w:bCs/>
          <w:i w:val="0"/>
          <w:szCs w:val="22"/>
        </w:rPr>
        <w:t>00</w:t>
      </w:r>
      <w:r>
        <w:rPr>
          <w:rFonts w:cs="Arial"/>
          <w:bCs/>
          <w:i w:val="0"/>
          <w:szCs w:val="22"/>
        </w:rPr>
        <w:t xml:space="preserve">,00 </w:t>
      </w:r>
      <w:r w:rsidRPr="00C66806">
        <w:rPr>
          <w:rFonts w:cs="Arial"/>
          <w:bCs/>
          <w:i w:val="0"/>
          <w:szCs w:val="22"/>
        </w:rPr>
        <w:t>Kč</w:t>
      </w:r>
    </w:p>
    <w:p w14:paraId="3F2279A2" w14:textId="734A2798" w:rsidR="00991C00" w:rsidRPr="00E93F51" w:rsidRDefault="00991C00" w:rsidP="00991C00">
      <w:pPr>
        <w:pStyle w:val="Zkladntext"/>
        <w:tabs>
          <w:tab w:val="right" w:pos="7938"/>
        </w:tabs>
        <w:ind w:left="426"/>
        <w:rPr>
          <w:rFonts w:cs="Arial"/>
          <w:b w:val="0"/>
          <w:i w:val="0"/>
          <w:szCs w:val="22"/>
        </w:rPr>
      </w:pPr>
      <w:r>
        <w:rPr>
          <w:rFonts w:cs="Arial"/>
          <w:b w:val="0"/>
          <w:i w:val="0"/>
          <w:szCs w:val="22"/>
        </w:rPr>
        <w:t xml:space="preserve">Výpočet </w:t>
      </w:r>
      <w:proofErr w:type="gramStart"/>
      <w:r>
        <w:rPr>
          <w:rFonts w:cs="Arial"/>
          <w:b w:val="0"/>
          <w:i w:val="0"/>
          <w:szCs w:val="22"/>
        </w:rPr>
        <w:t>21%</w:t>
      </w:r>
      <w:proofErr w:type="gramEnd"/>
      <w:r>
        <w:rPr>
          <w:rFonts w:cs="Arial"/>
          <w:b w:val="0"/>
          <w:i w:val="0"/>
          <w:szCs w:val="22"/>
        </w:rPr>
        <w:t xml:space="preserve"> </w:t>
      </w:r>
      <w:r w:rsidRPr="00E93F51">
        <w:rPr>
          <w:rFonts w:cs="Arial"/>
          <w:b w:val="0"/>
          <w:i w:val="0"/>
          <w:szCs w:val="22"/>
        </w:rPr>
        <w:t xml:space="preserve">DPH   </w:t>
      </w:r>
      <w:r>
        <w:rPr>
          <w:rFonts w:cs="Arial"/>
          <w:b w:val="0"/>
          <w:i w:val="0"/>
          <w:szCs w:val="22"/>
        </w:rPr>
        <w:tab/>
      </w:r>
      <w:r w:rsidR="002C7CF4">
        <w:rPr>
          <w:rFonts w:cs="Arial"/>
          <w:b w:val="0"/>
          <w:i w:val="0"/>
          <w:szCs w:val="22"/>
        </w:rPr>
        <w:t>2</w:t>
      </w:r>
      <w:r>
        <w:rPr>
          <w:rFonts w:cs="Arial"/>
          <w:b w:val="0"/>
          <w:i w:val="0"/>
          <w:szCs w:val="22"/>
        </w:rPr>
        <w:t>6 964,00</w:t>
      </w:r>
      <w:r w:rsidRPr="00FA731C">
        <w:rPr>
          <w:rFonts w:cs="Arial"/>
          <w:b w:val="0"/>
          <w:i w:val="0"/>
          <w:szCs w:val="22"/>
        </w:rPr>
        <w:t xml:space="preserve"> </w:t>
      </w:r>
      <w:r>
        <w:rPr>
          <w:rFonts w:cs="Arial"/>
          <w:b w:val="0"/>
          <w:i w:val="0"/>
          <w:szCs w:val="22"/>
        </w:rPr>
        <w:t>Kč</w:t>
      </w:r>
    </w:p>
    <w:p w14:paraId="28A11DC9" w14:textId="00DC33BC" w:rsidR="00991C00" w:rsidRPr="00E93F51" w:rsidRDefault="00991C00" w:rsidP="00991C00">
      <w:pPr>
        <w:pStyle w:val="Zkladntext"/>
        <w:tabs>
          <w:tab w:val="right" w:pos="7938"/>
        </w:tabs>
        <w:ind w:left="426"/>
        <w:rPr>
          <w:rFonts w:cs="Arial"/>
          <w:b w:val="0"/>
          <w:i w:val="0"/>
          <w:szCs w:val="22"/>
        </w:rPr>
      </w:pPr>
      <w:r w:rsidRPr="00E93F51">
        <w:rPr>
          <w:rFonts w:cs="Arial"/>
          <w:b w:val="0"/>
          <w:i w:val="0"/>
          <w:szCs w:val="22"/>
        </w:rPr>
        <w:t xml:space="preserve">Celková cena za provedení Díla vč. </w:t>
      </w:r>
      <w:r>
        <w:rPr>
          <w:rFonts w:cs="Arial"/>
          <w:b w:val="0"/>
          <w:i w:val="0"/>
          <w:szCs w:val="22"/>
        </w:rPr>
        <w:t xml:space="preserve"> </w:t>
      </w:r>
      <w:r w:rsidRPr="00E93F51">
        <w:rPr>
          <w:rFonts w:cs="Arial"/>
          <w:b w:val="0"/>
          <w:i w:val="0"/>
          <w:szCs w:val="22"/>
        </w:rPr>
        <w:t xml:space="preserve">DPH   </w:t>
      </w:r>
      <w:r>
        <w:rPr>
          <w:rFonts w:cs="Arial"/>
          <w:b w:val="0"/>
          <w:i w:val="0"/>
          <w:szCs w:val="22"/>
        </w:rPr>
        <w:tab/>
      </w:r>
      <w:r w:rsidRPr="00FA731C">
        <w:rPr>
          <w:rFonts w:cs="Arial"/>
          <w:bCs/>
          <w:i w:val="0"/>
          <w:szCs w:val="22"/>
        </w:rPr>
        <w:t>1</w:t>
      </w:r>
      <w:r>
        <w:rPr>
          <w:rFonts w:cs="Arial"/>
          <w:bCs/>
          <w:i w:val="0"/>
          <w:szCs w:val="22"/>
        </w:rPr>
        <w:t>55</w:t>
      </w:r>
      <w:r w:rsidRPr="00FA731C">
        <w:rPr>
          <w:rFonts w:cs="Arial"/>
          <w:bCs/>
          <w:i w:val="0"/>
          <w:szCs w:val="22"/>
        </w:rPr>
        <w:t> </w:t>
      </w:r>
      <w:r>
        <w:rPr>
          <w:rFonts w:cs="Arial"/>
          <w:bCs/>
          <w:i w:val="0"/>
          <w:szCs w:val="22"/>
        </w:rPr>
        <w:t>364</w:t>
      </w:r>
      <w:r w:rsidRPr="00FA731C">
        <w:rPr>
          <w:rFonts w:cs="Arial"/>
          <w:bCs/>
          <w:i w:val="0"/>
          <w:szCs w:val="22"/>
        </w:rPr>
        <w:t>,00 Kč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3" w:name="_Ref368988841"/>
      <w:r w:rsidRPr="009966C5">
        <w:t>Platební podmínky a fakturace</w:t>
      </w:r>
      <w:bookmarkEnd w:id="13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4" w:name="_Ref368988843"/>
      <w:r w:rsidRPr="51A5D1CC">
        <w:rPr>
          <w:rFonts w:cs="Arial"/>
        </w:rPr>
        <w:t xml:space="preserve"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</w:t>
      </w:r>
      <w:r w:rsidRPr="51A5D1CC">
        <w:rPr>
          <w:rFonts w:cs="Arial"/>
        </w:rPr>
        <w:lastRenderedPageBreak/>
        <w:t>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7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4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5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5"/>
    </w:p>
    <w:p w14:paraId="1929EE95" w14:textId="42D9B6FD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dobu </w:t>
      </w:r>
      <w:r w:rsidR="00B85AD8" w:rsidRPr="002C7CF4">
        <w:t>36 měsíců</w:t>
      </w:r>
      <w:r w:rsidR="00B85AD8">
        <w:t xml:space="preserve"> </w:t>
      </w:r>
      <w:r w:rsidRPr="009966C5">
        <w:t xml:space="preserve">od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6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</w:t>
      </w:r>
      <w:proofErr w:type="gramStart"/>
      <w:r w:rsidRPr="009966C5">
        <w:t>určí</w:t>
      </w:r>
      <w:proofErr w:type="gramEnd"/>
      <w:r w:rsidRPr="009966C5">
        <w:t xml:space="preserve"> lhůtu, do které zhotovitel vady odstraní. Odstranění vad provede zhotovitel na svůj náklad nejpozději do 14 pracovních dnů od obdržení písemné reklamace.</w:t>
      </w:r>
      <w:bookmarkEnd w:id="16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lastRenderedPageBreak/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 xml:space="preserve">ustanovení o smluvní pokutě </w:t>
      </w:r>
      <w:proofErr w:type="gramStart"/>
      <w:r w:rsidRPr="009966C5">
        <w:rPr>
          <w:bCs/>
        </w:rPr>
        <w:t>neruší</w:t>
      </w:r>
      <w:proofErr w:type="gramEnd"/>
      <w:r w:rsidRPr="009966C5">
        <w:rPr>
          <w:bCs/>
        </w:rPr>
        <w:t xml:space="preserve">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</w:t>
      </w:r>
      <w:proofErr w:type="gramStart"/>
      <w:r w:rsidRPr="009966C5">
        <w:t>poruší</w:t>
      </w:r>
      <w:proofErr w:type="gramEnd"/>
      <w:r w:rsidRPr="009966C5">
        <w:t xml:space="preserve">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</w:t>
      </w:r>
      <w:proofErr w:type="gramStart"/>
      <w:r w:rsidRPr="009966C5">
        <w:t>sepíší</w:t>
      </w:r>
      <w:proofErr w:type="gramEnd"/>
      <w:r w:rsidRPr="009966C5">
        <w:t xml:space="preserve">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lastRenderedPageBreak/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7F723323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>
        <w:rPr>
          <w:bCs/>
        </w:rPr>
        <w:t xml:space="preserve"> </w:t>
      </w:r>
      <w:r w:rsidR="0065424C" w:rsidRPr="0065424C">
        <w:rPr>
          <w:bCs/>
        </w:rPr>
        <w:t xml:space="preserve">ve výši 1 % z celkové ceny Díla bez DPH za každý i jen započatý den prodlení </w:t>
      </w:r>
      <w:r w:rsidRPr="009966C5">
        <w:rPr>
          <w:bCs/>
        </w:rPr>
        <w:t>(Při podpisu této</w:t>
      </w:r>
      <w:r w:rsidR="00045951">
        <w:rPr>
          <w:bCs/>
        </w:rPr>
        <w:t> </w:t>
      </w:r>
      <w:r w:rsidRPr="009966C5">
        <w:rPr>
          <w:bCs/>
        </w:rPr>
        <w:t xml:space="preserve">smlouvy zhotovitel </w:t>
      </w:r>
      <w:proofErr w:type="gramStart"/>
      <w:r w:rsidRPr="009966C5">
        <w:rPr>
          <w:bCs/>
        </w:rPr>
        <w:t>předloží</w:t>
      </w:r>
      <w:proofErr w:type="gramEnd"/>
      <w:r w:rsidRPr="009966C5">
        <w:rPr>
          <w:bCs/>
        </w:rPr>
        <w:t xml:space="preserve">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7" w:name="_Ref368989260"/>
      <w:r w:rsidRPr="009966C5">
        <w:t>Ostatní ujednání</w:t>
      </w:r>
      <w:bookmarkEnd w:id="17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8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8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9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9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65424C" w:rsidRDefault="00584CF6" w:rsidP="0003369B">
      <w:pPr>
        <w:pStyle w:val="l-L2"/>
        <w:numPr>
          <w:ilvl w:val="0"/>
          <w:numId w:val="28"/>
        </w:numPr>
      </w:pPr>
      <w:r w:rsidRPr="0065424C">
        <w:lastRenderedPageBreak/>
        <w:t xml:space="preserve">Smluvní strany jsou si plně vědomy zákonné povinnosti </w:t>
      </w:r>
      <w:r w:rsidR="0076646C" w:rsidRPr="0065424C">
        <w:t>uveřejnit dle zákona č.</w:t>
      </w:r>
      <w:r w:rsidR="002F018A" w:rsidRPr="0065424C">
        <w:t> </w:t>
      </w:r>
      <w:r w:rsidR="0076646C" w:rsidRPr="0065424C">
        <w:t>340/2015 Sb., o zvláštních podmínkách účinnosti některých smluv, uveřejňování těchto smluv a</w:t>
      </w:r>
      <w:r w:rsidR="002C161F" w:rsidRPr="0065424C">
        <w:t> </w:t>
      </w:r>
      <w:r w:rsidR="0076646C" w:rsidRPr="0065424C">
        <w:t>o</w:t>
      </w:r>
      <w:r w:rsidR="00E65AC5" w:rsidRPr="0065424C">
        <w:t> </w:t>
      </w:r>
      <w:r w:rsidR="0076646C" w:rsidRPr="0065424C">
        <w:t>registru smluv (zákon o registru smluv)</w:t>
      </w:r>
      <w:r w:rsidRPr="0065424C">
        <w:t xml:space="preserve">, ve znění pozdějších předpisů, tuto smlouvu včetně všech případných dohod, kterými se tato smlouva doplňuje, mění, nahrazuje nebo </w:t>
      </w:r>
      <w:proofErr w:type="gramStart"/>
      <w:r w:rsidRPr="0065424C">
        <w:t>ruší</w:t>
      </w:r>
      <w:proofErr w:type="gramEnd"/>
      <w:r w:rsidRPr="0065424C">
        <w:t>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9966C5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Smlouva nabývá platnosti </w:t>
      </w:r>
      <w:r w:rsidRPr="0065424C">
        <w:rPr>
          <w:bCs/>
        </w:rPr>
        <w:t>dnem p</w:t>
      </w:r>
      <w:r w:rsidRPr="009966C5">
        <w:rPr>
          <w:bCs/>
        </w:rPr>
        <w:t xml:space="preserve">odpisu smluvních stran </w:t>
      </w:r>
      <w:r w:rsidRPr="0065424C">
        <w:rPr>
          <w:bCs/>
        </w:rPr>
        <w:t xml:space="preserve">a účinnosti dnem jejího uveřejnění v registru smluv dle ust. § 6 odst. 1 zákona č. 340/2015 Sb., </w:t>
      </w:r>
      <w:r w:rsidR="002F7752" w:rsidRPr="0065424C">
        <w:rPr>
          <w:bCs/>
        </w:rPr>
        <w:t>o registru smluv</w:t>
      </w:r>
      <w:r w:rsidR="00055A34" w:rsidRPr="0065424C">
        <w:rPr>
          <w:bCs/>
        </w:rPr>
        <w:t xml:space="preserve"> ve znění pozdějších předpisů</w:t>
      </w:r>
      <w:r w:rsidR="002F7752" w:rsidRPr="0065424C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13B1C5A3" w:rsidR="0098054B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>1</w:t>
      </w:r>
      <w:r w:rsidR="00D208DD">
        <w:t xml:space="preserve"> -</w:t>
      </w:r>
      <w:r w:rsidRPr="009966C5">
        <w:t xml:space="preserve"> Podrobná specifikace </w:t>
      </w:r>
      <w:r w:rsidR="005B107A" w:rsidRPr="009966C5">
        <w:t>Díla</w:t>
      </w:r>
    </w:p>
    <w:p w14:paraId="574D618A" w14:textId="23F2BB5F" w:rsidR="00D208DD" w:rsidRPr="009966C5" w:rsidRDefault="00D208DD" w:rsidP="005B7920">
      <w:pPr>
        <w:pStyle w:val="l-L2"/>
        <w:ind w:left="357"/>
      </w:pPr>
      <w:r w:rsidRPr="009966C5">
        <w:rPr>
          <w:bCs/>
        </w:rPr>
        <w:t>Příloh</w:t>
      </w:r>
      <w:r>
        <w:rPr>
          <w:bCs/>
        </w:rPr>
        <w:t>a</w:t>
      </w:r>
      <w:r w:rsidRPr="009966C5">
        <w:rPr>
          <w:bCs/>
        </w:rPr>
        <w:t xml:space="preserve"> č. </w:t>
      </w:r>
      <w:r>
        <w:rPr>
          <w:bCs/>
        </w:rPr>
        <w:t>2</w:t>
      </w:r>
      <w:r>
        <w:t xml:space="preserve"> - Podklad od zpracovatele </w:t>
      </w:r>
      <w:proofErr w:type="spellStart"/>
      <w:r>
        <w:t>KoPÚ</w:t>
      </w:r>
      <w:proofErr w:type="spellEnd"/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65424C">
      <w:pPr>
        <w:pStyle w:val="l-L2"/>
        <w:spacing w:before="0" w:after="0" w:line="240" w:lineRule="auto"/>
        <w:ind w:left="357"/>
        <w:contextualSpacing w:val="0"/>
      </w:pPr>
    </w:p>
    <w:tbl>
      <w:tblPr>
        <w:tblW w:w="9142" w:type="dxa"/>
        <w:tblLook w:val="04A0" w:firstRow="1" w:lastRow="0" w:firstColumn="1" w:lastColumn="0" w:noHBand="0" w:noVBand="1"/>
      </w:tblPr>
      <w:tblGrid>
        <w:gridCol w:w="4536"/>
        <w:gridCol w:w="4469"/>
        <w:gridCol w:w="137"/>
      </w:tblGrid>
      <w:tr w:rsidR="00D208DD" w:rsidRPr="0065424C" w14:paraId="22FB7408" w14:textId="77777777" w:rsidTr="0065424C">
        <w:tc>
          <w:tcPr>
            <w:tcW w:w="4536" w:type="dxa"/>
            <w:shd w:val="clear" w:color="auto" w:fill="auto"/>
          </w:tcPr>
          <w:p w14:paraId="15410296" w14:textId="6C51F2BC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V </w:t>
            </w:r>
            <w:r>
              <w:rPr>
                <w:rFonts w:cs="Arial"/>
                <w:b w:val="0"/>
                <w:i w:val="0"/>
                <w:szCs w:val="22"/>
              </w:rPr>
              <w:t>Břeclavi</w:t>
            </w:r>
            <w:r w:rsidRPr="00E93F51">
              <w:rPr>
                <w:rFonts w:cs="Arial"/>
                <w:b w:val="0"/>
                <w:i w:val="0"/>
                <w:szCs w:val="22"/>
              </w:rPr>
              <w:t xml:space="preserve"> dne</w:t>
            </w:r>
            <w:r>
              <w:rPr>
                <w:rFonts w:cs="Arial"/>
                <w:b w:val="0"/>
                <w:i w:val="0"/>
                <w:szCs w:val="22"/>
              </w:rPr>
              <w:t xml:space="preserve">: </w:t>
            </w:r>
            <w:r w:rsidRPr="0065424C">
              <w:rPr>
                <w:rFonts w:cs="Arial"/>
                <w:b w:val="0"/>
                <w:iCs/>
                <w:szCs w:val="22"/>
              </w:rPr>
              <w:t xml:space="preserve">dle el. </w:t>
            </w:r>
            <w:r w:rsidR="001865F9">
              <w:rPr>
                <w:rFonts w:cs="Arial"/>
                <w:b w:val="0"/>
                <w:iCs/>
                <w:szCs w:val="22"/>
              </w:rPr>
              <w:t>p</w:t>
            </w:r>
            <w:r w:rsidRPr="0065424C">
              <w:rPr>
                <w:rFonts w:cs="Arial"/>
                <w:b w:val="0"/>
                <w:iCs/>
                <w:szCs w:val="22"/>
              </w:rPr>
              <w:t>odpisu</w:t>
            </w:r>
            <w:r w:rsidR="001865F9">
              <w:rPr>
                <w:rFonts w:cs="Arial"/>
                <w:b w:val="0"/>
                <w:iCs/>
                <w:szCs w:val="22"/>
              </w:rPr>
              <w:t xml:space="preserve"> </w:t>
            </w:r>
            <w:r w:rsidR="001865F9" w:rsidRPr="00ED01E7">
              <w:rPr>
                <w:rFonts w:cs="Arial"/>
                <w:b w:val="0"/>
                <w:i w:val="0"/>
                <w:szCs w:val="22"/>
              </w:rPr>
              <w:t>2</w:t>
            </w:r>
            <w:r w:rsidR="00ED01E7" w:rsidRPr="00ED01E7">
              <w:rPr>
                <w:rFonts w:cs="Arial"/>
                <w:b w:val="0"/>
                <w:i w:val="0"/>
                <w:szCs w:val="22"/>
              </w:rPr>
              <w:t>2</w:t>
            </w:r>
            <w:r w:rsidR="001865F9" w:rsidRPr="00ED01E7">
              <w:rPr>
                <w:rFonts w:cs="Arial"/>
                <w:b w:val="0"/>
                <w:i w:val="0"/>
                <w:szCs w:val="22"/>
              </w:rPr>
              <w:t>.8.2025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5D0EFC8C" w14:textId="5F31A728" w:rsidR="00D208DD" w:rsidRPr="0065424C" w:rsidRDefault="00D208DD" w:rsidP="0065424C">
            <w:pPr>
              <w:pStyle w:val="Zkladntext"/>
              <w:spacing w:before="0" w:after="0" w:line="240" w:lineRule="auto"/>
              <w:ind w:left="-38"/>
              <w:contextualSpacing w:val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 xml:space="preserve">V </w:t>
            </w:r>
            <w:r>
              <w:rPr>
                <w:rFonts w:cs="Arial"/>
                <w:b w:val="0"/>
                <w:i w:val="0"/>
                <w:szCs w:val="22"/>
              </w:rPr>
              <w:t>Brně</w:t>
            </w:r>
            <w:r w:rsidRPr="00E93F51">
              <w:rPr>
                <w:rFonts w:cs="Arial"/>
                <w:b w:val="0"/>
                <w:i w:val="0"/>
                <w:szCs w:val="22"/>
              </w:rPr>
              <w:t xml:space="preserve"> dne</w:t>
            </w:r>
            <w:r>
              <w:rPr>
                <w:rFonts w:cs="Arial"/>
                <w:b w:val="0"/>
                <w:i w:val="0"/>
                <w:szCs w:val="22"/>
              </w:rPr>
              <w:t xml:space="preserve">: </w:t>
            </w:r>
            <w:r w:rsidRPr="0065424C">
              <w:rPr>
                <w:rFonts w:cs="Arial"/>
                <w:b w:val="0"/>
                <w:iCs/>
                <w:szCs w:val="22"/>
              </w:rPr>
              <w:t>dle el. podpisu</w:t>
            </w:r>
            <w:r>
              <w:rPr>
                <w:rFonts w:cs="Arial"/>
                <w:b w:val="0"/>
                <w:i w:val="0"/>
                <w:szCs w:val="22"/>
              </w:rPr>
              <w:t xml:space="preserve"> </w:t>
            </w:r>
            <w:r w:rsidR="001865F9">
              <w:rPr>
                <w:rFonts w:cs="Arial"/>
                <w:b w:val="0"/>
                <w:i w:val="0"/>
                <w:szCs w:val="22"/>
              </w:rPr>
              <w:t>21.8.2025</w:t>
            </w:r>
          </w:p>
        </w:tc>
      </w:tr>
      <w:tr w:rsidR="00D208DD" w:rsidRPr="00E93F51" w14:paraId="5313CB69" w14:textId="77777777" w:rsidTr="0065424C">
        <w:trPr>
          <w:gridAfter w:val="1"/>
          <w:wAfter w:w="137" w:type="dxa"/>
        </w:trPr>
        <w:tc>
          <w:tcPr>
            <w:tcW w:w="4536" w:type="dxa"/>
            <w:shd w:val="clear" w:color="auto" w:fill="auto"/>
          </w:tcPr>
          <w:p w14:paraId="239F2356" w14:textId="77777777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Objednatel:</w:t>
            </w:r>
          </w:p>
        </w:tc>
        <w:tc>
          <w:tcPr>
            <w:tcW w:w="4469" w:type="dxa"/>
            <w:shd w:val="clear" w:color="auto" w:fill="auto"/>
          </w:tcPr>
          <w:p w14:paraId="2B1B5836" w14:textId="77777777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Zhotovitel:</w:t>
            </w:r>
          </w:p>
        </w:tc>
      </w:tr>
      <w:tr w:rsidR="00D208DD" w:rsidRPr="00E93F51" w14:paraId="36E1A0C9" w14:textId="77777777" w:rsidTr="0065424C">
        <w:trPr>
          <w:gridAfter w:val="1"/>
          <w:wAfter w:w="137" w:type="dxa"/>
        </w:trPr>
        <w:tc>
          <w:tcPr>
            <w:tcW w:w="4536" w:type="dxa"/>
            <w:shd w:val="clear" w:color="auto" w:fill="auto"/>
          </w:tcPr>
          <w:p w14:paraId="396F5309" w14:textId="77777777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</w:p>
          <w:p w14:paraId="7ED15C94" w14:textId="77777777" w:rsidR="00D208DD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</w:p>
          <w:p w14:paraId="08DC4054" w14:textId="77777777" w:rsidR="0065424C" w:rsidRDefault="0065424C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</w:p>
          <w:p w14:paraId="40D99194" w14:textId="77777777" w:rsidR="00D208DD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</w:p>
          <w:p w14:paraId="75B29F52" w14:textId="77777777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</w:p>
          <w:p w14:paraId="609714B5" w14:textId="77777777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</w:p>
        </w:tc>
        <w:tc>
          <w:tcPr>
            <w:tcW w:w="4469" w:type="dxa"/>
            <w:shd w:val="clear" w:color="auto" w:fill="auto"/>
          </w:tcPr>
          <w:p w14:paraId="1F0250C7" w14:textId="77777777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</w:p>
        </w:tc>
      </w:tr>
      <w:tr w:rsidR="00D208DD" w:rsidRPr="00E93F51" w14:paraId="37C81E41" w14:textId="77777777" w:rsidTr="0065424C">
        <w:trPr>
          <w:gridAfter w:val="1"/>
          <w:wAfter w:w="137" w:type="dxa"/>
        </w:trPr>
        <w:tc>
          <w:tcPr>
            <w:tcW w:w="4536" w:type="dxa"/>
            <w:shd w:val="clear" w:color="auto" w:fill="auto"/>
          </w:tcPr>
          <w:p w14:paraId="08E2053B" w14:textId="77777777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…………………………………………….</w:t>
            </w:r>
          </w:p>
        </w:tc>
        <w:tc>
          <w:tcPr>
            <w:tcW w:w="4469" w:type="dxa"/>
            <w:shd w:val="clear" w:color="auto" w:fill="auto"/>
          </w:tcPr>
          <w:p w14:paraId="61EF637A" w14:textId="77777777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…………………………………………….</w:t>
            </w:r>
          </w:p>
        </w:tc>
      </w:tr>
      <w:tr w:rsidR="00D208DD" w:rsidRPr="00E93F51" w14:paraId="229ED7C1" w14:textId="77777777" w:rsidTr="0065424C">
        <w:trPr>
          <w:gridAfter w:val="1"/>
          <w:wAfter w:w="137" w:type="dxa"/>
        </w:trPr>
        <w:tc>
          <w:tcPr>
            <w:tcW w:w="4536" w:type="dxa"/>
            <w:shd w:val="clear" w:color="auto" w:fill="auto"/>
          </w:tcPr>
          <w:p w14:paraId="133D82C6" w14:textId="77777777" w:rsidR="00D208DD" w:rsidRDefault="00D208DD" w:rsidP="0065424C">
            <w:pPr>
              <w:pStyle w:val="Zkladntext21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Ing. et Ing. Luděk Drápal, MBA</w:t>
            </w:r>
          </w:p>
          <w:p w14:paraId="39CEB3A2" w14:textId="77777777" w:rsidR="00D208DD" w:rsidRDefault="00D208DD" w:rsidP="0065424C">
            <w:pPr>
              <w:pStyle w:val="Zkladntext21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vedoucí pobočky Břeclav, SPÚ</w:t>
            </w:r>
          </w:p>
          <w:p w14:paraId="49CE0F30" w14:textId="77777777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</w:p>
        </w:tc>
        <w:tc>
          <w:tcPr>
            <w:tcW w:w="4469" w:type="dxa"/>
            <w:shd w:val="clear" w:color="auto" w:fill="auto"/>
          </w:tcPr>
          <w:p w14:paraId="01298D44" w14:textId="77777777" w:rsidR="00D208DD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 xml:space="preserve">Mgr. Aleš </w:t>
            </w:r>
            <w:proofErr w:type="spellStart"/>
            <w:r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>Grünwald</w:t>
            </w:r>
            <w:proofErr w:type="spellEnd"/>
            <w:r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>jednatel</w:t>
            </w:r>
            <w:proofErr w:type="spellEnd"/>
          </w:p>
          <w:p w14:paraId="321D219A" w14:textId="77777777" w:rsidR="00D208DD" w:rsidRPr="00E93F51" w:rsidRDefault="00D208DD" w:rsidP="0065424C">
            <w:pPr>
              <w:pStyle w:val="Zkladntext"/>
              <w:spacing w:before="0" w:after="0" w:line="240" w:lineRule="auto"/>
              <w:contextualSpacing w:val="0"/>
              <w:rPr>
                <w:rFonts w:cs="Arial"/>
                <w:b w:val="0"/>
                <w:i w:val="0"/>
                <w:szCs w:val="22"/>
              </w:rPr>
            </w:pPr>
            <w:r w:rsidRPr="00D458D9"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 xml:space="preserve">HIG </w:t>
            </w:r>
            <w:proofErr w:type="spellStart"/>
            <w:r w:rsidRPr="00D458D9"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>geologická</w:t>
            </w:r>
            <w:proofErr w:type="spellEnd"/>
            <w:r w:rsidRPr="00D458D9"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 xml:space="preserve"> </w:t>
            </w:r>
            <w:proofErr w:type="spellStart"/>
            <w:r w:rsidRPr="00D458D9"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>služba</w:t>
            </w:r>
            <w:proofErr w:type="spellEnd"/>
            <w:r w:rsidRPr="00D458D9"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 xml:space="preserve">, </w:t>
            </w:r>
            <w:proofErr w:type="spellStart"/>
            <w:r w:rsidRPr="00D458D9"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>spol</w:t>
            </w:r>
            <w:proofErr w:type="spellEnd"/>
            <w:r w:rsidRPr="00D458D9"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 xml:space="preserve">. s </w:t>
            </w:r>
            <w:proofErr w:type="spellStart"/>
            <w:r w:rsidRPr="00D458D9"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>r.o</w:t>
            </w:r>
            <w:proofErr w:type="spellEnd"/>
            <w:r w:rsidRPr="00D458D9"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  <w:t>.</w:t>
            </w:r>
          </w:p>
        </w:tc>
      </w:tr>
    </w:tbl>
    <w:p w14:paraId="0CF15299" w14:textId="15E7F1B7" w:rsidR="00C20EEB" w:rsidRPr="00393090" w:rsidRDefault="00D208DD" w:rsidP="0065424C">
      <w:pPr>
        <w:pStyle w:val="Nadpis1"/>
        <w:spacing w:before="0" w:after="0" w:line="240" w:lineRule="auto"/>
        <w:contextualSpacing w:val="0"/>
        <w:rPr>
          <w:b/>
          <w:bCs w:val="0"/>
          <w:sz w:val="22"/>
          <w:szCs w:val="28"/>
        </w:rPr>
      </w:pPr>
      <w:r w:rsidRPr="00E93F51">
        <w:rPr>
          <w:rFonts w:cs="Arial"/>
          <w:szCs w:val="22"/>
        </w:rPr>
        <w:br w:type="page"/>
      </w:r>
      <w:r w:rsidR="00C20EEB"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="00C20EEB"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="00C20EEB"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1FF8A95A" w14:textId="77777777" w:rsidR="0066031A" w:rsidRPr="0066031A" w:rsidRDefault="0066031A" w:rsidP="0066031A">
      <w:pPr>
        <w:rPr>
          <w:rFonts w:cs="Arial"/>
          <w:i/>
          <w:iCs/>
        </w:rPr>
      </w:pPr>
      <w:r w:rsidRPr="007E26C7">
        <w:rPr>
          <w:rFonts w:cs="Arial"/>
          <w:i/>
          <w:iCs/>
        </w:rPr>
        <w:t>(Vybere se specifikace díla dle typu stavby)</w:t>
      </w:r>
    </w:p>
    <w:p w14:paraId="20FA739A" w14:textId="77777777" w:rsidR="00C20EEB" w:rsidRPr="009966C5" w:rsidRDefault="00C20EEB" w:rsidP="00C20EEB"/>
    <w:p w14:paraId="080DC203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12D8A703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 xml:space="preserve">Pro stanovení podmínek pro zpracování projektové dokumentace pro realizaci stavby vždy </w:t>
      </w:r>
      <w:proofErr w:type="gramStart"/>
      <w:r w:rsidRPr="009966C5">
        <w:t>slouží</w:t>
      </w:r>
      <w:proofErr w:type="gramEnd"/>
      <w:r w:rsidRPr="009966C5">
        <w:t xml:space="preserve"> podrobný geotechnický průzkum, který může navazovat na předběžný průzkum.</w:t>
      </w:r>
    </w:p>
    <w:p w14:paraId="1C8BE13A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3D4C3E52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mapové podklady</w:t>
      </w:r>
    </w:p>
    <w:p w14:paraId="30FF97D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technické práce a podklady,</w:t>
      </w:r>
    </w:p>
    <w:p w14:paraId="587215C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terénní měření a laboratorní zkoušky,</w:t>
      </w:r>
    </w:p>
    <w:p w14:paraId="2BBB9133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náležitosti závěrečné zprávy,</w:t>
      </w:r>
    </w:p>
    <w:p w14:paraId="55BE13B0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členění díla.</w:t>
      </w:r>
    </w:p>
    <w:p w14:paraId="78062FAF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Zadání a požadavky na podrobný geotechnický průzkum pro polní cesty</w:t>
      </w:r>
    </w:p>
    <w:p w14:paraId="20604A3B" w14:textId="77777777" w:rsidR="00C20EEB" w:rsidRPr="009966C5" w:rsidRDefault="00C20EEB" w:rsidP="00C20EEB">
      <w:pPr>
        <w:rPr>
          <w:rFonts w:eastAsia="Calibri"/>
        </w:rPr>
      </w:pPr>
    </w:p>
    <w:p w14:paraId="290C8470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996EF4" w:rsidRPr="009966C5" w14:paraId="7F07AB7F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8FB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F67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C3D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21C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F55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96EF4" w:rsidRPr="009966C5" w14:paraId="6DDB9C44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1D7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976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EF17C" w14:textId="2B03DDC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3076D" w14:textId="286FA194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B1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681A1CA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6BE4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D70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DD97D" w14:textId="5593454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D7CFB" w14:textId="5D9667E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A9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FC90022" w14:textId="77777777" w:rsidTr="00996EF4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8A18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1F3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BA8D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A0F1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2836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996EF4" w:rsidRPr="009966C5" w14:paraId="5CA9A318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6E4D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6A7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041D0" w14:textId="3BA11079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97A76" w14:textId="6E1D118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000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17D82C3C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2C3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237E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65F52" w14:textId="37F72E2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A98E" w14:textId="6C35AD7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C669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5B25C5FF" w14:textId="77777777" w:rsidR="00C20EEB" w:rsidRPr="009966C5" w:rsidRDefault="00C20EEB" w:rsidP="00C20EEB">
      <w:pPr>
        <w:rPr>
          <w:rFonts w:eastAsia="Calibri"/>
        </w:rPr>
      </w:pPr>
    </w:p>
    <w:p w14:paraId="5329BD6C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C20EEB" w:rsidRPr="009966C5" w14:paraId="6659B0E1" w14:textId="77777777" w:rsidTr="00AF2725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4C6C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E25E335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8E9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31CF0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9FF5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4B207296" w14:textId="77777777" w:rsidTr="00AF2725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A34F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F5B0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C6D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9F5CBD6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8B2B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D0899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FA18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1765273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97EE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133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569B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C20EEB" w:rsidRPr="009966C5" w14:paraId="7F3E1E32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CCF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4C24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DC72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C20EEB" w:rsidRPr="009966C5" w14:paraId="2A96C5B0" w14:textId="77777777" w:rsidTr="00AF2725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6E1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EB1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4665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C20EEB" w:rsidRPr="009966C5" w14:paraId="190BDB26" w14:textId="77777777" w:rsidTr="00AF2725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BF9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5B93D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00C7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76E2FC12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7CED3260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32B2862F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5D295EA" w14:textId="77777777" w:rsidR="00C20EEB" w:rsidRPr="009966C5" w:rsidRDefault="00C20EEB" w:rsidP="00C20EEB">
      <w:pPr>
        <w:spacing w:before="0" w:after="0" w:line="240" w:lineRule="auto"/>
        <w:contextualSpacing w:val="0"/>
        <w:jc w:val="left"/>
        <w:rPr>
          <w:rFonts w:eastAsia="Calibri"/>
        </w:rPr>
      </w:pPr>
      <w:r w:rsidRPr="009966C5">
        <w:rPr>
          <w:rFonts w:eastAsia="Calibri"/>
        </w:rPr>
        <w:br w:type="page"/>
      </w:r>
    </w:p>
    <w:p w14:paraId="7ACDE781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rFonts w:eastAsia="Times New Roman"/>
          <w:b/>
          <w:bCs/>
        </w:rPr>
        <w:lastRenderedPageBreak/>
        <w:t>Požadavky na terénní měření a laboratorní zkoušky</w:t>
      </w:r>
    </w:p>
    <w:p w14:paraId="4837343A" w14:textId="1F65F916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 w:rsidR="00F107B5"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 w:rsidR="00F107B5"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 w:rsidR="004B6247">
        <w:rPr>
          <w:rFonts w:eastAsia="Calibri"/>
        </w:rPr>
        <w:t>.</w:t>
      </w:r>
    </w:p>
    <w:p w14:paraId="08DB725C" w14:textId="7782667B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proofErr w:type="spellStart"/>
      <w:r w:rsidRPr="009966C5">
        <w:rPr>
          <w:rFonts w:eastAsia="Calibri"/>
        </w:rPr>
        <w:t>poloskalních</w:t>
      </w:r>
      <w:proofErr w:type="spellEnd"/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průzkumu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342FC1"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 w:rsidR="00F107B5"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 w:rsidR="00F107B5">
        <w:rPr>
          <w:rFonts w:eastAsia="Calibri"/>
        </w:rPr>
        <w:t> 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65BEEC5E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687EADC9" w14:textId="4EE48B46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5EDDD77A" w14:textId="5B1E7025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7FA04CE4" w14:textId="751D50FD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43B2C468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3C25B41B" w14:textId="5EC91EED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198A704E" w14:textId="14FEE62B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penetračního makadamu je třeba provést laboratorní rozbory na přítomnost polycyklických aromatických uhlovodíků (PAU) a dále postupovat dle </w:t>
      </w:r>
      <w:proofErr w:type="spellStart"/>
      <w:r>
        <w:rPr>
          <w:rFonts w:eastAsia="Calibri"/>
          <w:lang w:eastAsia="en-US"/>
        </w:rPr>
        <w:t>vyhl</w:t>
      </w:r>
      <w:proofErr w:type="spellEnd"/>
      <w:r>
        <w:rPr>
          <w:rFonts w:eastAsia="Calibri"/>
          <w:lang w:eastAsia="en-US"/>
        </w:rPr>
        <w:t>. č. 283/2023 Sb.</w:t>
      </w:r>
    </w:p>
    <w:p w14:paraId="0D7B3FFC" w14:textId="77777777" w:rsidR="00C20EEB" w:rsidRPr="009966C5" w:rsidRDefault="00C20EEB" w:rsidP="00C20EEB">
      <w:pPr>
        <w:rPr>
          <w:rFonts w:eastAsia="Calibri"/>
        </w:rPr>
      </w:pPr>
    </w:p>
    <w:p w14:paraId="4C5267A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C20EEB" w:rsidRPr="009966C5" w14:paraId="7D50B29E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5F925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7CF1B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C20EEB" w:rsidRPr="009966C5" w14:paraId="16E42ED1" w14:textId="77777777" w:rsidTr="00AF2725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E154C2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7D459C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C20EEB" w:rsidRPr="009966C5" w14:paraId="156E0F81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E4C3CB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8219B" w14:textId="52EA763A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C20EEB" w:rsidRPr="009966C5" w14:paraId="607C5CE1" w14:textId="77777777" w:rsidTr="00AF2725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55735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35F81D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C20EEB" w:rsidRPr="009966C5" w14:paraId="2B03E557" w14:textId="77777777" w:rsidTr="00AF2725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0416C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E9BCFD" w14:textId="17BDC729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C20EEB" w:rsidRPr="009966C5" w14:paraId="0A163797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82139F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C378C82" w14:textId="129986E4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C20EEB" w:rsidRPr="009966C5" w14:paraId="3AE3BA93" w14:textId="77777777" w:rsidTr="00AF2725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5F3F99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179CB6" w14:textId="7056FC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C20EEB" w:rsidRPr="009966C5" w14:paraId="0DBDF059" w14:textId="77777777" w:rsidTr="00AF2725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7965AE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E9A9A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C20EEB" w:rsidRPr="009966C5" w14:paraId="2943DF57" w14:textId="77777777" w:rsidTr="00AF2725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BA371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4E11086" w14:textId="396FE53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C20EEB" w:rsidRPr="009966C5" w14:paraId="0EE4FF7A" w14:textId="77777777" w:rsidTr="005B74A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DBCD5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A618069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79881502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49AD7E6" w14:textId="4265A6D8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 w:rsidR="00342FC1">
              <w:rPr>
                <w:spacing w:val="-1"/>
                <w:lang w:val="cs-CZ"/>
              </w:rPr>
              <w:t>.</w:t>
            </w:r>
          </w:p>
          <w:p w14:paraId="73597B3A" w14:textId="50BE965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 w:rsidR="00342FC1">
              <w:rPr>
                <w:spacing w:val="-1"/>
                <w:lang w:val="cs-CZ"/>
              </w:rPr>
              <w:t>.</w:t>
            </w:r>
          </w:p>
          <w:p w14:paraId="4AD956D5" w14:textId="3A9A7AB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 w:rsidR="00342FC1">
              <w:rPr>
                <w:spacing w:val="-1"/>
                <w:lang w:val="cs-CZ"/>
              </w:rPr>
              <w:t>.</w:t>
            </w:r>
          </w:p>
        </w:tc>
      </w:tr>
      <w:tr w:rsidR="00C20EEB" w:rsidRPr="009966C5" w14:paraId="2D6A618F" w14:textId="77777777" w:rsidTr="00AF2725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29937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0BBD5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C20EEB" w:rsidRPr="009966C5" w14:paraId="33494D6D" w14:textId="77777777" w:rsidTr="00AF2725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2D7DF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4676D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1E2C2119" w14:textId="77777777" w:rsidR="00C20EEB" w:rsidRPr="009966C5" w:rsidRDefault="00C20EEB" w:rsidP="00C20EEB">
      <w:pPr>
        <w:rPr>
          <w:rFonts w:cs="Arial"/>
          <w:szCs w:val="22"/>
        </w:rPr>
      </w:pPr>
    </w:p>
    <w:p w14:paraId="1DFE6F0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44F67387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3DBAD1E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313EFF9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6EEA07D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233C6C0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6009DC34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5519A8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56A2B6AA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B466E73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180811B0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089B5399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</w:p>
    <w:p w14:paraId="49E2D312" w14:textId="77777777" w:rsidR="00C20EEB" w:rsidRPr="009966C5" w:rsidRDefault="00C20EEB" w:rsidP="00C20EEB">
      <w:pPr>
        <w:rPr>
          <w:rFonts w:cs="Arial"/>
          <w:szCs w:val="22"/>
        </w:rPr>
      </w:pPr>
    </w:p>
    <w:p w14:paraId="1DC8461D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cs="Arial"/>
          <w:b/>
          <w:bCs/>
          <w:spacing w:val="-1"/>
          <w:szCs w:val="22"/>
          <w:u w:val="single" w:color="000000"/>
        </w:rPr>
      </w:pPr>
      <w:r w:rsidRPr="009966C5">
        <w:rPr>
          <w:b/>
          <w:bCs/>
        </w:rPr>
        <w:t>Zadání a požadavky na podrobný geotechnický průzkum pro vodní nádrže a poldry</w:t>
      </w:r>
    </w:p>
    <w:p w14:paraId="3A476BC0" w14:textId="77777777" w:rsidR="0066031A" w:rsidRPr="0066031A" w:rsidRDefault="0066031A" w:rsidP="0066031A">
      <w:pPr>
        <w:rPr>
          <w:rFonts w:eastAsia="Calibri"/>
          <w:bCs/>
          <w:i/>
        </w:rPr>
      </w:pPr>
      <w:r w:rsidRPr="007E26C7">
        <w:rPr>
          <w:rFonts w:eastAsia="Calibri"/>
          <w:bCs/>
          <w:i/>
        </w:rPr>
        <w:t>(Tuto specifikaci díla je možno použít v přiměřené míře i pro protierozní opatření)</w:t>
      </w:r>
    </w:p>
    <w:p w14:paraId="70B3572F" w14:textId="77777777" w:rsidR="00C20EEB" w:rsidRPr="009966C5" w:rsidRDefault="00C20EEB" w:rsidP="00C20EEB">
      <w:pPr>
        <w:rPr>
          <w:rFonts w:eastAsia="Calibri"/>
        </w:rPr>
      </w:pPr>
    </w:p>
    <w:p w14:paraId="2B249A4A" w14:textId="48035B43" w:rsidR="00C20EEB" w:rsidRPr="009966C5" w:rsidRDefault="00C20EEB" w:rsidP="003126AE">
      <w:pPr>
        <w:rPr>
          <w:rFonts w:eastAsia="Calibri"/>
        </w:rPr>
      </w:pPr>
      <w:r w:rsidRPr="009966C5">
        <w:rPr>
          <w:u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</w:t>
      </w:r>
      <w:r w:rsidR="006629B2">
        <w:rPr>
          <w:u w:color="000000"/>
        </w:rPr>
        <w:t> </w:t>
      </w:r>
      <w:r w:rsidRPr="009966C5">
        <w:rPr>
          <w:u w:color="000000"/>
        </w:rPr>
        <w:t>C a</w:t>
      </w:r>
      <w:r w:rsidR="006629B2">
        <w:rPr>
          <w:u w:color="000000"/>
        </w:rPr>
        <w:t> </w:t>
      </w:r>
      <w:r w:rsidRPr="009966C5">
        <w:rPr>
          <w:u w:color="000000"/>
        </w:rPr>
        <w:t>D.</w:t>
      </w:r>
    </w:p>
    <w:p w14:paraId="363FD83C" w14:textId="77777777" w:rsidR="00C20EEB" w:rsidRPr="009966C5" w:rsidRDefault="00C20EEB" w:rsidP="00C20EEB">
      <w:pPr>
        <w:rPr>
          <w:rFonts w:eastAsia="Calibri"/>
        </w:rPr>
      </w:pPr>
    </w:p>
    <w:p w14:paraId="4A5736FC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b/>
          <w:bCs/>
        </w:rPr>
        <w:t>Podklady pro zadání průzkumu: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8"/>
        <w:gridCol w:w="2064"/>
        <w:gridCol w:w="2381"/>
        <w:gridCol w:w="1793"/>
      </w:tblGrid>
      <w:tr w:rsidR="00C20EEB" w:rsidRPr="009966C5" w14:paraId="470A66B0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3C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54D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0F1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Hráz, objekty hráze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1F5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C20EEB" w:rsidRPr="009966C5" w14:paraId="2E76220B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4C6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A6F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7857" w14:textId="13A8C010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 (500)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870F" w14:textId="1A71255C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1BB20E52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C0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444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5AF7" w14:textId="01FAF57F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 (200)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780A" w14:textId="7863744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6975FD00" w14:textId="77777777" w:rsidTr="00AF2725">
        <w:trPr>
          <w:trHeight w:hRule="exact" w:val="31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2ED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(příčný)profil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B9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190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068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622C75B8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E88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62B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51C3" w14:textId="4CEB82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1:200/200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77AA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59B38FC9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003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244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8944" w14:textId="5ECF2C8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1:100/100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FA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</w:tbl>
    <w:p w14:paraId="589FF1C7" w14:textId="77777777" w:rsidR="00C20EEB" w:rsidRPr="009966C5" w:rsidRDefault="00C20EEB" w:rsidP="00C20EEB">
      <w:pPr>
        <w:rPr>
          <w:rFonts w:eastAsia="Calibri"/>
        </w:rPr>
      </w:pPr>
    </w:p>
    <w:p w14:paraId="0B0B3E61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C20EEB" w:rsidRPr="009966C5" w14:paraId="3C7176EB" w14:textId="77777777" w:rsidTr="00AF2725">
        <w:trPr>
          <w:trHeight w:hRule="exact" w:val="349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D5F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CADC761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D77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854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1CE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7DB35635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A3D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 včetně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zavázání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38A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50 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538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 až 35 m</w:t>
            </w:r>
          </w:p>
        </w:tc>
      </w:tr>
      <w:tr w:rsidR="00C20EEB" w:rsidRPr="009966C5" w14:paraId="7E1DEA5C" w14:textId="77777777" w:rsidTr="00AF2725">
        <w:trPr>
          <w:trHeight w:hRule="exact" w:val="5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77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výpustního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objektu,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přelivu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FF7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 sonda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32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 sondy</w:t>
            </w:r>
          </w:p>
        </w:tc>
      </w:tr>
      <w:tr w:rsidR="00C20EEB" w:rsidRPr="009966C5" w14:paraId="1ABAF416" w14:textId="77777777" w:rsidTr="00AF2725">
        <w:trPr>
          <w:trHeight w:hRule="exact" w:val="12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5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pod hrází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76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910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2D477D39" w14:textId="77777777" w:rsidTr="00AF2725">
        <w:trPr>
          <w:trHeight w:hRule="exact" w:val="12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2BB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 výpustního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3B4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3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24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projektovanou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</w:t>
            </w:r>
            <w:r w:rsidRPr="009966C5">
              <w:rPr>
                <w:spacing w:val="21"/>
                <w:lang w:val="cs-CZ"/>
              </w:rPr>
              <w:t xml:space="preserve"> </w:t>
            </w:r>
            <w:r w:rsidRPr="009966C5">
              <w:rPr>
                <w:lang w:val="cs-CZ"/>
              </w:rPr>
              <w:t>spárou (vždy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dostatečně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9D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4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projektovanou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 spárou (vždy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49F2BEE0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BB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447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6FE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6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</w:tr>
      <w:tr w:rsidR="00C20EEB" w:rsidRPr="009966C5" w14:paraId="0ED028F0" w14:textId="77777777" w:rsidTr="00AF2725">
        <w:trPr>
          <w:trHeight w:hRule="exact" w:val="10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60E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78D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vody,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DFE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vody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</w:tr>
    </w:tbl>
    <w:p w14:paraId="62BF435F" w14:textId="77777777" w:rsidR="00C20EEB" w:rsidRPr="009966C5" w:rsidRDefault="00C20EEB" w:rsidP="00C20EEB"/>
    <w:p w14:paraId="5E887897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terénní měření a laboratorní zkoušky:</w:t>
      </w:r>
    </w:p>
    <w:p w14:paraId="348713F8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technických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prací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36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59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pod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tělesem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hráze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místě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výpustního zařízení.</w:t>
      </w:r>
    </w:p>
    <w:p w14:paraId="3D15E623" w14:textId="3C8C4929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zemin, 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proofErr w:type="spellStart"/>
      <w:r w:rsidRPr="009966C5">
        <w:rPr>
          <w:rFonts w:eastAsia="Calibri"/>
        </w:rPr>
        <w:t>poloskalních</w:t>
      </w:r>
      <w:proofErr w:type="spellEnd"/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hornin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pro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38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zařazení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do klasifikačního</w:t>
      </w:r>
      <w:r w:rsidRPr="009966C5">
        <w:rPr>
          <w:rFonts w:eastAsia="Calibri"/>
          <w:spacing w:val="43"/>
        </w:rPr>
        <w:t xml:space="preserve"> </w:t>
      </w:r>
      <w:r w:rsidRPr="009966C5">
        <w:rPr>
          <w:rFonts w:eastAsia="Calibri"/>
        </w:rPr>
        <w:t>systému</w:t>
      </w:r>
      <w:r w:rsidRPr="009966C5">
        <w:rPr>
          <w:rFonts w:eastAsia="Calibri"/>
          <w:spacing w:val="61"/>
        </w:rPr>
        <w:t xml:space="preserve"> </w:t>
      </w:r>
      <w:r w:rsidRPr="009966C5">
        <w:rPr>
          <w:rFonts w:eastAsia="Calibri"/>
        </w:rPr>
        <w:t>(ČSN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2410,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14688-2,).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základě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provedených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laboratorních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rozborů 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zařadit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použitelnosti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parametrů:</w:t>
      </w:r>
    </w:p>
    <w:p w14:paraId="0C2AACC7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hráze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ani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těsnící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5C32FC86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homogenní</w:t>
      </w:r>
      <w:r w:rsidRPr="009966C5">
        <w:rPr>
          <w:rFonts w:eastAsia="Calibri"/>
        </w:rPr>
        <w:t xml:space="preserve"> hráze,</w:t>
      </w:r>
    </w:p>
    <w:p w14:paraId="2B0E7D4B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 těsnicí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65E96D3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stabilizační</w:t>
      </w:r>
      <w:r w:rsidRPr="009966C5">
        <w:rPr>
          <w:rFonts w:eastAsia="Calibri"/>
        </w:rPr>
        <w:t xml:space="preserve"> části hráze,</w:t>
      </w:r>
    </w:p>
    <w:p w14:paraId="470F3E41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propustnost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hráze,</w:t>
      </w:r>
    </w:p>
    <w:p w14:paraId="2ED41FB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geomechanické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parametry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 z podloží výpustního objektu,</w:t>
      </w:r>
    </w:p>
    <w:p w14:paraId="1AD0F8EF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ověření geotechnických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parametrů zemin 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zemníku (zrnitost,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vlhkost,</w:t>
      </w:r>
      <w:r w:rsidRPr="009966C5">
        <w:rPr>
          <w:rFonts w:eastAsia="Calibri"/>
          <w:spacing w:val="-2"/>
        </w:rPr>
        <w:t xml:space="preserve"> </w:t>
      </w:r>
      <w:proofErr w:type="spellStart"/>
      <w:r w:rsidRPr="009966C5">
        <w:rPr>
          <w:rFonts w:eastAsia="Calibri"/>
        </w:rPr>
        <w:t>Proctor</w:t>
      </w:r>
      <w:proofErr w:type="spellEnd"/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standard, propustnost).</w:t>
      </w:r>
    </w:p>
    <w:p w14:paraId="5DEAB9AC" w14:textId="07C6725B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stavebních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objektů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vzorky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53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agresivity prostředí na beton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 EN 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045B4571" w14:textId="5501B9AC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</w:t>
      </w:r>
      <w:r w:rsidR="009E4D8F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penetračního makadamu je třeba provést laboratorní rozbory na přítomnost polycyklických aromatických uhlovodíků (PAU) a dále postupovat dle </w:t>
      </w:r>
      <w:proofErr w:type="spellStart"/>
      <w:r>
        <w:rPr>
          <w:rFonts w:eastAsia="Calibri"/>
          <w:lang w:eastAsia="en-US"/>
        </w:rPr>
        <w:t>vyhl</w:t>
      </w:r>
      <w:proofErr w:type="spellEnd"/>
      <w:r>
        <w:rPr>
          <w:rFonts w:eastAsia="Calibri"/>
          <w:lang w:eastAsia="en-US"/>
        </w:rPr>
        <w:t>. č. 283/2023 Sb.</w:t>
      </w:r>
    </w:p>
    <w:p w14:paraId="408858AE" w14:textId="77777777" w:rsidR="00BF21E6" w:rsidRPr="009966C5" w:rsidRDefault="00BF21E6" w:rsidP="00C20EEB">
      <w:pPr>
        <w:rPr>
          <w:rFonts w:eastAsia="Calibri"/>
        </w:rPr>
      </w:pPr>
    </w:p>
    <w:p w14:paraId="10E1D4F4" w14:textId="77777777" w:rsidR="00C20EEB" w:rsidRPr="009966C5" w:rsidRDefault="00C20EEB" w:rsidP="00C20EEB">
      <w:pPr>
        <w:rPr>
          <w:rFonts w:eastAsia="Calibri"/>
        </w:rPr>
      </w:pPr>
    </w:p>
    <w:p w14:paraId="42B34379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Calibri" w:cs="Arial"/>
          <w:szCs w:val="22"/>
        </w:rPr>
      </w:pPr>
      <w:r w:rsidRPr="009966C5">
        <w:rPr>
          <w:b/>
          <w:bCs/>
        </w:rPr>
        <w:t>Závěrečná zpráva o podrobném průzkumu obsahuje: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20EEB" w:rsidRPr="009966C5" w14:paraId="4043A7B1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30409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2AAD3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výpustního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objektu.</w:t>
            </w:r>
          </w:p>
        </w:tc>
      </w:tr>
      <w:tr w:rsidR="00C20EEB" w:rsidRPr="009966C5" w14:paraId="6DC939E0" w14:textId="77777777" w:rsidTr="00AF2725">
        <w:trPr>
          <w:trHeight w:hRule="exact" w:val="91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84F82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31F678" w14:textId="463DAC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ohledem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propustnost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zemin pod</w:t>
            </w:r>
            <w:r w:rsidR="009645E2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hrází</w:t>
            </w:r>
            <w:r w:rsidRPr="009966C5">
              <w:rPr>
                <w:lang w:val="cs-CZ"/>
              </w:rPr>
              <w:t xml:space="preserve"> a </w:t>
            </w:r>
            <w:r w:rsidRPr="009966C5">
              <w:rPr>
                <w:spacing w:val="-1"/>
                <w:lang w:val="cs-CZ"/>
              </w:rPr>
              <w:t>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hrází</w:t>
            </w:r>
            <w:r w:rsidRPr="009966C5">
              <w:rPr>
                <w:lang w:val="cs-CZ"/>
              </w:rPr>
              <w:t xml:space="preserve"> z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stavů, doporučení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svahů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konci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F69E634" w14:textId="77777777" w:rsidTr="00AF2725">
        <w:trPr>
          <w:trHeight w:hRule="exact" w:val="824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BE2FD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3F74A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Návrh 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výpustního objektu,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55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výpustním zařízením </w:t>
            </w:r>
            <w:r w:rsidRPr="009966C5">
              <w:rPr>
                <w:lang w:val="cs-CZ"/>
              </w:rPr>
              <w:t>z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stavů.</w:t>
            </w:r>
          </w:p>
        </w:tc>
      </w:tr>
      <w:tr w:rsidR="00C20EEB" w:rsidRPr="009966C5" w14:paraId="63E6CB5E" w14:textId="77777777" w:rsidTr="00AF2725">
        <w:trPr>
          <w:trHeight w:hRule="exact" w:val="6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B14F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3290B9" w14:textId="506A91A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stupně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 agresivního</w:t>
            </w:r>
            <w:r w:rsidRPr="009966C5">
              <w:rPr>
                <w:spacing w:val="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Pr="009966C5">
              <w:rPr>
                <w:rFonts w:eastAsia="Calibri"/>
                <w:spacing w:val="1"/>
                <w:lang w:val="cs-CZ"/>
              </w:rPr>
              <w:t xml:space="preserve"> ČSN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EN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206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>+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lang w:val="cs-CZ"/>
              </w:rPr>
              <w:t>ČSN.</w:t>
            </w:r>
          </w:p>
        </w:tc>
      </w:tr>
      <w:tr w:rsidR="00C20EEB" w:rsidRPr="009966C5" w14:paraId="4BC20A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4BDE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C5F7D9" w14:textId="4D8A4FC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použitelnosti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hornin 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zemníků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sypaniny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 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2"/>
                <w:lang w:val="cs-CZ"/>
              </w:rPr>
              <w:t>ČSN</w:t>
            </w:r>
            <w:r w:rsidR="00EB5177">
              <w:rPr>
                <w:spacing w:val="-2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75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2410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4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lang w:val="cs-CZ"/>
              </w:rPr>
              <w:t>73</w:t>
            </w:r>
            <w:r w:rsidR="00EB5177">
              <w:rPr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6133.</w:t>
            </w:r>
          </w:p>
        </w:tc>
      </w:tr>
      <w:tr w:rsidR="00C20EEB" w:rsidRPr="009966C5" w14:paraId="1D77C3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23A6E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C660AD" w14:textId="26571DC6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6133 do </w:t>
            </w:r>
            <w:r w:rsidRPr="009966C5">
              <w:rPr>
                <w:lang w:val="cs-CZ"/>
              </w:rPr>
              <w:t>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tříd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kategorií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</w:t>
            </w:r>
            <w:r w:rsidRPr="009966C5">
              <w:rPr>
                <w:spacing w:val="45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dohody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objednatelem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06768BB7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9DCD6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EDA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typu zastiženého materiálu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-1"/>
                <w:lang w:val="cs-CZ"/>
              </w:rPr>
              <w:t xml:space="preserve"> zemníku 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typu 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–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homogenní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smíšené</w:t>
            </w:r>
            <w:r w:rsidRPr="009966C5">
              <w:rPr>
                <w:spacing w:val="3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konstrukce.</w:t>
            </w:r>
          </w:p>
        </w:tc>
      </w:tr>
      <w:tr w:rsidR="00C20EEB" w:rsidRPr="009966C5" w14:paraId="28D48B5D" w14:textId="77777777" w:rsidTr="00AF2725">
        <w:trPr>
          <w:trHeight w:hRule="exact" w:val="49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DA9F8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27EDA4" w14:textId="54F6EF51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navrženého typu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trvalého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sklonu</w:t>
            </w:r>
            <w:r w:rsidRPr="009966C5">
              <w:rPr>
                <w:lang w:val="cs-CZ"/>
              </w:rPr>
              <w:t xml:space="preserve"> </w:t>
            </w:r>
            <w:r w:rsidR="00F4403B">
              <w:rPr>
                <w:lang w:val="cs-CZ"/>
              </w:rPr>
              <w:noBreakHyphen/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návodní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vzdušné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strany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3352126" w14:textId="77777777" w:rsidTr="00AF2725">
        <w:trPr>
          <w:trHeight w:hRule="exact" w:val="27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F3400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EB62A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Vyšetření režimu hladiny podzemní vody v prostoru hráze a jejím nejbližším okolí.</w:t>
            </w:r>
          </w:p>
        </w:tc>
      </w:tr>
      <w:tr w:rsidR="00C20EEB" w:rsidRPr="009966C5" w14:paraId="2E07F318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57F4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0A3C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vlivu geotechnických poměrů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povětrnostních podmínek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provádění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zemních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714BF674" w14:textId="77777777" w:rsidTr="00AF2725">
        <w:trPr>
          <w:trHeight w:hRule="exact" w:val="8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05A5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AA174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stavební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činnosti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budoucího poldru nebo 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nádrže</w:t>
            </w:r>
            <w:r w:rsidRPr="009966C5">
              <w:rPr>
                <w:spacing w:val="48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okolí</w:t>
            </w:r>
            <w:r w:rsidRPr="009966C5">
              <w:rPr>
                <w:lang w:val="cs-CZ"/>
              </w:rPr>
              <w:t xml:space="preserve">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ohrožení</w:t>
            </w:r>
            <w:r w:rsidRPr="009966C5">
              <w:rPr>
                <w:spacing w:val="7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ve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stávajících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vodních zdrojích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jejich znečištění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posoudit</w:t>
            </w:r>
            <w:r w:rsidRPr="009966C5">
              <w:rPr>
                <w:spacing w:val="-4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možnost</w:t>
            </w:r>
            <w:r w:rsidRPr="009966C5">
              <w:rPr>
                <w:spacing w:val="6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zřízení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náhradních zdrojů).</w:t>
            </w:r>
          </w:p>
        </w:tc>
      </w:tr>
      <w:tr w:rsidR="00C20EEB" w:rsidRPr="009966C5" w14:paraId="528593C5" w14:textId="77777777" w:rsidTr="00AF2725">
        <w:trPr>
          <w:trHeight w:hRule="exact" w:val="44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3AB40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A56EE" w14:textId="77777777" w:rsidR="00C20EEB" w:rsidRPr="009966C5" w:rsidRDefault="00C20EEB" w:rsidP="00AF2725">
            <w:pPr>
              <w:spacing w:before="0" w:after="0"/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Závěry a doporučení.</w:t>
            </w:r>
          </w:p>
        </w:tc>
      </w:tr>
    </w:tbl>
    <w:p w14:paraId="6982C5F4" w14:textId="77777777" w:rsidR="00C20EEB" w:rsidRPr="009966C5" w:rsidRDefault="00C20EEB" w:rsidP="00C20EEB">
      <w:pPr>
        <w:rPr>
          <w:rFonts w:cs="Arial"/>
          <w:bCs/>
          <w:szCs w:val="22"/>
        </w:rPr>
      </w:pPr>
    </w:p>
    <w:p w14:paraId="58F1163A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průzkum:</w:t>
      </w:r>
    </w:p>
    <w:p w14:paraId="33EEA130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64AA7A6A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7B271563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256C71D9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4C58677A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76867E6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20ABE90C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7E182AAD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002A2D5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6D19BA5E" w14:textId="16F361C3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Podrobná situace – dle podkladů k</w:t>
      </w:r>
      <w:r w:rsidR="009645E2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79F04263" w14:textId="0743AFAE" w:rsidR="00277E6B" w:rsidRDefault="00C20EEB" w:rsidP="00F4403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Podélný profil – dle podkladů k</w:t>
      </w:r>
      <w:r w:rsidR="00E94268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73FC0E30" w14:textId="77777777" w:rsidR="00E94268" w:rsidRDefault="00E94268" w:rsidP="00F4403B">
      <w:pPr>
        <w:ind w:left="1418"/>
        <w:rPr>
          <w:rFonts w:eastAsia="Lucida Sans Unicode"/>
        </w:rPr>
      </w:pPr>
    </w:p>
    <w:p w14:paraId="777FA087" w14:textId="178559E5" w:rsidR="00E94268" w:rsidRDefault="00E94268">
      <w:pPr>
        <w:spacing w:before="0" w:after="0" w:line="240" w:lineRule="auto"/>
        <w:contextualSpacing w:val="0"/>
        <w:jc w:val="left"/>
        <w:rPr>
          <w:rFonts w:eastAsia="Lucida Sans Unicode"/>
        </w:rPr>
      </w:pPr>
    </w:p>
    <w:p w14:paraId="4B1D5A0C" w14:textId="77777777" w:rsidR="00CE7498" w:rsidRDefault="00CE7498">
      <w:pPr>
        <w:spacing w:before="0" w:after="0" w:line="240" w:lineRule="auto"/>
        <w:contextualSpacing w:val="0"/>
        <w:jc w:val="left"/>
        <w:rPr>
          <w:rFonts w:eastAsia="Lucida Sans Unicode"/>
        </w:rPr>
      </w:pPr>
    </w:p>
    <w:p w14:paraId="667FFA18" w14:textId="77777777" w:rsidR="00CE7498" w:rsidRDefault="00CE7498">
      <w:pPr>
        <w:spacing w:before="0" w:after="0" w:line="240" w:lineRule="auto"/>
        <w:contextualSpacing w:val="0"/>
        <w:jc w:val="left"/>
        <w:rPr>
          <w:rFonts w:eastAsia="Lucida Sans Unicode"/>
        </w:rPr>
      </w:pPr>
    </w:p>
    <w:p w14:paraId="6216F9F1" w14:textId="77777777" w:rsidR="00CE7498" w:rsidRDefault="00CE7498">
      <w:pPr>
        <w:spacing w:before="0" w:after="0" w:line="240" w:lineRule="auto"/>
        <w:contextualSpacing w:val="0"/>
        <w:jc w:val="left"/>
        <w:rPr>
          <w:rFonts w:eastAsia="Lucida Sans Unicode"/>
        </w:rPr>
      </w:pPr>
    </w:p>
    <w:p w14:paraId="30830704" w14:textId="77777777" w:rsidR="00CE7498" w:rsidRDefault="00CE7498" w:rsidP="00CE7498">
      <w:pPr>
        <w:rPr>
          <w:rFonts w:eastAsia="Lucida Sans Unicode"/>
        </w:rPr>
      </w:pPr>
    </w:p>
    <w:p w14:paraId="26A415C3" w14:textId="77777777" w:rsidR="00CE7498" w:rsidRDefault="00CE7498" w:rsidP="00CE7498">
      <w:pPr>
        <w:rPr>
          <w:rFonts w:eastAsia="Lucida Sans Unicode"/>
        </w:rPr>
      </w:pPr>
    </w:p>
    <w:p w14:paraId="5CCFF320" w14:textId="77777777" w:rsidR="00CE7498" w:rsidRDefault="00CE7498" w:rsidP="00CE7498">
      <w:pPr>
        <w:rPr>
          <w:rFonts w:eastAsia="Lucida Sans Unicode"/>
        </w:rPr>
      </w:pPr>
    </w:p>
    <w:p w14:paraId="41BDE263" w14:textId="77777777" w:rsidR="00CE7498" w:rsidRDefault="00CE7498" w:rsidP="00CE7498">
      <w:pPr>
        <w:rPr>
          <w:rFonts w:eastAsia="Lucida Sans Unicode"/>
        </w:rPr>
      </w:pPr>
    </w:p>
    <w:p w14:paraId="2DB101AB" w14:textId="05CE39AE" w:rsidR="00CE7498" w:rsidRDefault="00CE7498" w:rsidP="00CE7498">
      <w:pPr>
        <w:rPr>
          <w:b/>
          <w:szCs w:val="28"/>
        </w:rPr>
      </w:pPr>
      <w:r w:rsidRPr="00393090">
        <w:rPr>
          <w:b/>
          <w:szCs w:val="28"/>
        </w:rPr>
        <w:t>Příloha č.</w:t>
      </w:r>
      <w:r>
        <w:rPr>
          <w:b/>
          <w:szCs w:val="28"/>
        </w:rPr>
        <w:t> 2</w:t>
      </w:r>
      <w:r w:rsidRPr="00393090">
        <w:rPr>
          <w:b/>
          <w:szCs w:val="28"/>
        </w:rPr>
        <w:t xml:space="preserve"> –</w:t>
      </w:r>
      <w:r w:rsidRPr="00E94268">
        <w:rPr>
          <w:b/>
          <w:szCs w:val="28"/>
        </w:rPr>
        <w:t xml:space="preserve"> Vstupní podklad od zpracovatele </w:t>
      </w:r>
      <w:proofErr w:type="spellStart"/>
      <w:r w:rsidRPr="00E94268">
        <w:rPr>
          <w:b/>
          <w:szCs w:val="28"/>
        </w:rPr>
        <w:t>KoPÚ</w:t>
      </w:r>
      <w:proofErr w:type="spellEnd"/>
      <w:r>
        <w:rPr>
          <w:b/>
          <w:szCs w:val="28"/>
        </w:rPr>
        <w:t xml:space="preserve"> </w:t>
      </w:r>
      <w:r w:rsidRPr="0066031A">
        <w:rPr>
          <w:bCs/>
          <w:szCs w:val="28"/>
        </w:rPr>
        <w:t>(14 stran)</w:t>
      </w:r>
    </w:p>
    <w:p w14:paraId="01E104D5" w14:textId="77777777" w:rsidR="00CE7498" w:rsidRDefault="00CE7498">
      <w:pPr>
        <w:spacing w:before="0" w:after="0" w:line="240" w:lineRule="auto"/>
        <w:contextualSpacing w:val="0"/>
        <w:jc w:val="left"/>
        <w:rPr>
          <w:rFonts w:eastAsia="Lucida Sans Unicode"/>
        </w:rPr>
      </w:pPr>
    </w:p>
    <w:sectPr w:rsidR="00CE7498" w:rsidSect="006C5F7A">
      <w:headerReference w:type="default" r:id="rId18"/>
      <w:footerReference w:type="even" r:id="rId19"/>
      <w:footerReference w:type="default" r:id="rId20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fldSimple w:instr=" NUMPAGES   \* MERGEFORMAT ">
      <w:r w:rsidRPr="005044BB">
        <w:rPr>
          <w:noProof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0C042456" w:rsidR="00F523A5" w:rsidRPr="00131DD4" w:rsidRDefault="00F523A5" w:rsidP="006955B2">
    <w:pPr>
      <w:jc w:val="right"/>
    </w:pPr>
    <w:r w:rsidRPr="00131DD4">
      <w:t>Č.j. objednatele:</w:t>
    </w:r>
    <w:r w:rsidR="00980673">
      <w:t>988-2025-523203</w:t>
    </w:r>
  </w:p>
  <w:p w14:paraId="023E83BA" w14:textId="0B911C8B" w:rsidR="00F523A5" w:rsidRPr="00BC22C1" w:rsidRDefault="5525A271" w:rsidP="00BC22C1">
    <w:pPr>
      <w:jc w:val="right"/>
    </w:pPr>
    <w:r w:rsidRPr="00131DD4"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A6F24"/>
    <w:rsid w:val="000B0D6A"/>
    <w:rsid w:val="000B14D4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865F9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0EDD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C7CF4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4679C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24C"/>
    <w:rsid w:val="00654C26"/>
    <w:rsid w:val="006570AE"/>
    <w:rsid w:val="0066031A"/>
    <w:rsid w:val="0066061C"/>
    <w:rsid w:val="006629B2"/>
    <w:rsid w:val="0066461E"/>
    <w:rsid w:val="00664D6D"/>
    <w:rsid w:val="00665892"/>
    <w:rsid w:val="00673E39"/>
    <w:rsid w:val="00675F18"/>
    <w:rsid w:val="00683FFB"/>
    <w:rsid w:val="00684AAC"/>
    <w:rsid w:val="00685605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2FB5"/>
    <w:rsid w:val="006D55C2"/>
    <w:rsid w:val="006D5708"/>
    <w:rsid w:val="006D5759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6C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07A1C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0673"/>
    <w:rsid w:val="00982571"/>
    <w:rsid w:val="00984C3F"/>
    <w:rsid w:val="00990017"/>
    <w:rsid w:val="00991B05"/>
    <w:rsid w:val="00991C00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2FDD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32A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EBC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498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08DD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3C0B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268"/>
    <w:rsid w:val="00E94EB0"/>
    <w:rsid w:val="00E95CD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01E7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5605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07A1C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685605"/>
  </w:style>
  <w:style w:type="paragraph" w:customStyle="1" w:styleId="Zkladntext21">
    <w:name w:val="Základní text 21"/>
    <w:basedOn w:val="Normln"/>
    <w:uiPriority w:val="99"/>
    <w:rsid w:val="00D208DD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709" w:hanging="709"/>
      <w:contextualSpacing w:val="0"/>
    </w:pPr>
    <w:rPr>
      <w:rFonts w:ascii="Times New Roman" w:hAnsi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epodatelna@spu.gov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reclav.pk@spu.gov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martina.lindnerova@spu.gov.cz" TargetMode="Externa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85f4b5cc-4033-44c7-b405-f5eed34c8154"/>
    <ds:schemaRef ds:uri="http://schemas.microsoft.com/office/2006/documentManagement/types"/>
    <ds:schemaRef ds:uri="2046fdb6-fa60-49a6-a635-1115ab0d2074"/>
    <ds:schemaRef ds:uri="http://schemas.openxmlformats.org/package/2006/metadata/core-properties"/>
    <ds:schemaRef ds:uri="ada3fa48-c231-4f9d-a491-19361e04fcb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5433</Words>
  <Characters>31249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Sasínková Jaroslava Bc.</cp:lastModifiedBy>
  <cp:revision>4</cp:revision>
  <cp:lastPrinted>2025-08-19T12:40:00Z</cp:lastPrinted>
  <dcterms:created xsi:type="dcterms:W3CDTF">2025-08-21T14:33:00Z</dcterms:created>
  <dcterms:modified xsi:type="dcterms:W3CDTF">2025-08-22T09:21:00Z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