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7D00C6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115414" w:rsidRPr="00115414">
        <w:rPr>
          <w:rFonts w:ascii="Arial" w:hAnsi="Arial" w:cs="Arial"/>
          <w:bCs/>
          <w:sz w:val="18"/>
          <w:szCs w:val="18"/>
        </w:rPr>
        <w:t>SPU 291979/2025/</w:t>
      </w:r>
      <w:proofErr w:type="spellStart"/>
      <w:r w:rsidR="00115414" w:rsidRPr="00115414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3A2DAF3E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115414" w:rsidRPr="00115414">
        <w:rPr>
          <w:rFonts w:ascii="Arial" w:hAnsi="Arial" w:cs="Arial"/>
          <w:bCs/>
          <w:sz w:val="18"/>
          <w:szCs w:val="18"/>
        </w:rPr>
        <w:t>spuess98025fe2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54D99C91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115414">
        <w:rPr>
          <w:rFonts w:ascii="Arial" w:hAnsi="Arial" w:cs="Arial"/>
          <w:b/>
          <w:u w:val="single"/>
        </w:rPr>
        <w:t>86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4E06ABD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15414">
        <w:rPr>
          <w:rFonts w:ascii="Arial" w:hAnsi="Arial" w:cs="Arial"/>
          <w:i/>
          <w:iCs/>
          <w:sz w:val="22"/>
          <w:szCs w:val="22"/>
        </w:rPr>
        <w:t>Roman Paseka</w:t>
      </w:r>
    </w:p>
    <w:p w14:paraId="41030488" w14:textId="77777777" w:rsid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16A5777C" w:rsidR="00D417D0" w:rsidRPr="000720C6" w:rsidRDefault="00115414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Chotěvice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Chotěvice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540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2584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05020251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9E32D5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587396">
        <w:rPr>
          <w:rFonts w:ascii="Arial" w:hAnsi="Arial" w:cs="Arial"/>
          <w:bCs/>
          <w:sz w:val="22"/>
          <w:szCs w:val="22"/>
        </w:rPr>
        <w:t xml:space="preserve">Bořek – byty s.r.o. </w:t>
      </w:r>
      <w:r w:rsidR="00D417D0">
        <w:rPr>
          <w:rFonts w:ascii="Arial" w:hAnsi="Arial" w:cs="Arial"/>
          <w:bCs/>
          <w:sz w:val="22"/>
          <w:szCs w:val="22"/>
        </w:rPr>
        <w:t xml:space="preserve">vedené na LV </w:t>
      </w:r>
      <w:r w:rsidR="00115414">
        <w:rPr>
          <w:rFonts w:ascii="Arial" w:hAnsi="Arial" w:cs="Arial"/>
          <w:bCs/>
          <w:sz w:val="22"/>
          <w:szCs w:val="22"/>
        </w:rPr>
        <w:t>377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4FF971C" w14:textId="77777777" w:rsidR="00D417D0" w:rsidRPr="00772879" w:rsidRDefault="00D417D0" w:rsidP="00D417D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7D5E31E6" w:rsidR="00D417D0" w:rsidRDefault="00115414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Čermná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Čermná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 Krkonoších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2523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orná půda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1369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5E78D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47779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15414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5E78DC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A62DF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47C46"/>
    <w:rsid w:val="00B539C7"/>
    <w:rsid w:val="00B726A9"/>
    <w:rsid w:val="00B76284"/>
    <w:rsid w:val="00B8086B"/>
    <w:rsid w:val="00B9151F"/>
    <w:rsid w:val="00BC0939"/>
    <w:rsid w:val="00BD044C"/>
    <w:rsid w:val="00BD1894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2025-08-07T08:22:00Z</dcterms:created>
  <dcterms:modified xsi:type="dcterms:W3CDTF">2025-08-07T08:22:00Z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