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26C0854E" w14:textId="27390164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2C6C9B8" w14:textId="56FDAB52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Název: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1D437BAF" w14:textId="45A97618" w:rsidR="0060643D" w:rsidRPr="009603DC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Cs/>
          <w:sz w:val="20"/>
          <w:szCs w:val="20"/>
        </w:rPr>
        <w:t xml:space="preserve">Sídlo: </w:t>
      </w:r>
      <w:r w:rsidR="00E163F5" w:rsidRPr="009603DC">
        <w:rPr>
          <w:rFonts w:ascii="Arial" w:hAnsi="Arial" w:cs="Arial"/>
          <w:sz w:val="20"/>
          <w:szCs w:val="20"/>
          <w:highlight w:val="yellow"/>
        </w:rPr>
        <w:t>doplní dodavatel</w:t>
      </w:r>
    </w:p>
    <w:p w14:paraId="40ECAC3C" w14:textId="77777777" w:rsidR="0060643D" w:rsidRPr="00374E94" w:rsidRDefault="0060643D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5D0700" w:rsidRDefault="0060643D" w:rsidP="0060643D">
      <w:pPr>
        <w:ind w:right="-1703"/>
        <w:rPr>
          <w:rFonts w:ascii="Arial" w:hAnsi="Arial" w:cs="Arial"/>
          <w:bCs/>
          <w:color w:val="FF0000"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05E29F60" w14:textId="77BBC57E" w:rsidR="002536B5" w:rsidRPr="002536B5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EA2EFF" w:rsidRPr="00EA2EFF">
        <w:rPr>
          <w:rFonts w:ascii="Arial" w:hAnsi="Arial" w:cs="Arial"/>
          <w:bCs/>
          <w:sz w:val="18"/>
          <w:szCs w:val="18"/>
        </w:rPr>
        <w:t>SPU 268598/2025/114/Šve</w:t>
      </w:r>
    </w:p>
    <w:p w14:paraId="61794AA2" w14:textId="654EFCB0" w:rsidR="009603DC" w:rsidRPr="00C73BF4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C73BF4">
        <w:rPr>
          <w:rFonts w:ascii="Arial" w:hAnsi="Arial" w:cs="Arial"/>
          <w:bCs/>
          <w:sz w:val="18"/>
          <w:szCs w:val="18"/>
        </w:rPr>
        <w:t>Spisová zn.:</w:t>
      </w:r>
      <w:r w:rsidRPr="00C73BF4">
        <w:rPr>
          <w:rFonts w:ascii="Arial" w:hAnsi="Arial" w:cs="Arial"/>
          <w:bCs/>
          <w:sz w:val="18"/>
          <w:szCs w:val="18"/>
        </w:rPr>
        <w:tab/>
      </w:r>
    </w:p>
    <w:p w14:paraId="5C46DDC5" w14:textId="6E929109" w:rsidR="00C87831" w:rsidRPr="002536B5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2536B5">
        <w:rPr>
          <w:rFonts w:ascii="Arial" w:hAnsi="Arial" w:cs="Arial"/>
          <w:bCs/>
          <w:sz w:val="18"/>
          <w:szCs w:val="18"/>
        </w:rPr>
        <w:t>UID:</w:t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r w:rsidR="00B3214B" w:rsidRPr="002536B5">
        <w:rPr>
          <w:rFonts w:ascii="Arial" w:hAnsi="Arial" w:cs="Arial"/>
          <w:bCs/>
          <w:sz w:val="18"/>
          <w:szCs w:val="18"/>
        </w:rPr>
        <w:tab/>
      </w:r>
      <w:proofErr w:type="spellStart"/>
      <w:r w:rsidR="00766FF9" w:rsidRPr="00766FF9">
        <w:rPr>
          <w:rFonts w:ascii="Arial" w:hAnsi="Arial" w:cs="Arial"/>
          <w:bCs/>
          <w:sz w:val="18"/>
          <w:szCs w:val="18"/>
        </w:rPr>
        <w:t>spuess</w:t>
      </w:r>
      <w:proofErr w:type="spellEnd"/>
      <w:r w:rsidR="00563640" w:rsidRPr="00563640">
        <w:t xml:space="preserve"> </w:t>
      </w:r>
      <w:r w:rsidR="00EA2EFF" w:rsidRPr="00EA2EFF">
        <w:rPr>
          <w:rFonts w:ascii="Arial" w:hAnsi="Arial" w:cs="Arial"/>
          <w:bCs/>
          <w:sz w:val="18"/>
          <w:szCs w:val="18"/>
        </w:rPr>
        <w:t>98020248</w:t>
      </w:r>
    </w:p>
    <w:p w14:paraId="2C1EA804" w14:textId="289F7902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5D0700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proofErr w:type="gramEnd"/>
      <w:r w:rsidR="00766FF9">
        <w:rPr>
          <w:rFonts w:ascii="Arial" w:hAnsi="Arial" w:cs="Arial"/>
          <w:bCs/>
          <w:sz w:val="18"/>
          <w:szCs w:val="18"/>
        </w:rPr>
        <w:t>Alena Švehlová</w:t>
      </w:r>
    </w:p>
    <w:p w14:paraId="2F206CE8" w14:textId="777777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064358D1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8F6B9A">
        <w:rPr>
          <w:rFonts w:ascii="Arial" w:hAnsi="Arial" w:cs="Arial"/>
          <w:bCs/>
          <w:sz w:val="18"/>
          <w:szCs w:val="18"/>
        </w:rPr>
        <w:t>727937175</w:t>
      </w:r>
    </w:p>
    <w:p w14:paraId="10814EC2" w14:textId="73DE2B77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hyperlink r:id="rId14" w:history="1">
        <w:r w:rsidR="00766FF9" w:rsidRPr="00210863">
          <w:rPr>
            <w:rStyle w:val="Hypertextovodkaz"/>
            <w:rFonts w:ascii="Arial" w:hAnsi="Arial" w:cs="Arial"/>
            <w:bCs/>
            <w:sz w:val="18"/>
            <w:szCs w:val="18"/>
          </w:rPr>
          <w:t>alena.svehlova@spu.gov.cz</w:t>
        </w:r>
      </w:hyperlink>
    </w:p>
    <w:p w14:paraId="4BB71522" w14:textId="0B1EB973" w:rsidR="0060643D" w:rsidRPr="005D0700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5D0700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5D0700">
        <w:rPr>
          <w:rFonts w:ascii="Arial" w:hAnsi="Arial" w:cs="Arial"/>
          <w:bCs/>
          <w:sz w:val="18"/>
          <w:szCs w:val="18"/>
        </w:rPr>
        <w:tab/>
      </w:r>
      <w:r w:rsidR="009603DC" w:rsidRPr="005D0700">
        <w:rPr>
          <w:rFonts w:ascii="Arial" w:hAnsi="Arial" w:cs="Arial"/>
          <w:bCs/>
          <w:sz w:val="18"/>
          <w:szCs w:val="18"/>
        </w:rPr>
        <w:tab/>
      </w:r>
      <w:r w:rsidRPr="005D0700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651EE0DC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DC59DB">
        <w:rPr>
          <w:rFonts w:ascii="Arial" w:hAnsi="Arial" w:cs="Arial"/>
          <w:bCs/>
          <w:sz w:val="18"/>
          <w:szCs w:val="18"/>
        </w:rPr>
        <w:t>1.7.2025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35E95892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82698D">
        <w:rPr>
          <w:rFonts w:ascii="Arial" w:hAnsi="Arial" w:cs="Arial"/>
          <w:b/>
          <w:u w:val="single"/>
        </w:rPr>
        <w:t>č.</w:t>
      </w:r>
      <w:r w:rsidR="004E37A0">
        <w:rPr>
          <w:rFonts w:ascii="Arial" w:hAnsi="Arial" w:cs="Arial"/>
          <w:b/>
          <w:u w:val="single"/>
        </w:rPr>
        <w:t xml:space="preserve"> </w:t>
      </w:r>
      <w:r w:rsidR="00DC59DB">
        <w:rPr>
          <w:rFonts w:ascii="Arial" w:hAnsi="Arial" w:cs="Arial"/>
          <w:b/>
          <w:u w:val="single"/>
        </w:rPr>
        <w:t>8</w:t>
      </w:r>
      <w:r w:rsidR="00EA2EFF">
        <w:rPr>
          <w:rFonts w:ascii="Arial" w:hAnsi="Arial" w:cs="Arial"/>
          <w:b/>
          <w:u w:val="single"/>
        </w:rPr>
        <w:t>4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6483E5E8" w:rsidR="001F2D69" w:rsidRPr="005D0700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 xml:space="preserve">Jméno: </w:t>
      </w:r>
      <w:r w:rsidR="00766FF9">
        <w:rPr>
          <w:rFonts w:ascii="Arial" w:hAnsi="Arial" w:cs="Arial"/>
          <w:sz w:val="22"/>
          <w:szCs w:val="22"/>
        </w:rPr>
        <w:t>Alena Švehlová</w:t>
      </w:r>
    </w:p>
    <w:p w14:paraId="1BBCAF6A" w14:textId="1A2DE745" w:rsidR="00EC5914" w:rsidRPr="005D0700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5D0700">
        <w:rPr>
          <w:rFonts w:ascii="Arial" w:hAnsi="Arial" w:cs="Arial"/>
          <w:sz w:val="22"/>
          <w:szCs w:val="22"/>
        </w:rPr>
        <w:t>Telefon:</w:t>
      </w:r>
      <w:r w:rsidR="00AE3673" w:rsidRPr="005D0700">
        <w:rPr>
          <w:rFonts w:ascii="Arial" w:hAnsi="Arial" w:cs="Arial"/>
          <w:sz w:val="22"/>
          <w:szCs w:val="22"/>
        </w:rPr>
        <w:t xml:space="preserve"> </w:t>
      </w:r>
      <w:r w:rsidR="0082698D" w:rsidRPr="005D0700">
        <w:rPr>
          <w:rFonts w:ascii="Arial" w:hAnsi="Arial" w:cs="Arial"/>
          <w:sz w:val="22"/>
          <w:szCs w:val="22"/>
        </w:rPr>
        <w:t>727 9</w:t>
      </w:r>
      <w:r w:rsidR="00766FF9">
        <w:rPr>
          <w:rFonts w:ascii="Arial" w:hAnsi="Arial" w:cs="Arial"/>
          <w:sz w:val="22"/>
          <w:szCs w:val="22"/>
        </w:rPr>
        <w:t>3</w:t>
      </w:r>
      <w:r w:rsidR="0082698D" w:rsidRPr="005D0700">
        <w:rPr>
          <w:rFonts w:ascii="Arial" w:hAnsi="Arial" w:cs="Arial"/>
          <w:sz w:val="22"/>
          <w:szCs w:val="22"/>
        </w:rPr>
        <w:t xml:space="preserve">7 </w:t>
      </w:r>
      <w:r w:rsidR="00766FF9">
        <w:rPr>
          <w:rFonts w:ascii="Arial" w:hAnsi="Arial" w:cs="Arial"/>
          <w:sz w:val="22"/>
          <w:szCs w:val="22"/>
        </w:rPr>
        <w:t>175</w:t>
      </w:r>
    </w:p>
    <w:p w14:paraId="1D7B18B4" w14:textId="2FE01609" w:rsidR="005D0700" w:rsidRPr="005D0700" w:rsidRDefault="000145A3" w:rsidP="005D0700">
      <w:pPr>
        <w:ind w:right="-1703"/>
        <w:rPr>
          <w:rFonts w:ascii="Arial" w:hAnsi="Arial" w:cs="Arial"/>
          <w:bCs/>
          <w:sz w:val="20"/>
          <w:szCs w:val="20"/>
        </w:rPr>
      </w:pPr>
      <w:r w:rsidRPr="005D0700">
        <w:rPr>
          <w:rFonts w:ascii="Arial" w:hAnsi="Arial" w:cs="Arial"/>
          <w:sz w:val="22"/>
          <w:szCs w:val="22"/>
        </w:rPr>
        <w:t xml:space="preserve">E-mail: </w:t>
      </w:r>
      <w:hyperlink r:id="rId15" w:history="1">
        <w:r w:rsidR="00766FF9" w:rsidRPr="00210863">
          <w:rPr>
            <w:rStyle w:val="Hypertextovodkaz"/>
            <w:rFonts w:ascii="Arial" w:hAnsi="Arial" w:cs="Arial"/>
            <w:bCs/>
            <w:sz w:val="22"/>
            <w:szCs w:val="22"/>
          </w:rPr>
          <w:t>alena.svehlova@spu.gov.cz</w:t>
        </w:r>
      </w:hyperlink>
    </w:p>
    <w:p w14:paraId="2BA678C4" w14:textId="166F7F18" w:rsidR="000145A3" w:rsidRPr="005D0700" w:rsidRDefault="000145A3" w:rsidP="00EC5914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C14961E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KPÚ objednává zpracování znaleckého posudku pro ocenění pozemků v cenách dle vyhlášky č. 182/1988 Sb., ve znění vyhlášky č. 316/1990 Sb., v souladu se zákonem č. 229/1991 Sb., ve znění pozdějších předpisů.</w:t>
      </w:r>
    </w:p>
    <w:p w14:paraId="4CCFD9E2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</w:p>
    <w:p w14:paraId="5CE69CE6" w14:textId="41CDFCE2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objednávky je ocenění převáděného náhradního </w:t>
      </w:r>
      <w:r w:rsidRPr="002548A8">
        <w:rPr>
          <w:rFonts w:ascii="Arial" w:hAnsi="Arial" w:cs="Arial"/>
          <w:sz w:val="22"/>
          <w:szCs w:val="22"/>
          <w:highlight w:val="cyan"/>
        </w:rPr>
        <w:t xml:space="preserve">pozemku </w:t>
      </w:r>
      <w:r w:rsidR="002548A8" w:rsidRPr="002548A8">
        <w:rPr>
          <w:rFonts w:ascii="Arial" w:hAnsi="Arial" w:cs="Arial"/>
          <w:sz w:val="22"/>
          <w:szCs w:val="22"/>
          <w:highlight w:val="cyan"/>
        </w:rPr>
        <w:t>a stavby</w:t>
      </w:r>
      <w:r w:rsidR="002548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 rozsahu: </w:t>
      </w:r>
    </w:p>
    <w:p w14:paraId="161E0FAE" w14:textId="77777777" w:rsidR="005D0700" w:rsidRDefault="005D0700" w:rsidP="005D0700">
      <w:pPr>
        <w:jc w:val="both"/>
        <w:rPr>
          <w:rFonts w:ascii="Arial" w:hAnsi="Arial" w:cs="Arial"/>
          <w:b/>
          <w:sz w:val="22"/>
          <w:szCs w:val="22"/>
        </w:rPr>
      </w:pPr>
    </w:p>
    <w:p w14:paraId="1A4C3DCF" w14:textId="77777777" w:rsidR="005D0700" w:rsidRDefault="005D0700" w:rsidP="005D070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79EBFF7E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6DB5880C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68311730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003BF289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</w:t>
      </w:r>
    </w:p>
    <w:p w14:paraId="3E537CC1" w14:textId="66890562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určen k zastavění pozemek celý nebo pouze jeho část) a při ocenění </w:t>
      </w:r>
      <w:proofErr w:type="gramStart"/>
      <w:r>
        <w:rPr>
          <w:rFonts w:ascii="Arial" w:hAnsi="Arial" w:cs="Arial"/>
          <w:sz w:val="22"/>
          <w:szCs w:val="22"/>
        </w:rPr>
        <w:t>zohlednit;  přitom</w:t>
      </w:r>
      <w:proofErr w:type="gramEnd"/>
      <w:r>
        <w:rPr>
          <w:rFonts w:ascii="Arial" w:hAnsi="Arial" w:cs="Arial"/>
          <w:sz w:val="22"/>
          <w:szCs w:val="22"/>
        </w:rPr>
        <w:t xml:space="preserve">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23E5DCAB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444F5CD2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33A8AFD1" w14:textId="77777777" w:rsidR="005D0700" w:rsidRDefault="005D0700" w:rsidP="005D0700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B96C995" w14:textId="77777777" w:rsidR="00D85E76" w:rsidRDefault="00D85E76" w:rsidP="00D85E76">
      <w:pPr>
        <w:jc w:val="both"/>
        <w:rPr>
          <w:rFonts w:ascii="Arial" w:hAnsi="Arial" w:cs="Arial"/>
          <w:sz w:val="22"/>
          <w:szCs w:val="22"/>
        </w:rPr>
      </w:pPr>
    </w:p>
    <w:p w14:paraId="734146F7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319ECADC" w14:textId="77777777" w:rsidR="00563640" w:rsidRDefault="00563640" w:rsidP="00766FF9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</w:p>
    <w:p w14:paraId="5561F527" w14:textId="6917E9CE" w:rsidR="00766FF9" w:rsidRDefault="00766FF9" w:rsidP="002548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Předmětem převodu je i </w:t>
      </w:r>
      <w:r w:rsidRPr="00766FF9">
        <w:rPr>
          <w:rFonts w:ascii="Arial" w:hAnsi="Arial" w:cs="Arial"/>
          <w:b/>
          <w:sz w:val="22"/>
          <w:szCs w:val="22"/>
          <w:highlight w:val="cyan"/>
        </w:rPr>
        <w:t>pozemek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A2EFF">
        <w:rPr>
          <w:rFonts w:ascii="Arial" w:hAnsi="Arial" w:cs="Arial"/>
          <w:b/>
          <w:sz w:val="22"/>
          <w:szCs w:val="22"/>
        </w:rPr>
        <w:t>23</w:t>
      </w:r>
      <w:r w:rsidR="002548A8">
        <w:rPr>
          <w:rFonts w:ascii="Arial" w:hAnsi="Arial" w:cs="Arial"/>
          <w:b/>
          <w:sz w:val="22"/>
          <w:szCs w:val="22"/>
        </w:rPr>
        <w:t xml:space="preserve"> </w:t>
      </w:r>
      <w:r w:rsidR="002548A8" w:rsidRPr="002548A8">
        <w:rPr>
          <w:rFonts w:ascii="Arial" w:hAnsi="Arial" w:cs="Arial"/>
          <w:b/>
          <w:sz w:val="22"/>
          <w:szCs w:val="22"/>
        </w:rPr>
        <w:t xml:space="preserve">a současně </w:t>
      </w:r>
      <w:r w:rsidRPr="00766FF9">
        <w:rPr>
          <w:rFonts w:ascii="Arial" w:hAnsi="Arial" w:cs="Arial"/>
          <w:b/>
          <w:sz w:val="22"/>
          <w:szCs w:val="22"/>
          <w:highlight w:val="cyan"/>
        </w:rPr>
        <w:t xml:space="preserve">stavba </w:t>
      </w:r>
      <w:r w:rsidR="00EA2EFF">
        <w:rPr>
          <w:rFonts w:ascii="Arial" w:hAnsi="Arial" w:cs="Arial"/>
          <w:b/>
          <w:sz w:val="22"/>
          <w:szCs w:val="22"/>
          <w:highlight w:val="cyan"/>
        </w:rPr>
        <w:t>–</w:t>
      </w:r>
      <w:r w:rsidRPr="00EA2EFF">
        <w:rPr>
          <w:rFonts w:ascii="Arial" w:hAnsi="Arial" w:cs="Arial"/>
          <w:b/>
          <w:sz w:val="22"/>
          <w:szCs w:val="22"/>
          <w:highlight w:val="cyan"/>
        </w:rPr>
        <w:t xml:space="preserve"> </w:t>
      </w:r>
      <w:r w:rsidR="00EA2EFF" w:rsidRPr="00EA2EFF">
        <w:rPr>
          <w:rFonts w:ascii="Arial" w:hAnsi="Arial" w:cs="Arial"/>
          <w:b/>
          <w:sz w:val="22"/>
          <w:szCs w:val="22"/>
          <w:highlight w:val="cyan"/>
        </w:rPr>
        <w:t>dřevěná kolna</w:t>
      </w:r>
    </w:p>
    <w:p w14:paraId="2A06C272" w14:textId="77777777" w:rsidR="00766FF9" w:rsidRDefault="00766FF9" w:rsidP="00766FF9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</w:p>
    <w:p w14:paraId="46BDF25D" w14:textId="77777777" w:rsidR="00EA2EFF" w:rsidRPr="00EA2EFF" w:rsidRDefault="00EA2EFF" w:rsidP="00EA2EFF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EA2EFF">
        <w:rPr>
          <w:rFonts w:ascii="Arial" w:hAnsi="Arial" w:cs="Arial"/>
          <w:sz w:val="22"/>
          <w:szCs w:val="22"/>
        </w:rPr>
        <w:t>Soupis oceňovaných věcí nemovitých:</w:t>
      </w:r>
    </w:p>
    <w:p w14:paraId="0007B833" w14:textId="77777777" w:rsidR="00EA2EFF" w:rsidRPr="00EA2EFF" w:rsidRDefault="00EA2EFF" w:rsidP="00EA2EFF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EA2EFF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3322AE8" w14:textId="77777777" w:rsidR="00EA2EFF" w:rsidRPr="00EA2EFF" w:rsidRDefault="00EA2EFF" w:rsidP="00EA2EFF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EA2EFF">
        <w:rPr>
          <w:rFonts w:ascii="Arial" w:hAnsi="Arial" w:cs="Arial"/>
          <w:sz w:val="22"/>
          <w:szCs w:val="22"/>
        </w:rPr>
        <w:t>Obec</w:t>
      </w:r>
      <w:r w:rsidRPr="00EA2EF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A2EFF">
        <w:rPr>
          <w:rFonts w:ascii="Arial" w:hAnsi="Arial" w:cs="Arial"/>
          <w:sz w:val="22"/>
          <w:szCs w:val="22"/>
        </w:rPr>
        <w:tab/>
        <w:t>Parcelní číslo</w:t>
      </w:r>
      <w:r w:rsidRPr="00EA2EFF">
        <w:rPr>
          <w:rFonts w:ascii="Arial" w:hAnsi="Arial" w:cs="Arial"/>
          <w:sz w:val="22"/>
          <w:szCs w:val="22"/>
        </w:rPr>
        <w:tab/>
        <w:t>Druh pozemku</w:t>
      </w:r>
      <w:r w:rsidRPr="00EA2EFF">
        <w:rPr>
          <w:rFonts w:ascii="Arial" w:hAnsi="Arial" w:cs="Arial"/>
          <w:sz w:val="22"/>
          <w:szCs w:val="22"/>
        </w:rPr>
        <w:tab/>
        <w:t>Výměra</w:t>
      </w:r>
    </w:p>
    <w:p w14:paraId="76A4F0D4" w14:textId="77777777" w:rsidR="00EA2EFF" w:rsidRPr="00EA2EFF" w:rsidRDefault="00EA2EFF" w:rsidP="00EA2EFF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EA2EFF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0B7E7BB" w14:textId="77777777" w:rsidR="00EA2EFF" w:rsidRPr="00EA2EFF" w:rsidRDefault="00EA2EFF" w:rsidP="00EA2EFF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EA2EFF">
        <w:rPr>
          <w:rFonts w:ascii="Arial" w:hAnsi="Arial" w:cs="Arial"/>
          <w:sz w:val="22"/>
          <w:szCs w:val="22"/>
        </w:rPr>
        <w:t xml:space="preserve">Katastr </w:t>
      </w:r>
      <w:proofErr w:type="gramStart"/>
      <w:r w:rsidRPr="00EA2EFF">
        <w:rPr>
          <w:rFonts w:ascii="Arial" w:hAnsi="Arial" w:cs="Arial"/>
          <w:sz w:val="22"/>
          <w:szCs w:val="22"/>
        </w:rPr>
        <w:t>nemovitostí - stavební</w:t>
      </w:r>
      <w:proofErr w:type="gramEnd"/>
    </w:p>
    <w:p w14:paraId="1A41CE5F" w14:textId="77777777" w:rsidR="00EA2EFF" w:rsidRPr="00EA2EFF" w:rsidRDefault="00EA2EFF" w:rsidP="00EA2EFF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EA2EFF">
        <w:rPr>
          <w:rFonts w:ascii="Arial" w:hAnsi="Arial" w:cs="Arial"/>
          <w:sz w:val="22"/>
          <w:szCs w:val="22"/>
        </w:rPr>
        <w:t>Nová Paka</w:t>
      </w:r>
      <w:r w:rsidRPr="00EA2EFF">
        <w:rPr>
          <w:rFonts w:ascii="Arial" w:hAnsi="Arial" w:cs="Arial"/>
          <w:sz w:val="22"/>
          <w:szCs w:val="22"/>
        </w:rPr>
        <w:tab/>
      </w:r>
      <w:proofErr w:type="spellStart"/>
      <w:r w:rsidRPr="00EA2EFF">
        <w:rPr>
          <w:rFonts w:ascii="Arial" w:hAnsi="Arial" w:cs="Arial"/>
          <w:sz w:val="22"/>
          <w:szCs w:val="22"/>
        </w:rPr>
        <w:t>Radkyně</w:t>
      </w:r>
      <w:proofErr w:type="spellEnd"/>
      <w:r w:rsidRPr="00EA2EFF">
        <w:rPr>
          <w:rFonts w:ascii="Arial" w:hAnsi="Arial" w:cs="Arial"/>
          <w:sz w:val="22"/>
          <w:szCs w:val="22"/>
        </w:rPr>
        <w:tab/>
        <w:t>23</w:t>
      </w:r>
      <w:r w:rsidRPr="00EA2EFF">
        <w:rPr>
          <w:rFonts w:ascii="Arial" w:hAnsi="Arial" w:cs="Arial"/>
          <w:sz w:val="22"/>
          <w:szCs w:val="22"/>
        </w:rPr>
        <w:tab/>
        <w:t>zastavěná plocha a nádvoří</w:t>
      </w:r>
      <w:r w:rsidRPr="00EA2EFF">
        <w:rPr>
          <w:rFonts w:ascii="Arial" w:hAnsi="Arial" w:cs="Arial"/>
          <w:sz w:val="22"/>
          <w:szCs w:val="22"/>
        </w:rPr>
        <w:tab/>
        <w:t>770</w:t>
      </w:r>
    </w:p>
    <w:p w14:paraId="13D5E60A" w14:textId="6996D964" w:rsidR="00DC59DB" w:rsidRDefault="00EA2EFF" w:rsidP="00EA2EFF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 w:rsidRPr="00EA2EFF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2424825F" w14:textId="77777777" w:rsidR="007C2565" w:rsidRPr="004D7825" w:rsidRDefault="007C2565" w:rsidP="007C2565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je pozemek veden v jiné evidenci než KN, je nutné uvést tuto evidenci</w:t>
      </w:r>
    </w:p>
    <w:p w14:paraId="27AA4B08" w14:textId="77777777" w:rsidR="007C2565" w:rsidRPr="004D7825" w:rsidRDefault="007C2565" w:rsidP="007C2565">
      <w:pPr>
        <w:ind w:left="709" w:hanging="709"/>
        <w:jc w:val="both"/>
        <w:rPr>
          <w:rFonts w:ascii="Arial" w:hAnsi="Arial" w:cs="Arial"/>
          <w:i/>
          <w:iCs/>
          <w:sz w:val="22"/>
          <w:szCs w:val="22"/>
        </w:rPr>
      </w:pPr>
      <w:r w:rsidRPr="004D7825">
        <w:rPr>
          <w:rFonts w:ascii="Arial" w:hAnsi="Arial" w:cs="Arial"/>
          <w:i/>
          <w:iCs/>
          <w:sz w:val="22"/>
          <w:szCs w:val="22"/>
        </w:rPr>
        <w:t>**</w:t>
      </w:r>
      <w:r w:rsidRPr="004D7825">
        <w:rPr>
          <w:rFonts w:ascii="Arial" w:hAnsi="Arial" w:cs="Arial"/>
          <w:i/>
          <w:iCs/>
          <w:sz w:val="22"/>
          <w:szCs w:val="22"/>
        </w:rPr>
        <w:tab/>
        <w:t>pokud se oceňují pozemky, které výměrou v druhu pozemku neodpovídají evidenci v KN nebo jiné oficiální evidenci je nutné příp. doložit geometrický plán</w:t>
      </w:r>
    </w:p>
    <w:p w14:paraId="259E0032" w14:textId="77777777" w:rsidR="00932097" w:rsidRDefault="00932097" w:rsidP="0060643D">
      <w:pPr>
        <w:jc w:val="both"/>
        <w:rPr>
          <w:rFonts w:ascii="Arial" w:hAnsi="Arial" w:cs="Arial"/>
          <w:sz w:val="22"/>
          <w:szCs w:val="22"/>
        </w:rPr>
      </w:pPr>
    </w:p>
    <w:p w14:paraId="7205E2B8" w14:textId="74F39614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3BDD1F25" w14:textId="77777777" w:rsidR="008F6B9A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</w:p>
    <w:p w14:paraId="66D7924B" w14:textId="4F88B0F7" w:rsidR="0060643D" w:rsidRDefault="008F026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0082698D">
        <w:rPr>
          <w:rFonts w:ascii="Arial" w:hAnsi="Arial" w:cs="Arial"/>
          <w:sz w:val="22"/>
          <w:szCs w:val="22"/>
        </w:rPr>
        <w:t xml:space="preserve">výzvy </w:t>
      </w:r>
      <w:r w:rsidRPr="009320EA">
        <w:rPr>
          <w:rFonts w:ascii="Arial" w:hAnsi="Arial" w:cs="Arial"/>
          <w:sz w:val="22"/>
          <w:szCs w:val="22"/>
          <w:highlight w:val="yellow"/>
        </w:rPr>
        <w:t>č</w:t>
      </w:r>
      <w:r w:rsidRPr="008F6B9A">
        <w:rPr>
          <w:rFonts w:ascii="Arial" w:hAnsi="Arial" w:cs="Arial"/>
          <w:sz w:val="22"/>
          <w:szCs w:val="22"/>
        </w:rPr>
        <w:t>.</w:t>
      </w:r>
      <w:r w:rsidR="0082698D" w:rsidRPr="008F6B9A">
        <w:rPr>
          <w:rFonts w:ascii="Arial" w:hAnsi="Arial" w:cs="Arial"/>
          <w:sz w:val="22"/>
          <w:szCs w:val="22"/>
        </w:rPr>
        <w:t xml:space="preserve"> </w:t>
      </w:r>
      <w:r w:rsidR="008F6B9A">
        <w:rPr>
          <w:rFonts w:ascii="Arial" w:hAnsi="Arial" w:cs="Arial"/>
          <w:sz w:val="22"/>
          <w:szCs w:val="22"/>
        </w:rPr>
        <w:t xml:space="preserve">     </w:t>
      </w:r>
      <w:r w:rsidRPr="003F40B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78117540" w14:textId="77777777" w:rsidR="001C0257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znalecký posudek činí</w:t>
      </w:r>
      <w:r w:rsidR="001C0257">
        <w:rPr>
          <w:rFonts w:ascii="Arial" w:hAnsi="Arial" w:cs="Arial"/>
          <w:sz w:val="22"/>
          <w:szCs w:val="22"/>
        </w:rPr>
        <w:t>:</w:t>
      </w:r>
    </w:p>
    <w:p w14:paraId="77144559" w14:textId="4906145C" w:rsidR="0060643D" w:rsidRPr="001C0257" w:rsidRDefault="00165FEF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76329452" w14:textId="0789C147" w:rsidR="00377E78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DPH</w:t>
      </w:r>
      <w:r w:rsidRPr="00165FEF">
        <w:rPr>
          <w:rFonts w:ascii="Arial" w:hAnsi="Arial" w:cs="Arial"/>
          <w:sz w:val="22"/>
          <w:szCs w:val="22"/>
        </w:rPr>
        <w:tab/>
      </w:r>
      <w:r w:rsidRPr="00165FE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E163F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Kč</w:t>
      </w:r>
    </w:p>
    <w:p w14:paraId="431165D4" w14:textId="46AC4348" w:rsidR="00165FEF" w:rsidRPr="00165FEF" w:rsidRDefault="00165FEF" w:rsidP="0060643D">
      <w:pPr>
        <w:jc w:val="both"/>
        <w:rPr>
          <w:rFonts w:ascii="Arial" w:hAnsi="Arial" w:cs="Arial"/>
          <w:sz w:val="22"/>
          <w:szCs w:val="22"/>
        </w:rPr>
      </w:pPr>
      <w:r w:rsidRPr="00165FEF">
        <w:rPr>
          <w:rFonts w:ascii="Arial" w:hAnsi="Arial" w:cs="Arial"/>
          <w:sz w:val="22"/>
          <w:szCs w:val="22"/>
        </w:rPr>
        <w:t>Cena včetně DPH</w:t>
      </w:r>
      <w:r>
        <w:rPr>
          <w:rFonts w:ascii="Arial" w:hAnsi="Arial" w:cs="Arial"/>
          <w:sz w:val="22"/>
          <w:szCs w:val="22"/>
        </w:rPr>
        <w:tab/>
      </w:r>
      <w:r w:rsidR="008876F9">
        <w:rPr>
          <w:rFonts w:ascii="Arial" w:hAnsi="Arial" w:cs="Arial"/>
          <w:sz w:val="22"/>
          <w:szCs w:val="22"/>
        </w:rPr>
        <w:tab/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>
        <w:rPr>
          <w:rFonts w:ascii="Arial" w:hAnsi="Arial" w:cs="Arial"/>
          <w:sz w:val="22"/>
          <w:szCs w:val="22"/>
        </w:rPr>
        <w:t xml:space="preserve"> Kč</w:t>
      </w:r>
    </w:p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5BB853AF" w14:textId="5A592D7C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96F41AE" w14:textId="341E57CD" w:rsidR="005A6DEC" w:rsidRDefault="005A6DEC" w:rsidP="005A6D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Písemné potvrzení přijetí objednávky </w:t>
      </w:r>
      <w:r w:rsidR="00DE750B">
        <w:rPr>
          <w:rFonts w:ascii="Arial" w:hAnsi="Arial" w:cs="Arial"/>
          <w:sz w:val="22"/>
          <w:szCs w:val="22"/>
        </w:rPr>
        <w:t xml:space="preserve">provede </w:t>
      </w:r>
      <w:r>
        <w:rPr>
          <w:rFonts w:ascii="Arial" w:hAnsi="Arial" w:cs="Arial"/>
          <w:sz w:val="22"/>
          <w:szCs w:val="22"/>
        </w:rPr>
        <w:t>zhotovitel</w:t>
      </w:r>
      <w:r w:rsidR="00CC0146">
        <w:rPr>
          <w:rFonts w:ascii="Arial" w:hAnsi="Arial" w:cs="Arial"/>
          <w:sz w:val="22"/>
          <w:szCs w:val="22"/>
        </w:rPr>
        <w:t xml:space="preserve"> zasláním zprávy objednateli prostřednictvím profilu zadavatele </w:t>
      </w:r>
      <w:r w:rsidR="00675A63">
        <w:rPr>
          <w:rFonts w:ascii="Arial" w:hAnsi="Arial" w:cs="Arial"/>
          <w:sz w:val="22"/>
          <w:szCs w:val="22"/>
        </w:rPr>
        <w:t>E-ZAK</w:t>
      </w:r>
      <w:r>
        <w:rPr>
          <w:rFonts w:ascii="Arial" w:hAnsi="Arial" w:cs="Arial"/>
          <w:sz w:val="22"/>
          <w:szCs w:val="22"/>
        </w:rPr>
        <w:t xml:space="preserve"> ve lhůtě tří pracovních dnů</w:t>
      </w:r>
      <w:r w:rsidR="00DE750B">
        <w:rPr>
          <w:rFonts w:ascii="Arial" w:hAnsi="Arial" w:cs="Arial"/>
          <w:sz w:val="22"/>
          <w:szCs w:val="22"/>
        </w:rPr>
        <w:t xml:space="preserve"> ode dne </w:t>
      </w:r>
      <w:r w:rsidR="00EB55CF">
        <w:rPr>
          <w:rFonts w:ascii="Arial" w:hAnsi="Arial" w:cs="Arial"/>
          <w:sz w:val="22"/>
          <w:szCs w:val="22"/>
        </w:rPr>
        <w:t>obdržení</w:t>
      </w:r>
      <w:r w:rsidR="00DE750B">
        <w:rPr>
          <w:rFonts w:ascii="Arial" w:hAnsi="Arial" w:cs="Arial"/>
          <w:sz w:val="22"/>
          <w:szCs w:val="22"/>
        </w:rPr>
        <w:t xml:space="preserve"> objednávky</w:t>
      </w:r>
      <w:r w:rsidR="00EB55CF">
        <w:rPr>
          <w:rFonts w:ascii="Arial" w:hAnsi="Arial" w:cs="Arial"/>
          <w:sz w:val="22"/>
          <w:szCs w:val="22"/>
        </w:rPr>
        <w:t>.</w:t>
      </w:r>
    </w:p>
    <w:p w14:paraId="41A1A3B1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0DBADDF3" w14:textId="77777777" w:rsidR="008F6B9A" w:rsidRDefault="008F6B9A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FB55C12" w14:textId="49F9C301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3763AE14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E163F5" w:rsidRPr="00E163F5">
        <w:rPr>
          <w:rFonts w:ascii="Arial" w:hAnsi="Arial" w:cs="Arial"/>
          <w:sz w:val="22"/>
          <w:szCs w:val="22"/>
          <w:highlight w:val="yellow"/>
        </w:rPr>
        <w:t>doplní dodavatel</w:t>
      </w:r>
      <w:r w:rsidR="00C149A6">
        <w:rPr>
          <w:rFonts w:ascii="Arial" w:hAnsi="Arial" w:cs="Arial"/>
          <w:sz w:val="22"/>
          <w:szCs w:val="22"/>
        </w:rPr>
        <w:t xml:space="preserve"> kalendářních dní ode dne </w:t>
      </w:r>
      <w:r w:rsidR="00C149A6" w:rsidRPr="00DE4E09">
        <w:rPr>
          <w:rFonts w:ascii="Arial" w:hAnsi="Arial" w:cs="Arial"/>
          <w:sz w:val="22"/>
          <w:szCs w:val="22"/>
        </w:rPr>
        <w:t>převzetí objednávky</w:t>
      </w:r>
      <w:r w:rsidR="005467B1" w:rsidRPr="00DE4E09">
        <w:rPr>
          <w:rFonts w:ascii="Arial" w:hAnsi="Arial" w:cs="Arial"/>
          <w:sz w:val="22"/>
          <w:szCs w:val="22"/>
        </w:rPr>
        <w:t>.</w:t>
      </w:r>
    </w:p>
    <w:p w14:paraId="6E0001FB" w14:textId="7A2815C1" w:rsidR="0016008D" w:rsidRPr="00B27982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108AF9B9" w14:textId="77777777" w:rsidR="00CA739E" w:rsidRDefault="00CA739E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7390AEB3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 xml:space="preserve"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</w:t>
      </w:r>
      <w:r w:rsidRPr="001D50F1">
        <w:rPr>
          <w:rFonts w:ascii="Arial" w:hAnsi="Arial" w:cs="Arial"/>
          <w:snapToGrid w:val="0"/>
          <w:sz w:val="22"/>
          <w:szCs w:val="22"/>
        </w:rPr>
        <w:lastRenderedPageBreak/>
        <w:t>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04CD2923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0FBF95F1" w14:textId="77777777" w:rsidR="0032172B" w:rsidRPr="00936B10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731C0F08" w14:textId="77777777" w:rsidR="00425BB8" w:rsidRDefault="00425BB8" w:rsidP="0060643D">
      <w:pPr>
        <w:jc w:val="both"/>
        <w:rPr>
          <w:rFonts w:ascii="Arial" w:hAnsi="Arial" w:cs="Arial"/>
          <w:sz w:val="22"/>
          <w:szCs w:val="22"/>
        </w:rPr>
      </w:pPr>
    </w:p>
    <w:p w14:paraId="63F70BB9" w14:textId="77777777" w:rsidR="00CA739E" w:rsidRDefault="00CA739E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6F622DC" w14:textId="77777777" w:rsidR="008F6B9A" w:rsidRDefault="008F6B9A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377FA35D" w14:textId="77777777" w:rsidR="008F6B9A" w:rsidRDefault="008F6B9A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7777777" w:rsidR="00B27982" w:rsidRDefault="00B27982" w:rsidP="0060643D">
      <w:pPr>
        <w:jc w:val="both"/>
        <w:rPr>
          <w:rFonts w:ascii="Arial" w:hAnsi="Arial" w:cs="Arial"/>
          <w:sz w:val="22"/>
          <w:szCs w:val="22"/>
        </w:rPr>
      </w:pPr>
    </w:p>
    <w:p w14:paraId="34C34110" w14:textId="77777777" w:rsidR="00766FF9" w:rsidRDefault="00766FF9" w:rsidP="0060643D">
      <w:pPr>
        <w:jc w:val="both"/>
        <w:rPr>
          <w:rFonts w:ascii="Arial" w:hAnsi="Arial" w:cs="Arial"/>
          <w:sz w:val="22"/>
          <w:szCs w:val="22"/>
        </w:rPr>
      </w:pPr>
    </w:p>
    <w:p w14:paraId="4440FC44" w14:textId="30591766" w:rsidR="00766FF9" w:rsidRPr="00936B10" w:rsidRDefault="0043599E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</w:t>
      </w:r>
    </w:p>
    <w:p w14:paraId="0FD2142A" w14:textId="77777777" w:rsidR="005D0700" w:rsidRDefault="005D0700" w:rsidP="005D070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095C485B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</w:p>
    <w:p w14:paraId="34508E45" w14:textId="77777777" w:rsidR="005D0700" w:rsidRDefault="005D0700" w:rsidP="005D07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Ing. Petr Lázňovský</w:t>
      </w:r>
    </w:p>
    <w:p w14:paraId="116EC449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 Krajského pozemkového úřadu</w:t>
      </w:r>
    </w:p>
    <w:p w14:paraId="616CE87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Královéhradecký kraj</w:t>
      </w:r>
    </w:p>
    <w:p w14:paraId="2A1F86DC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Státního pozemkového úřadu</w:t>
      </w:r>
    </w:p>
    <w:p w14:paraId="1685670A" w14:textId="77777777" w:rsidR="005D0700" w:rsidRDefault="005D0700" w:rsidP="005D0700">
      <w:pPr>
        <w:rPr>
          <w:rFonts w:ascii="Arial" w:hAnsi="Arial" w:cs="Arial"/>
          <w:sz w:val="20"/>
          <w:szCs w:val="20"/>
        </w:rPr>
      </w:pPr>
    </w:p>
    <w:p w14:paraId="15D9BE06" w14:textId="2250C63F" w:rsidR="004F2B9F" w:rsidRPr="004F2B9F" w:rsidRDefault="004F2B9F" w:rsidP="005D0700">
      <w:pPr>
        <w:rPr>
          <w:rFonts w:ascii="Arial" w:hAnsi="Arial" w:cs="Arial"/>
          <w:sz w:val="22"/>
          <w:szCs w:val="22"/>
        </w:rPr>
      </w:pPr>
    </w:p>
    <w:sectPr w:rsidR="004F2B9F" w:rsidRPr="004F2B9F" w:rsidSect="007B5020">
      <w:headerReference w:type="default" r:id="rId16"/>
      <w:footerReference w:type="default" r:id="rId17"/>
      <w:pgSz w:w="11906" w:h="16838"/>
      <w:pgMar w:top="851" w:right="1417" w:bottom="709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FB898" w14:textId="77777777" w:rsidR="00EA1DC0" w:rsidRDefault="00EA1DC0" w:rsidP="007B5020">
      <w:r>
        <w:separator/>
      </w:r>
    </w:p>
  </w:endnote>
  <w:endnote w:type="continuationSeparator" w:id="0">
    <w:p w14:paraId="47A7CC20" w14:textId="77777777" w:rsidR="00EA1DC0" w:rsidRDefault="00EA1DC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F33067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33A0C" w14:textId="77777777" w:rsidR="00EA1DC0" w:rsidRDefault="00EA1DC0" w:rsidP="007B5020">
      <w:r>
        <w:separator/>
      </w:r>
    </w:p>
  </w:footnote>
  <w:footnote w:type="continuationSeparator" w:id="0">
    <w:p w14:paraId="49B60264" w14:textId="77777777" w:rsidR="00EA1DC0" w:rsidRDefault="00EA1DC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56AB5"/>
    <w:rsid w:val="000604EF"/>
    <w:rsid w:val="00062129"/>
    <w:rsid w:val="000649D0"/>
    <w:rsid w:val="000702EA"/>
    <w:rsid w:val="000822AC"/>
    <w:rsid w:val="00084979"/>
    <w:rsid w:val="00087919"/>
    <w:rsid w:val="000B386A"/>
    <w:rsid w:val="000C12F7"/>
    <w:rsid w:val="000E0EC7"/>
    <w:rsid w:val="000E1283"/>
    <w:rsid w:val="000E3970"/>
    <w:rsid w:val="000E456A"/>
    <w:rsid w:val="000E76F3"/>
    <w:rsid w:val="000F49B4"/>
    <w:rsid w:val="000F753A"/>
    <w:rsid w:val="001145E3"/>
    <w:rsid w:val="00114F08"/>
    <w:rsid w:val="001301F2"/>
    <w:rsid w:val="00142928"/>
    <w:rsid w:val="00151AFC"/>
    <w:rsid w:val="00157C5C"/>
    <w:rsid w:val="0016008D"/>
    <w:rsid w:val="00165FEF"/>
    <w:rsid w:val="0016797E"/>
    <w:rsid w:val="001C0257"/>
    <w:rsid w:val="001C23B5"/>
    <w:rsid w:val="001C7985"/>
    <w:rsid w:val="001D50F1"/>
    <w:rsid w:val="001E3928"/>
    <w:rsid w:val="001F2D69"/>
    <w:rsid w:val="001F34F2"/>
    <w:rsid w:val="001F7D96"/>
    <w:rsid w:val="00240DE6"/>
    <w:rsid w:val="00247C60"/>
    <w:rsid w:val="00252EF4"/>
    <w:rsid w:val="002536B5"/>
    <w:rsid w:val="002548A8"/>
    <w:rsid w:val="00255B09"/>
    <w:rsid w:val="00273D55"/>
    <w:rsid w:val="00276435"/>
    <w:rsid w:val="002903B3"/>
    <w:rsid w:val="00296C9A"/>
    <w:rsid w:val="002B56C6"/>
    <w:rsid w:val="002D23D3"/>
    <w:rsid w:val="002E48F9"/>
    <w:rsid w:val="002F1E94"/>
    <w:rsid w:val="002F41A4"/>
    <w:rsid w:val="003067A4"/>
    <w:rsid w:val="00310455"/>
    <w:rsid w:val="00312FF8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E0F28"/>
    <w:rsid w:val="003F40BB"/>
    <w:rsid w:val="00405CD4"/>
    <w:rsid w:val="00422DA3"/>
    <w:rsid w:val="00425BB8"/>
    <w:rsid w:val="00430806"/>
    <w:rsid w:val="0043599E"/>
    <w:rsid w:val="004523DA"/>
    <w:rsid w:val="00463719"/>
    <w:rsid w:val="00470F25"/>
    <w:rsid w:val="004A4634"/>
    <w:rsid w:val="004B4625"/>
    <w:rsid w:val="004D7214"/>
    <w:rsid w:val="004E37A0"/>
    <w:rsid w:val="004F2506"/>
    <w:rsid w:val="004F2B9F"/>
    <w:rsid w:val="004F39A5"/>
    <w:rsid w:val="00500BCB"/>
    <w:rsid w:val="0051086F"/>
    <w:rsid w:val="00513C59"/>
    <w:rsid w:val="005162AF"/>
    <w:rsid w:val="0052104A"/>
    <w:rsid w:val="005467B1"/>
    <w:rsid w:val="00550FF9"/>
    <w:rsid w:val="00563640"/>
    <w:rsid w:val="0057733D"/>
    <w:rsid w:val="00577E60"/>
    <w:rsid w:val="00582363"/>
    <w:rsid w:val="005A6DEC"/>
    <w:rsid w:val="005B26C0"/>
    <w:rsid w:val="005B2A69"/>
    <w:rsid w:val="005C53CC"/>
    <w:rsid w:val="005D02C2"/>
    <w:rsid w:val="005D0700"/>
    <w:rsid w:val="005D535B"/>
    <w:rsid w:val="0060643D"/>
    <w:rsid w:val="00622DF5"/>
    <w:rsid w:val="00625CD4"/>
    <w:rsid w:val="00635275"/>
    <w:rsid w:val="00662BFF"/>
    <w:rsid w:val="00670829"/>
    <w:rsid w:val="00675A63"/>
    <w:rsid w:val="00695C38"/>
    <w:rsid w:val="00697394"/>
    <w:rsid w:val="0070317D"/>
    <w:rsid w:val="00707ADC"/>
    <w:rsid w:val="007311A9"/>
    <w:rsid w:val="00742BC2"/>
    <w:rsid w:val="00750443"/>
    <w:rsid w:val="007570BE"/>
    <w:rsid w:val="0076585C"/>
    <w:rsid w:val="007658DF"/>
    <w:rsid w:val="00765D1C"/>
    <w:rsid w:val="00766FF9"/>
    <w:rsid w:val="00767910"/>
    <w:rsid w:val="007A41E1"/>
    <w:rsid w:val="007B1FA1"/>
    <w:rsid w:val="007B5020"/>
    <w:rsid w:val="007C2565"/>
    <w:rsid w:val="007C2D01"/>
    <w:rsid w:val="007D13D5"/>
    <w:rsid w:val="007D3608"/>
    <w:rsid w:val="007D53B4"/>
    <w:rsid w:val="007E3688"/>
    <w:rsid w:val="00810B29"/>
    <w:rsid w:val="00812D42"/>
    <w:rsid w:val="0082434D"/>
    <w:rsid w:val="0082698D"/>
    <w:rsid w:val="00833644"/>
    <w:rsid w:val="00834C18"/>
    <w:rsid w:val="008537DF"/>
    <w:rsid w:val="008876F9"/>
    <w:rsid w:val="008A2F89"/>
    <w:rsid w:val="008B1BFF"/>
    <w:rsid w:val="008C2F86"/>
    <w:rsid w:val="008C7863"/>
    <w:rsid w:val="008E703A"/>
    <w:rsid w:val="008F026D"/>
    <w:rsid w:val="008F5EC8"/>
    <w:rsid w:val="008F6B9A"/>
    <w:rsid w:val="00900BEB"/>
    <w:rsid w:val="00902562"/>
    <w:rsid w:val="009040E2"/>
    <w:rsid w:val="00926FE7"/>
    <w:rsid w:val="00932097"/>
    <w:rsid w:val="009320EA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E55C3"/>
    <w:rsid w:val="00A03C47"/>
    <w:rsid w:val="00A050D1"/>
    <w:rsid w:val="00A2115A"/>
    <w:rsid w:val="00A26537"/>
    <w:rsid w:val="00A300F2"/>
    <w:rsid w:val="00A433F7"/>
    <w:rsid w:val="00A657FA"/>
    <w:rsid w:val="00AB3A52"/>
    <w:rsid w:val="00AC2522"/>
    <w:rsid w:val="00AC7653"/>
    <w:rsid w:val="00AD7956"/>
    <w:rsid w:val="00AE19AB"/>
    <w:rsid w:val="00AE3673"/>
    <w:rsid w:val="00AE6B99"/>
    <w:rsid w:val="00AF307C"/>
    <w:rsid w:val="00AF3F6A"/>
    <w:rsid w:val="00AF4182"/>
    <w:rsid w:val="00B03908"/>
    <w:rsid w:val="00B22C14"/>
    <w:rsid w:val="00B27982"/>
    <w:rsid w:val="00B3214B"/>
    <w:rsid w:val="00B45535"/>
    <w:rsid w:val="00B539C7"/>
    <w:rsid w:val="00B726A9"/>
    <w:rsid w:val="00B8086B"/>
    <w:rsid w:val="00B9151F"/>
    <w:rsid w:val="00BC0939"/>
    <w:rsid w:val="00BD044C"/>
    <w:rsid w:val="00BD56CE"/>
    <w:rsid w:val="00BD5F4E"/>
    <w:rsid w:val="00BF0750"/>
    <w:rsid w:val="00BF32EB"/>
    <w:rsid w:val="00BF4434"/>
    <w:rsid w:val="00C03BA4"/>
    <w:rsid w:val="00C12C43"/>
    <w:rsid w:val="00C149A6"/>
    <w:rsid w:val="00C40021"/>
    <w:rsid w:val="00C41DF6"/>
    <w:rsid w:val="00C46BF3"/>
    <w:rsid w:val="00C5646B"/>
    <w:rsid w:val="00C73BF4"/>
    <w:rsid w:val="00C75B23"/>
    <w:rsid w:val="00C81EB9"/>
    <w:rsid w:val="00C87831"/>
    <w:rsid w:val="00C955BA"/>
    <w:rsid w:val="00CA3AA9"/>
    <w:rsid w:val="00CA71A8"/>
    <w:rsid w:val="00CA739E"/>
    <w:rsid w:val="00CC0146"/>
    <w:rsid w:val="00CC45F3"/>
    <w:rsid w:val="00CC4C01"/>
    <w:rsid w:val="00CC5762"/>
    <w:rsid w:val="00CD066E"/>
    <w:rsid w:val="00CF6AFE"/>
    <w:rsid w:val="00D03433"/>
    <w:rsid w:val="00D046B8"/>
    <w:rsid w:val="00D170A9"/>
    <w:rsid w:val="00D173CD"/>
    <w:rsid w:val="00D22F16"/>
    <w:rsid w:val="00D23AAD"/>
    <w:rsid w:val="00D35599"/>
    <w:rsid w:val="00D4499C"/>
    <w:rsid w:val="00D55208"/>
    <w:rsid w:val="00D66B3E"/>
    <w:rsid w:val="00D8368A"/>
    <w:rsid w:val="00D85E76"/>
    <w:rsid w:val="00D8669B"/>
    <w:rsid w:val="00DA1936"/>
    <w:rsid w:val="00DA2488"/>
    <w:rsid w:val="00DA4213"/>
    <w:rsid w:val="00DA5B49"/>
    <w:rsid w:val="00DB15F2"/>
    <w:rsid w:val="00DC59DB"/>
    <w:rsid w:val="00DD6BFA"/>
    <w:rsid w:val="00DE4E09"/>
    <w:rsid w:val="00DE750B"/>
    <w:rsid w:val="00E01FB0"/>
    <w:rsid w:val="00E163F5"/>
    <w:rsid w:val="00E30858"/>
    <w:rsid w:val="00E65DDB"/>
    <w:rsid w:val="00E80807"/>
    <w:rsid w:val="00EA1DC0"/>
    <w:rsid w:val="00EA210A"/>
    <w:rsid w:val="00EA2EFF"/>
    <w:rsid w:val="00EA6BA7"/>
    <w:rsid w:val="00EB55CF"/>
    <w:rsid w:val="00EC33D0"/>
    <w:rsid w:val="00EC5914"/>
    <w:rsid w:val="00ED5945"/>
    <w:rsid w:val="00EE4F70"/>
    <w:rsid w:val="00EF53E5"/>
    <w:rsid w:val="00EF6671"/>
    <w:rsid w:val="00F33067"/>
    <w:rsid w:val="00F60F97"/>
    <w:rsid w:val="00F623E6"/>
    <w:rsid w:val="00F66E0A"/>
    <w:rsid w:val="00F7033A"/>
    <w:rsid w:val="00FA10A4"/>
    <w:rsid w:val="00FA18A3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0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D0700"/>
    <w:rPr>
      <w:color w:val="0563C1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66F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alena.svehlova@spu.gov.cz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alena.svehlova@spu.gov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Props1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2038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2025-07-03T08:39:00Z</dcterms:created>
  <dcterms:modified xsi:type="dcterms:W3CDTF">2025-07-03T08:39:00Z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