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17D97B" w14:textId="634AE1C2" w:rsidR="00FD3BA5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FD3BA5">
        <w:rPr>
          <w:rFonts w:ascii="Arial" w:hAnsi="Arial" w:cs="Arial"/>
          <w:i w:val="0"/>
          <w:sz w:val="22"/>
          <w:szCs w:val="22"/>
        </w:rPr>
        <w:t>pro Jihomoravský kraj</w:t>
      </w:r>
    </w:p>
    <w:p w14:paraId="689A6A53" w14:textId="64E594A0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</w:t>
      </w:r>
      <w:r w:rsidR="00FD3BA5">
        <w:rPr>
          <w:rFonts w:ascii="Arial" w:hAnsi="Arial" w:cs="Arial"/>
          <w:i w:val="0"/>
          <w:sz w:val="22"/>
          <w:szCs w:val="22"/>
        </w:rPr>
        <w:t xml:space="preserve"> Hroznová 227/17, 603 00 Brno</w:t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47549D99" w14:textId="10F306F3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FD3BA5">
        <w:rPr>
          <w:rFonts w:ascii="Arial" w:hAnsi="Arial" w:cs="Arial"/>
          <w:i w:val="0"/>
          <w:sz w:val="22"/>
          <w:szCs w:val="22"/>
        </w:rPr>
        <w:t>Brno</w:t>
      </w:r>
    </w:p>
    <w:p w14:paraId="08A5439C" w14:textId="01D494CE" w:rsidR="00812ED3" w:rsidRPr="00E93F51" w:rsidRDefault="00FD3BA5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>
        <w:rPr>
          <w:rFonts w:ascii="Arial" w:hAnsi="Arial" w:cs="Arial"/>
          <w:b w:val="0"/>
          <w:i w:val="0"/>
          <w:sz w:val="22"/>
          <w:szCs w:val="22"/>
        </w:rPr>
        <w:t>Adresa: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Kotlářská 931/53, 602 00 Brno</w:t>
      </w:r>
    </w:p>
    <w:p w14:paraId="142ECB2E" w14:textId="3B17F717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FD3BA5">
        <w:rPr>
          <w:rFonts w:ascii="Arial" w:hAnsi="Arial" w:cs="Arial"/>
          <w:sz w:val="22"/>
          <w:szCs w:val="22"/>
        </w:rPr>
        <w:t>Ing. Miroslava Priessnitzová, vedoucí Pobočky Brno</w:t>
      </w:r>
    </w:p>
    <w:p w14:paraId="623559F5" w14:textId="6E2EFEEE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</w:t>
      </w:r>
      <w:r w:rsidR="00FD3BA5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sz w:val="22"/>
          <w:szCs w:val="22"/>
        </w:rPr>
        <w:t xml:space="preserve">   ve smluvních záležitostech oprávněn jednat:</w:t>
      </w:r>
      <w:r w:rsidR="00FD3BA5">
        <w:rPr>
          <w:rFonts w:ascii="Arial" w:hAnsi="Arial" w:cs="Arial"/>
          <w:sz w:val="22"/>
          <w:szCs w:val="22"/>
        </w:rPr>
        <w:t xml:space="preserve"> Ing. Miroslava Priessnitzová, vedoucí Pobočky   Brno</w:t>
      </w:r>
    </w:p>
    <w:p w14:paraId="4011BF84" w14:textId="7F3BCB2F" w:rsidR="00EA21B7" w:rsidRPr="00E93F51" w:rsidRDefault="00EA21B7" w:rsidP="00662CAE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FD3BA5">
        <w:rPr>
          <w:rFonts w:ascii="Arial" w:hAnsi="Arial" w:cs="Arial"/>
          <w:snapToGrid w:val="0"/>
          <w:sz w:val="22"/>
          <w:szCs w:val="22"/>
        </w:rPr>
        <w:t xml:space="preserve"> Ing. Ludmila Podracká</w:t>
      </w:r>
      <w:r w:rsidR="00FD3BA5" w:rsidRPr="00662CAE">
        <w:rPr>
          <w:rFonts w:ascii="Arial" w:hAnsi="Arial" w:cs="Arial"/>
          <w:sz w:val="22"/>
          <w:szCs w:val="22"/>
        </w:rPr>
        <w:t>, Pobočka Brno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08226565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8A7B9F">
        <w:rPr>
          <w:rFonts w:ascii="Arial" w:hAnsi="Arial" w:cs="Arial"/>
          <w:sz w:val="22"/>
          <w:szCs w:val="22"/>
        </w:rPr>
        <w:t> 602 559 300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25FB0FB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8A7B9F">
        <w:rPr>
          <w:rFonts w:ascii="Arial" w:hAnsi="Arial" w:cs="Arial"/>
          <w:sz w:val="22"/>
          <w:szCs w:val="22"/>
        </w:rPr>
        <w:t>brno.pk@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46E6FBA8" w14:textId="663D0673" w:rsidR="00B63ECD" w:rsidRDefault="002B4934" w:rsidP="00B63ECD">
      <w:pPr>
        <w:tabs>
          <w:tab w:val="left" w:pos="4395"/>
        </w:tabs>
        <w:spacing w:line="288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B47276">
        <w:rPr>
          <w:rFonts w:ascii="Arial" w:hAnsi="Arial" w:cs="Arial"/>
          <w:b/>
          <w:sz w:val="22"/>
          <w:szCs w:val="22"/>
        </w:rPr>
        <w:t xml:space="preserve"> 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B63ECD">
        <w:rPr>
          <w:rFonts w:ascii="Arial" w:hAnsi="Arial" w:cs="Arial"/>
          <w:b/>
          <w:sz w:val="22"/>
          <w:szCs w:val="22"/>
        </w:rPr>
        <w:t>GEON, s.r.o.</w:t>
      </w:r>
    </w:p>
    <w:p w14:paraId="26513A85" w14:textId="77777777" w:rsidR="00B63ECD" w:rsidRPr="00BA57A4" w:rsidRDefault="00B63ECD" w:rsidP="00B63ECD">
      <w:pPr>
        <w:tabs>
          <w:tab w:val="left" w:pos="4253"/>
          <w:tab w:val="left" w:pos="439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57A4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Padělkách 421, 664 52 Sokolnice</w:t>
      </w:r>
    </w:p>
    <w:p w14:paraId="153EB5AB" w14:textId="77777777" w:rsidR="00B63ECD" w:rsidRPr="00E93F51" w:rsidRDefault="00B63ECD" w:rsidP="00B63ECD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Albert Kmeť, jednatel společnosti</w:t>
      </w:r>
    </w:p>
    <w:p w14:paraId="21CC2130" w14:textId="7DF6A992" w:rsidR="00B63ECD" w:rsidRPr="00E93F51" w:rsidRDefault="00B63ECD" w:rsidP="00B63ECD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220BE4">
        <w:rPr>
          <w:rFonts w:ascii="Arial" w:hAnsi="Arial" w:cs="Arial"/>
          <w:sz w:val="22"/>
          <w:szCs w:val="22"/>
        </w:rPr>
        <w:t>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2F21ED87" w14:textId="1518B382" w:rsidR="00B63ECD" w:rsidRPr="00E93F51" w:rsidRDefault="00B63ECD" w:rsidP="00B63ECD">
      <w:pPr>
        <w:tabs>
          <w:tab w:val="left" w:pos="4253"/>
          <w:tab w:val="left" w:pos="4395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20BE4">
        <w:rPr>
          <w:rFonts w:ascii="Arial" w:hAnsi="Arial" w:cs="Arial"/>
          <w:sz w:val="22"/>
          <w:szCs w:val="22"/>
        </w:rPr>
        <w:t>xxxxxxxxxxxxxxxxx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43A22BA2" w14:textId="2372E458" w:rsidR="00B63ECD" w:rsidRDefault="00B63ECD" w:rsidP="00B63ECD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20BE4">
        <w:rPr>
          <w:rFonts w:ascii="Arial" w:hAnsi="Arial" w:cs="Arial"/>
          <w:sz w:val="22"/>
          <w:szCs w:val="22"/>
        </w:rPr>
        <w:t>xxxxxxxxxxxxxxxxx</w:t>
      </w:r>
      <w:proofErr w:type="spellEnd"/>
      <w:r w:rsidR="00220BE4">
        <w:rPr>
          <w:rFonts w:ascii="Arial" w:hAnsi="Arial" w:cs="Arial"/>
          <w:sz w:val="22"/>
          <w:szCs w:val="22"/>
        </w:rPr>
        <w:t xml:space="preserve"> </w:t>
      </w:r>
    </w:p>
    <w:p w14:paraId="3F70CCA7" w14:textId="77777777" w:rsidR="00B63ECD" w:rsidRPr="00E93F51" w:rsidRDefault="00B63ECD" w:rsidP="00B63ECD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93b76n8</w:t>
      </w:r>
    </w:p>
    <w:p w14:paraId="65680499" w14:textId="77777777" w:rsidR="00B63ECD" w:rsidRPr="00204238" w:rsidRDefault="00B63ECD" w:rsidP="00B63ECD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204238">
        <w:rPr>
          <w:rFonts w:ascii="Arial" w:hAnsi="Arial" w:cs="Arial"/>
          <w:sz w:val="22"/>
          <w:szCs w:val="22"/>
        </w:rPr>
        <w:t>bankovní spojení:</w:t>
      </w:r>
      <w:r w:rsidRPr="002042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>Komerční banka</w:t>
      </w:r>
      <w:r w:rsidRPr="00204238"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ab/>
      </w:r>
    </w:p>
    <w:p w14:paraId="62854AEE" w14:textId="77777777" w:rsidR="00B63ECD" w:rsidRPr="00E93F51" w:rsidRDefault="00B63ECD" w:rsidP="00B63ECD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04238">
        <w:rPr>
          <w:rFonts w:ascii="Arial" w:hAnsi="Arial" w:cs="Arial"/>
          <w:sz w:val="22"/>
          <w:szCs w:val="22"/>
        </w:rPr>
        <w:t xml:space="preserve">    číslo účtu:</w:t>
      </w:r>
      <w:r w:rsidRPr="002042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>1106220217/0100</w:t>
      </w:r>
      <w:r w:rsidRPr="00204238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2E987523" w14:textId="77777777" w:rsidR="00B63ECD" w:rsidRDefault="00B63ECD" w:rsidP="00B63ECD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25314459</w:t>
      </w:r>
      <w:r w:rsidRPr="00BE49CE">
        <w:rPr>
          <w:rFonts w:ascii="Arial" w:hAnsi="Arial" w:cs="Arial"/>
          <w:sz w:val="22"/>
          <w:szCs w:val="22"/>
        </w:rPr>
        <w:tab/>
      </w:r>
    </w:p>
    <w:p w14:paraId="136B819D" w14:textId="0330A6F2" w:rsidR="00B63ECD" w:rsidRDefault="00B63ECD" w:rsidP="00B63ECD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BE49CE">
        <w:rPr>
          <w:rFonts w:ascii="Arial" w:hAnsi="Arial" w:cs="Arial"/>
          <w:sz w:val="22"/>
          <w:szCs w:val="22"/>
        </w:rPr>
        <w:t xml:space="preserve">    DIČ:</w:t>
      </w:r>
      <w:proofErr w:type="gramStart"/>
      <w:r w:rsidRPr="00BE49CE">
        <w:rPr>
          <w:rFonts w:ascii="Arial" w:hAnsi="Arial" w:cs="Arial"/>
          <w:sz w:val="22"/>
          <w:szCs w:val="22"/>
        </w:rPr>
        <w:tab/>
      </w:r>
      <w:r w:rsidR="00B47276">
        <w:rPr>
          <w:rFonts w:ascii="Arial" w:hAnsi="Arial" w:cs="Arial"/>
          <w:sz w:val="22"/>
          <w:szCs w:val="22"/>
        </w:rPr>
        <w:t xml:space="preserve">  </w:t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CZ</w:t>
      </w:r>
      <w:proofErr w:type="gramEnd"/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25314459</w:t>
      </w:r>
      <w:r w:rsidRPr="00E93F51" w:rsidDel="00B63ECD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</w:p>
    <w:p w14:paraId="339C99E4" w14:textId="77777777" w:rsidR="00911BBD" w:rsidRDefault="00911BBD" w:rsidP="00911BBD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51707E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51707E">
        <w:rPr>
          <w:rFonts w:ascii="Arial" w:hAnsi="Arial" w:cs="Arial"/>
          <w:bCs/>
          <w:snapToGrid w:val="0"/>
          <w:sz w:val="22"/>
          <w:szCs w:val="22"/>
        </w:rPr>
        <w:t>Krajského soudu v Brně</w:t>
      </w:r>
      <w:r w:rsidRPr="0051707E">
        <w:rPr>
          <w:rFonts w:ascii="Arial" w:hAnsi="Arial" w:cs="Arial"/>
          <w:sz w:val="22"/>
          <w:szCs w:val="22"/>
        </w:rPr>
        <w:t>, oddíl C, vložka 24774.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859618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A7B9F">
        <w:rPr>
          <w:rStyle w:val="Siln"/>
          <w:rFonts w:ascii="Arial" w:hAnsi="Arial" w:cs="Arial"/>
          <w:b w:val="0"/>
          <w:sz w:val="22"/>
          <w:szCs w:val="22"/>
        </w:rPr>
        <w:t xml:space="preserve">SP4448/2025-523201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8A7B9F">
        <w:rPr>
          <w:rStyle w:val="Siln"/>
          <w:rFonts w:ascii="Arial" w:hAnsi="Arial" w:cs="Arial"/>
          <w:sz w:val="22"/>
          <w:szCs w:val="22"/>
        </w:rPr>
        <w:t>GTP pro PPO Rajhradice</w:t>
      </w:r>
      <w:bookmarkEnd w:id="2"/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vybraných lokalitách katastrální</w:t>
      </w:r>
      <w:r w:rsidR="008A7B9F">
        <w:rPr>
          <w:rFonts w:ascii="Arial" w:hAnsi="Arial" w:cs="Arial"/>
          <w:sz w:val="22"/>
          <w:szCs w:val="22"/>
        </w:rPr>
        <w:t>ch</w:t>
      </w:r>
      <w:r w:rsidR="00B04130" w:rsidRPr="00E93F51">
        <w:rPr>
          <w:rFonts w:ascii="Arial" w:hAnsi="Arial" w:cs="Arial"/>
          <w:sz w:val="22"/>
          <w:szCs w:val="22"/>
        </w:rPr>
        <w:t xml:space="preserve"> území</w:t>
      </w:r>
      <w:r w:rsidR="008A7B9F">
        <w:rPr>
          <w:rFonts w:ascii="Arial" w:hAnsi="Arial" w:cs="Arial"/>
          <w:sz w:val="22"/>
          <w:szCs w:val="22"/>
        </w:rPr>
        <w:t xml:space="preserve"> Rajhradice a Rajhrad</w:t>
      </w:r>
      <w:r w:rsidR="00B04130" w:rsidRPr="00E93F51">
        <w:rPr>
          <w:rFonts w:ascii="Arial" w:hAnsi="Arial" w:cs="Arial"/>
          <w:sz w:val="22"/>
          <w:szCs w:val="22"/>
        </w:rPr>
        <w:t xml:space="preserve">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</w:t>
      </w:r>
      <w:r w:rsidR="00B47276">
        <w:rPr>
          <w:rFonts w:ascii="Arial" w:hAnsi="Arial" w:cs="Arial"/>
          <w:sz w:val="22"/>
          <w:szCs w:val="22"/>
        </w:rPr>
        <w:t xml:space="preserve">               </w:t>
      </w:r>
      <w:r w:rsidR="001A32A5" w:rsidRPr="00E93F51">
        <w:rPr>
          <w:rFonts w:ascii="Arial" w:hAnsi="Arial" w:cs="Arial"/>
          <w:sz w:val="22"/>
          <w:szCs w:val="22"/>
        </w:rPr>
        <w:t xml:space="preserve">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</w:t>
      </w:r>
      <w:r w:rsidR="008A7B9F">
        <w:rPr>
          <w:rFonts w:ascii="Arial" w:hAnsi="Arial" w:cs="Arial"/>
          <w:sz w:val="22"/>
          <w:szCs w:val="22"/>
        </w:rPr>
        <w:t xml:space="preserve">ochranných hrází pro studii PPO v k. </w:t>
      </w:r>
      <w:proofErr w:type="spellStart"/>
      <w:r w:rsidR="008A7B9F">
        <w:rPr>
          <w:rFonts w:ascii="Arial" w:hAnsi="Arial" w:cs="Arial"/>
          <w:sz w:val="22"/>
          <w:szCs w:val="22"/>
        </w:rPr>
        <w:t>ú.</w:t>
      </w:r>
      <w:proofErr w:type="spellEnd"/>
      <w:r w:rsidR="008A7B9F">
        <w:rPr>
          <w:rFonts w:ascii="Arial" w:hAnsi="Arial" w:cs="Arial"/>
          <w:sz w:val="22"/>
          <w:szCs w:val="22"/>
        </w:rPr>
        <w:t xml:space="preserve"> Rajhradice a pro</w:t>
      </w:r>
      <w:r w:rsidR="00B13043" w:rsidRPr="00E93F51">
        <w:rPr>
          <w:rFonts w:ascii="Arial" w:hAnsi="Arial" w:cs="Arial"/>
          <w:sz w:val="22"/>
          <w:szCs w:val="22"/>
        </w:rPr>
        <w:t xml:space="preserve">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B47276">
        <w:rPr>
          <w:rFonts w:ascii="Arial" w:hAnsi="Arial" w:cs="Arial"/>
          <w:sz w:val="22"/>
          <w:szCs w:val="22"/>
        </w:rPr>
        <w:t xml:space="preserve">             </w:t>
      </w:r>
      <w:r w:rsidR="00914EF8" w:rsidRPr="00E93F51">
        <w:rPr>
          <w:rFonts w:ascii="Arial" w:hAnsi="Arial" w:cs="Arial"/>
          <w:sz w:val="22"/>
          <w:szCs w:val="22"/>
        </w:rPr>
        <w:t>v k.</w:t>
      </w:r>
      <w:r w:rsidR="00B472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8A7B9F">
        <w:rPr>
          <w:rFonts w:ascii="Arial" w:hAnsi="Arial" w:cs="Arial"/>
          <w:sz w:val="22"/>
          <w:szCs w:val="22"/>
        </w:rPr>
        <w:t>Rajhradice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553020E3" w14:textId="27C293D0" w:rsidR="001B7847" w:rsidRPr="00E93F51" w:rsidRDefault="008325A1" w:rsidP="00662CAE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A85C66" w:rsidRPr="00662CAE">
        <w:rPr>
          <w:rStyle w:val="Siln"/>
          <w:rFonts w:ascii="Arial" w:hAnsi="Arial" w:cs="Arial"/>
          <w:b w:val="0"/>
          <w:sz w:val="22"/>
          <w:szCs w:val="22"/>
        </w:rPr>
        <w:t>předběžný pro proti</w:t>
      </w:r>
      <w:r w:rsidR="00E54872" w:rsidRPr="00662CAE">
        <w:rPr>
          <w:rStyle w:val="Siln"/>
          <w:rFonts w:ascii="Arial" w:hAnsi="Arial" w:cs="Arial"/>
          <w:b w:val="0"/>
          <w:sz w:val="22"/>
          <w:szCs w:val="22"/>
        </w:rPr>
        <w:t>povodňové hráze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B7847"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="001B7847"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DA289DD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 xml:space="preserve">Čl. </w:t>
      </w:r>
      <w:r w:rsidR="00120B1C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549363A" w14:textId="77777777" w:rsidR="00911BBD" w:rsidRDefault="00911BBD" w:rsidP="00911BBD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9929E86" w14:textId="77777777" w:rsidR="00911BBD" w:rsidRPr="00E93F51" w:rsidRDefault="00911BBD" w:rsidP="00662CAE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19C7B16B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E54872">
        <w:rPr>
          <w:rStyle w:val="Siln"/>
          <w:rFonts w:ascii="Arial" w:hAnsi="Arial" w:cs="Arial"/>
          <w:b w:val="0"/>
          <w:i/>
          <w:sz w:val="22"/>
          <w:szCs w:val="22"/>
        </w:rPr>
        <w:t>hrází</w:t>
      </w:r>
    </w:p>
    <w:p w14:paraId="3827A202" w14:textId="1CEE19E9" w:rsidR="00E54872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  <w:r w:rsidR="00E54872">
        <w:rPr>
          <w:rStyle w:val="Siln"/>
          <w:rFonts w:ascii="Arial" w:hAnsi="Arial" w:cs="Arial"/>
          <w:b w:val="0"/>
          <w:i/>
          <w:sz w:val="22"/>
          <w:szCs w:val="22"/>
        </w:rPr>
        <w:t xml:space="preserve"> – Situace průzkumných sond v lokalitě Ivanovický potok a v lokalitě  </w:t>
      </w:r>
    </w:p>
    <w:p w14:paraId="360AEE07" w14:textId="507E3E25" w:rsidR="002B0933" w:rsidRPr="00E93F51" w:rsidRDefault="00E54872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 xml:space="preserve">       Dunávka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CEC6BA5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E54872" w:rsidRPr="00662CAE">
        <w:rPr>
          <w:rStyle w:val="Siln"/>
          <w:rFonts w:ascii="Arial" w:hAnsi="Arial" w:cs="Arial"/>
          <w:bCs w:val="0"/>
          <w:sz w:val="22"/>
          <w:szCs w:val="22"/>
        </w:rPr>
        <w:t>15.8.2025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4EA8E81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E54872">
        <w:rPr>
          <w:rStyle w:val="Siln"/>
          <w:rFonts w:ascii="Arial" w:hAnsi="Arial" w:cs="Arial"/>
          <w:b w:val="0"/>
          <w:sz w:val="22"/>
          <w:szCs w:val="22"/>
        </w:rPr>
        <w:t xml:space="preserve">okres Brno-venkov, k. </w:t>
      </w:r>
      <w:proofErr w:type="spellStart"/>
      <w:r w:rsidR="00E54872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E54872">
        <w:rPr>
          <w:rStyle w:val="Siln"/>
          <w:rFonts w:ascii="Arial" w:hAnsi="Arial" w:cs="Arial"/>
          <w:b w:val="0"/>
          <w:sz w:val="22"/>
          <w:szCs w:val="22"/>
        </w:rPr>
        <w:t xml:space="preserve"> Rajhradice a k. </w:t>
      </w:r>
      <w:proofErr w:type="spellStart"/>
      <w:r w:rsidR="00E54872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E54872">
        <w:rPr>
          <w:rStyle w:val="Siln"/>
          <w:rFonts w:ascii="Arial" w:hAnsi="Arial" w:cs="Arial"/>
          <w:b w:val="0"/>
          <w:sz w:val="22"/>
          <w:szCs w:val="22"/>
        </w:rPr>
        <w:t xml:space="preserve"> Rajhrad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05D80E6D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</w:t>
      </w:r>
      <w:r w:rsidRPr="00662CAE">
        <w:rPr>
          <w:rFonts w:ascii="Arial" w:hAnsi="Arial" w:cs="Arial"/>
          <w:bCs/>
          <w:i w:val="0"/>
          <w:sz w:val="22"/>
          <w:szCs w:val="22"/>
        </w:rPr>
        <w:t xml:space="preserve">do </w:t>
      </w:r>
      <w:r w:rsidR="00E54872" w:rsidRPr="00662CAE">
        <w:rPr>
          <w:rFonts w:ascii="Arial" w:hAnsi="Arial" w:cs="Arial"/>
          <w:bCs/>
          <w:i w:val="0"/>
          <w:sz w:val="22"/>
          <w:szCs w:val="22"/>
        </w:rPr>
        <w:t>15.8.2025</w:t>
      </w:r>
      <w:r w:rsidR="00E54872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32C2A693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4D1382C8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A6C1AB7" w14:textId="59F21BE1" w:rsidR="00911BBD" w:rsidRPr="00B47276" w:rsidRDefault="00911BBD" w:rsidP="00911BBD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Pr="00B47276">
        <w:rPr>
          <w:rFonts w:ascii="Arial" w:hAnsi="Arial" w:cs="Arial"/>
          <w:bCs/>
          <w:i w:val="0"/>
          <w:sz w:val="22"/>
          <w:szCs w:val="22"/>
        </w:rPr>
        <w:t>160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Pr="00B47276">
        <w:rPr>
          <w:rFonts w:ascii="Arial" w:hAnsi="Arial" w:cs="Arial"/>
          <w:bCs/>
          <w:i w:val="0"/>
          <w:sz w:val="22"/>
          <w:szCs w:val="22"/>
        </w:rPr>
        <w:t>000,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>00</w:t>
      </w:r>
      <w:r w:rsidRPr="00B47276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3049AF41" w14:textId="6A42F546" w:rsidR="00911BBD" w:rsidRPr="00E93F51" w:rsidRDefault="00911BBD" w:rsidP="00911BBD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05019B" w:rsidRPr="00B47276">
        <w:rPr>
          <w:rFonts w:ascii="Arial" w:hAnsi="Arial" w:cs="Arial"/>
          <w:bCs/>
          <w:i w:val="0"/>
          <w:sz w:val="22"/>
          <w:szCs w:val="22"/>
        </w:rPr>
        <w:t>33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05019B" w:rsidRPr="00B47276">
        <w:rPr>
          <w:rFonts w:ascii="Arial" w:hAnsi="Arial" w:cs="Arial"/>
          <w:bCs/>
          <w:i w:val="0"/>
          <w:sz w:val="22"/>
          <w:szCs w:val="22"/>
        </w:rPr>
        <w:t>600</w:t>
      </w:r>
      <w:r w:rsidRPr="00B47276">
        <w:rPr>
          <w:rFonts w:ascii="Arial" w:hAnsi="Arial" w:cs="Arial"/>
          <w:bCs/>
          <w:i w:val="0"/>
          <w:sz w:val="22"/>
          <w:szCs w:val="22"/>
        </w:rPr>
        <w:t>,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>00</w:t>
      </w:r>
      <w:r w:rsidRPr="00B47276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D5231D" w14:textId="1780E098" w:rsidR="00911BBD" w:rsidRPr="00B47276" w:rsidRDefault="00911BBD" w:rsidP="00911BBD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05019B" w:rsidRPr="00B47276">
        <w:rPr>
          <w:rFonts w:ascii="Arial" w:hAnsi="Arial" w:cs="Arial"/>
          <w:bCs/>
          <w:i w:val="0"/>
          <w:sz w:val="22"/>
          <w:szCs w:val="22"/>
        </w:rPr>
        <w:t>193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05019B" w:rsidRPr="00B47276">
        <w:rPr>
          <w:rFonts w:ascii="Arial" w:hAnsi="Arial" w:cs="Arial"/>
          <w:bCs/>
          <w:i w:val="0"/>
          <w:sz w:val="22"/>
          <w:szCs w:val="22"/>
        </w:rPr>
        <w:t>600</w:t>
      </w:r>
      <w:r w:rsidRPr="00B47276">
        <w:rPr>
          <w:rFonts w:ascii="Arial" w:hAnsi="Arial" w:cs="Arial"/>
          <w:bCs/>
          <w:i w:val="0"/>
          <w:sz w:val="22"/>
          <w:szCs w:val="22"/>
        </w:rPr>
        <w:t>,</w:t>
      </w:r>
      <w:r w:rsidR="00B47276" w:rsidRPr="00B47276">
        <w:rPr>
          <w:rFonts w:ascii="Arial" w:hAnsi="Arial" w:cs="Arial"/>
          <w:bCs/>
          <w:i w:val="0"/>
          <w:sz w:val="22"/>
          <w:szCs w:val="22"/>
        </w:rPr>
        <w:t>00</w:t>
      </w:r>
      <w:r w:rsidRPr="00B47276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09F0859A" w14:textId="77777777" w:rsidR="00911BBD" w:rsidRPr="00E93F51" w:rsidRDefault="00911BBD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146F049" w14:textId="77777777" w:rsidR="0005019B" w:rsidRPr="00E93F51" w:rsidRDefault="0005019B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24016D1C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65C396D9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B7EEE35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D105BAD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F58D0D5" w14:textId="77777777" w:rsidR="0005019B" w:rsidRPr="00662CAE" w:rsidRDefault="0005019B" w:rsidP="00662CAE">
      <w:pPr>
        <w:rPr>
          <w:lang w:eastAsia="en-US"/>
        </w:rPr>
      </w:pPr>
    </w:p>
    <w:p w14:paraId="569E6410" w14:textId="6F8525E4" w:rsidR="0005019B" w:rsidRDefault="0005019B" w:rsidP="00662CAE">
      <w:pPr>
        <w:pStyle w:val="TSlneksmlouvy"/>
        <w:keepNext w:val="0"/>
        <w:widowControl w:val="0"/>
        <w:suppressAutoHyphens w:val="0"/>
        <w:spacing w:before="0" w:after="0" w:line="276" w:lineRule="auto"/>
        <w:rPr>
          <w:rFonts w:cs="Arial"/>
          <w:szCs w:val="22"/>
          <w:u w:val="none"/>
        </w:rPr>
      </w:pPr>
      <w:bookmarkStart w:id="14" w:name="_Ref368990552"/>
    </w:p>
    <w:p w14:paraId="75F69FA1" w14:textId="0A2EED93" w:rsidR="009453A7" w:rsidRDefault="009453A7" w:rsidP="00662CAE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>
        <w:rPr>
          <w:rFonts w:cs="Arial"/>
          <w:szCs w:val="22"/>
          <w:u w:val="none"/>
        </w:rPr>
        <w:t>Čl. IX</w:t>
      </w:r>
    </w:p>
    <w:p w14:paraId="6E06E271" w14:textId="10505C6E" w:rsidR="00013A96" w:rsidRPr="00E93F51" w:rsidRDefault="00013A96" w:rsidP="00662CAE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62B99C99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6944536" w14:textId="5DDDC3CB" w:rsidR="00013A96" w:rsidRPr="00E93F51" w:rsidRDefault="009453A7" w:rsidP="009453A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>
        <w:rPr>
          <w:rFonts w:cs="Arial"/>
          <w:szCs w:val="22"/>
          <w:u w:val="none"/>
        </w:rPr>
        <w:t>Čl. X</w:t>
      </w:r>
      <w:r w:rsidR="00013A96"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AA61A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9F53874" w:rsidR="00192E89" w:rsidRPr="00E93F51" w:rsidRDefault="00192E89" w:rsidP="00AA61A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15F52A74" w:rsidR="00192E89" w:rsidRDefault="00192E89" w:rsidP="00AA61A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>0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66D66C36" w:rsidR="00384B09" w:rsidRPr="00EA29FD" w:rsidRDefault="00384B09" w:rsidP="00662CAE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% z ceny </w:t>
      </w:r>
      <w:r w:rsidRPr="0024246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díla</w:t>
      </w:r>
      <w:r w:rsidR="00242461" w:rsidRPr="00662CA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01D4A" w:rsidRPr="00662CAE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662CAE">
        <w:rPr>
          <w:rFonts w:ascii="Arial" w:hAnsi="Arial" w:cs="Arial"/>
          <w:bCs/>
          <w:sz w:val="22"/>
          <w:szCs w:val="22"/>
          <w:lang w:val="en-US"/>
        </w:rPr>
        <w:t xml:space="preserve"> 2 500 </w:t>
      </w:r>
      <w:proofErr w:type="spellStart"/>
      <w:r w:rsidR="004568DC" w:rsidRPr="00662CAE">
        <w:rPr>
          <w:rFonts w:ascii="Arial" w:hAnsi="Arial" w:cs="Arial"/>
          <w:bCs/>
          <w:sz w:val="22"/>
          <w:szCs w:val="22"/>
          <w:lang w:val="en-US"/>
        </w:rPr>
        <w:t>Kč</w:t>
      </w:r>
      <w:proofErr w:type="spellEnd"/>
      <w:r w:rsidR="004568DC" w:rsidRPr="00662CA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24246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AA61A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AA61A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662CAE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664D0B48" w:rsidR="00F01B4C" w:rsidRPr="00E93F51" w:rsidRDefault="009453A7" w:rsidP="009453A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>
        <w:rPr>
          <w:rFonts w:cs="Arial"/>
          <w:szCs w:val="22"/>
          <w:u w:val="none"/>
        </w:rPr>
        <w:t>Čl. XI</w:t>
      </w:r>
      <w:r w:rsidR="00F01B4C"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="00F01B4C"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2A6F7EF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4FA6D6F6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>0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B2E2721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 w:rsidRPr="00120B1C">
        <w:rPr>
          <w:rStyle w:val="Siln"/>
          <w:b w:val="0"/>
        </w:rPr>
        <w:t>0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120B1C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</w:t>
      </w:r>
      <w:r w:rsidRPr="00E93F51">
        <w:rPr>
          <w:rFonts w:ascii="Arial" w:hAnsi="Arial" w:cs="Arial"/>
          <w:sz w:val="22"/>
          <w:szCs w:val="22"/>
          <w:lang w:eastAsia="en-US"/>
        </w:rPr>
        <w:lastRenderedPageBreak/>
        <w:t xml:space="preserve">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44E345ED" w:rsidR="00E411CD" w:rsidRPr="009453A7" w:rsidRDefault="009453A7" w:rsidP="009453A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XII</w:t>
      </w:r>
    </w:p>
    <w:p w14:paraId="3B891026" w14:textId="178BB042" w:rsidR="00E411CD" w:rsidRPr="00743BE9" w:rsidRDefault="00E411CD" w:rsidP="00662CA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1BB9970A" w:rsidR="00E411CD" w:rsidRPr="00F656C6" w:rsidRDefault="00E411CD" w:rsidP="00662CAE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A52E15">
        <w:rPr>
          <w:rFonts w:ascii="Arial" w:hAnsi="Arial" w:cs="Arial"/>
          <w:bCs/>
          <w:sz w:val="22"/>
          <w:szCs w:val="22"/>
        </w:rPr>
        <w:t xml:space="preserve">160 000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662CAE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23843154" w:rsidR="00F01B4C" w:rsidRPr="00E93F51" w:rsidRDefault="009453A7" w:rsidP="009453A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>
        <w:rPr>
          <w:rFonts w:cs="Arial"/>
          <w:szCs w:val="22"/>
          <w:u w:val="none"/>
        </w:rPr>
        <w:t>Čl. XIII</w:t>
      </w:r>
      <w:r w:rsidR="00F01B4C" w:rsidRPr="00E93F51">
        <w:rPr>
          <w:rFonts w:cs="Arial"/>
          <w:szCs w:val="22"/>
          <w:u w:val="none"/>
        </w:rPr>
        <w:br/>
      </w:r>
      <w:bookmarkStart w:id="16" w:name="_Ref368989260"/>
      <w:r w:rsidR="00F01B4C"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DD2E1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662CAE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DD2E1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DD2E1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DD2E1B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662CAE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5E826ED8" w:rsidR="00F01B4C" w:rsidRPr="00E93F51" w:rsidRDefault="009453A7" w:rsidP="009453A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>
        <w:rPr>
          <w:rFonts w:cs="Arial"/>
          <w:szCs w:val="22"/>
          <w:u w:val="none"/>
        </w:rPr>
        <w:t>Čl. XIV</w:t>
      </w:r>
      <w:r w:rsidR="00F01B4C"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Smlouva je vyhotovena ve čtyřech stejnopisech, z toho ve dvou vyhotoveních pro objednatele a ve dvou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ichž každý má povahu originálu; a příloha č. 1 ve dvou vyhotovení.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58949143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A52E15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</w:t>
            </w:r>
            <w:r w:rsidR="00220BE4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 17.6.2025</w:t>
            </w:r>
          </w:p>
        </w:tc>
        <w:tc>
          <w:tcPr>
            <w:tcW w:w="4606" w:type="dxa"/>
            <w:shd w:val="clear" w:color="auto" w:fill="auto"/>
          </w:tcPr>
          <w:p w14:paraId="5F6ADB30" w14:textId="18C0018F" w:rsidR="006551D9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4D43B3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Sokolnicích </w:t>
            </w:r>
            <w:r w:rsidR="00220BE4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17.6.2025</w:t>
            </w:r>
          </w:p>
          <w:p w14:paraId="07D06A67" w14:textId="77777777" w:rsidR="00EA2697" w:rsidRDefault="00EA269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50F46F9" w14:textId="77777777" w:rsidR="002B0933" w:rsidRPr="00E93F51" w:rsidRDefault="002B0933" w:rsidP="009453A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56959602" w:rsidR="00433AC4" w:rsidRPr="00662CAE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21398E31" w:rsidR="0029141F" w:rsidRPr="00E93F51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Miroslava Priessnitzová</w:t>
            </w:r>
          </w:p>
        </w:tc>
        <w:tc>
          <w:tcPr>
            <w:tcW w:w="4606" w:type="dxa"/>
            <w:shd w:val="clear" w:color="auto" w:fill="auto"/>
          </w:tcPr>
          <w:p w14:paraId="6D0D2AD1" w14:textId="3810B68F" w:rsidR="0029141F" w:rsidRPr="009453A7" w:rsidRDefault="004D43B3" w:rsidP="004D43B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9453A7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Ing. Albert Kmeť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4365CC17" w14:textId="77777777" w:rsidR="0029141F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Brno</w:t>
            </w:r>
          </w:p>
          <w:p w14:paraId="46880E8F" w14:textId="77777777" w:rsidR="00A52E15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Krajský pozemkový úřad pro JMK</w:t>
            </w:r>
          </w:p>
          <w:p w14:paraId="4CF2BF1F" w14:textId="77777777" w:rsidR="00A52E15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  <w:p w14:paraId="33254333" w14:textId="77777777" w:rsidR="00A52E15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1390CC9" w14:textId="77777777" w:rsidR="00A52E15" w:rsidRDefault="00A52E1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Za správnost: Ing. Radmila Navrátilová</w:t>
            </w:r>
          </w:p>
          <w:p w14:paraId="37CCF47C" w14:textId="43A89D13" w:rsidR="009453A7" w:rsidRPr="009453A7" w:rsidRDefault="009453A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4606" w:type="dxa"/>
            <w:shd w:val="clear" w:color="auto" w:fill="auto"/>
          </w:tcPr>
          <w:p w14:paraId="4CCBF97C" w14:textId="7282ACE9" w:rsidR="0029141F" w:rsidRPr="00E93F51" w:rsidRDefault="004D43B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společnosti</w:t>
            </w:r>
            <w:proofErr w:type="spellEnd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GEON, </w:t>
            </w:r>
            <w:proofErr w:type="spellStart"/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s.r.o.</w:t>
            </w:r>
            <w:proofErr w:type="spellEnd"/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28DDC0E" w14:textId="74384DBC" w:rsidR="00374F0E" w:rsidRDefault="0040514A" w:rsidP="00DD2E1B">
      <w:pPr>
        <w:pStyle w:val="TSlneksmlouvy"/>
        <w:spacing w:before="0" w:after="0" w:line="276" w:lineRule="auto"/>
        <w:jc w:val="both"/>
        <w:rPr>
          <w:rFonts w:cs="Arial"/>
          <w:b w:val="0"/>
          <w:bCs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21F73454" w14:textId="5D4582F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77777777" w:rsidR="00DA1ACB" w:rsidRPr="00E93F51" w:rsidRDefault="00DA1ACB">
      <w:pPr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br w:type="page"/>
      </w:r>
    </w:p>
    <w:p w14:paraId="6AFF01D5" w14:textId="782294E1" w:rsidR="00833423" w:rsidRPr="008F0F8C" w:rsidRDefault="00912812" w:rsidP="00662CAE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lastRenderedPageBreak/>
        <w:t>P</w:t>
      </w:r>
      <w:r w:rsidR="00833423" w:rsidRPr="008F0F8C">
        <w:rPr>
          <w:rFonts w:ascii="Arial" w:eastAsia="Calibri" w:hAnsi="Arial" w:cs="Arial"/>
          <w:b/>
          <w:bCs/>
          <w:sz w:val="22"/>
          <w:szCs w:val="22"/>
          <w:u w:val="single"/>
        </w:rPr>
        <w:t>ředběžn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ý</w:t>
      </w:r>
      <w:r w:rsidR="00833423" w:rsidRPr="008F0F8C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G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T</w:t>
      </w:r>
      <w:r w:rsidR="00833423" w:rsidRPr="008F0F8C">
        <w:rPr>
          <w:rFonts w:ascii="Arial" w:eastAsia="Calibri" w:hAnsi="Arial" w:cs="Arial"/>
          <w:b/>
          <w:bCs/>
          <w:sz w:val="22"/>
          <w:szCs w:val="22"/>
          <w:u w:val="single"/>
        </w:rPr>
        <w:t>P pro PPO Rajhradice</w:t>
      </w:r>
    </w:p>
    <w:p w14:paraId="53F63A7E" w14:textId="77777777" w:rsidR="00833423" w:rsidRDefault="00833423" w:rsidP="00833423">
      <w:pPr>
        <w:jc w:val="both"/>
        <w:rPr>
          <w:rFonts w:ascii="Arial" w:eastAsia="Calibri" w:hAnsi="Arial" w:cs="Arial"/>
          <w:sz w:val="22"/>
          <w:szCs w:val="22"/>
        </w:rPr>
      </w:pPr>
    </w:p>
    <w:p w14:paraId="282EE631" w14:textId="35954C2F" w:rsidR="00833423" w:rsidRPr="00BE7D79" w:rsidRDefault="00833423" w:rsidP="00662CA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Úkolem tohoto průzkumu je:</w:t>
      </w:r>
    </w:p>
    <w:p w14:paraId="2A41A74A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Zhodnotit území z hlediska celkové stability, tj. vyloučit existenci nepříznivých geologických jevů v území (sesuvy, tektonické poruchy, seismicita a jinak nevhodné geologické podmínky).</w:t>
      </w:r>
    </w:p>
    <w:p w14:paraId="33BB9248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Popsat základní geologické utváření území.</w:t>
      </w:r>
    </w:p>
    <w:p w14:paraId="3DE7AA2D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Určit předběžně průběh jednotlivých geologických vrstev.</w:t>
      </w:r>
    </w:p>
    <w:p w14:paraId="7B7847E7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Vymez</w:t>
      </w:r>
      <w:r>
        <w:rPr>
          <w:rFonts w:ascii="Arial" w:eastAsia="Calibri" w:hAnsi="Arial" w:cs="Arial"/>
          <w:sz w:val="22"/>
          <w:szCs w:val="22"/>
        </w:rPr>
        <w:t>it</w:t>
      </w:r>
      <w:r w:rsidRPr="00BE7D79">
        <w:rPr>
          <w:rFonts w:ascii="Arial" w:eastAsia="Calibri" w:hAnsi="Arial" w:cs="Arial"/>
          <w:sz w:val="22"/>
          <w:szCs w:val="22"/>
        </w:rPr>
        <w:t xml:space="preserve"> zemník pro těžbu zemin vhodných ke konstrukci hráze.</w:t>
      </w:r>
    </w:p>
    <w:p w14:paraId="506B54AA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Stanovit zatřídění jednotlivých zemin dle ČSN EN 1997-1 (původně ČSN 73 1001)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BE7D79">
        <w:rPr>
          <w:rFonts w:ascii="Arial" w:eastAsia="Calibri" w:hAnsi="Arial" w:cs="Arial"/>
          <w:sz w:val="22"/>
          <w:szCs w:val="22"/>
        </w:rPr>
        <w:t>ČSN 75 2410. Zatřídění je možno pro předběžný průzkum určit subjektivně na základě zkušeností geologa. Pokud se jedná o zeminy, kde si geolog není jistý, příp. jsou-li zeminy na hranici zatřídění, provedou se odběry porušených vzorků k základnímu laboratornímu rozboru. Zatřídění pak provede příslušná laboratoř.</w:t>
      </w:r>
    </w:p>
    <w:p w14:paraId="409BDF64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Zakreslit hladinu podzemní vody.</w:t>
      </w:r>
    </w:p>
    <w:p w14:paraId="36D5CCCE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 případě existence nepříznivých geologických jevů v území určit, je-li stavba v tomto prostředí proveditelná, případně stanovit způsob jejího provedení</w:t>
      </w:r>
      <w:r>
        <w:rPr>
          <w:rFonts w:ascii="Arial" w:eastAsia="Calibri" w:hAnsi="Arial" w:cs="Arial"/>
          <w:sz w:val="22"/>
          <w:szCs w:val="22"/>
        </w:rPr>
        <w:t xml:space="preserve"> (doporučit způsob založení a sklony svahů zemních hrází</w:t>
      </w:r>
      <w:r w:rsidRPr="00BE7D79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způsob založení ostatních objektů)</w:t>
      </w:r>
      <w:r w:rsidRPr="00BE7D79">
        <w:rPr>
          <w:rFonts w:ascii="Arial" w:eastAsia="Calibri" w:hAnsi="Arial" w:cs="Arial"/>
          <w:sz w:val="22"/>
          <w:szCs w:val="22"/>
        </w:rPr>
        <w:t xml:space="preserve"> doporučení provedení podrobného geologického průzkumu, příp. navrhnout způsob eliminace nepříznivých vlivů.</w:t>
      </w:r>
    </w:p>
    <w:p w14:paraId="431ECDA2" w14:textId="77777777" w:rsidR="00833423" w:rsidRPr="00BE7D79" w:rsidRDefault="00833423" w:rsidP="00662CAE">
      <w:pPr>
        <w:numPr>
          <w:ilvl w:val="0"/>
          <w:numId w:val="52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Odhalit případné antropogenní vrstvy (skládky, násypy, výkopy apod.) a navrhnout způsob jejich likvidace, příp. způsob založení stavby.</w:t>
      </w:r>
    </w:p>
    <w:p w14:paraId="0FC38EAE" w14:textId="77777777" w:rsidR="00833423" w:rsidRPr="00BE7D79" w:rsidRDefault="00833423" w:rsidP="00662CA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 xml:space="preserve">Nejvhodnější pro získání informací o geologickém složení je provedení vhodně umístěných </w:t>
      </w:r>
      <w:r>
        <w:rPr>
          <w:rFonts w:ascii="Arial" w:eastAsia="Calibri" w:hAnsi="Arial" w:cs="Arial"/>
          <w:sz w:val="22"/>
          <w:szCs w:val="22"/>
        </w:rPr>
        <w:t xml:space="preserve">vrtaných nebo </w:t>
      </w:r>
      <w:r w:rsidRPr="00BE7D79">
        <w:rPr>
          <w:rFonts w:ascii="Arial" w:eastAsia="Calibri" w:hAnsi="Arial" w:cs="Arial"/>
          <w:sz w:val="22"/>
          <w:szCs w:val="22"/>
        </w:rPr>
        <w:t>kopaných sond</w:t>
      </w:r>
      <w:r>
        <w:rPr>
          <w:rFonts w:ascii="Arial" w:eastAsia="Calibri" w:hAnsi="Arial" w:cs="Arial"/>
          <w:sz w:val="22"/>
          <w:szCs w:val="22"/>
        </w:rPr>
        <w:t xml:space="preserve"> dle místních podmínek a přepokládaných laboratorních zkoušek</w:t>
      </w:r>
      <w:r w:rsidRPr="00BE7D79">
        <w:rPr>
          <w:rFonts w:ascii="Arial" w:eastAsia="Calibri" w:hAnsi="Arial" w:cs="Arial"/>
          <w:sz w:val="22"/>
          <w:szCs w:val="22"/>
        </w:rPr>
        <w:t>. Vrtané sondy je vhodné provést vrtnou soupravou s průměrem vrtu alespoň 12 cm.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E7D79">
        <w:rPr>
          <w:rFonts w:ascii="Arial" w:eastAsia="Calibri" w:hAnsi="Arial" w:cs="Arial"/>
          <w:sz w:val="22"/>
          <w:szCs w:val="22"/>
        </w:rPr>
        <w:t>Zatřídění zemin je vhodné provést laboratorním rozborem zemin. Pro předběžný průzkum je možno zatřídit zeminy na základě vizuálního hodnocení zkušeným geologem. V případě nerozhodnosti je vhodné provést základní laboratorní rozbor (indexové zkoušky, zrnitost</w:t>
      </w:r>
      <w:r>
        <w:rPr>
          <w:rFonts w:ascii="Arial" w:eastAsia="Calibri" w:hAnsi="Arial" w:cs="Arial"/>
          <w:sz w:val="22"/>
          <w:szCs w:val="22"/>
        </w:rPr>
        <w:t>, propustnost</w:t>
      </w:r>
      <w:r w:rsidRPr="00BE7D79">
        <w:rPr>
          <w:rFonts w:ascii="Arial" w:eastAsia="Calibri" w:hAnsi="Arial" w:cs="Arial"/>
          <w:sz w:val="22"/>
          <w:szCs w:val="22"/>
        </w:rPr>
        <w:t>). Zatřídění pak provede laboratoř, nebo je možno jej provést dle trojúhelníkového grafu (ČSN EN 1997-1 - ČSN 73 1001, ČSN 75 2410). Umístění sond je vhodné provést:</w:t>
      </w:r>
    </w:p>
    <w:p w14:paraId="5C455FFB" w14:textId="77777777" w:rsidR="00833423" w:rsidRPr="00BE7D79" w:rsidRDefault="00833423" w:rsidP="00662CAE">
      <w:pPr>
        <w:numPr>
          <w:ilvl w:val="0"/>
          <w:numId w:val="53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 ose liniových staveb nebo v ose hráze.</w:t>
      </w:r>
    </w:p>
    <w:p w14:paraId="6C8017EB" w14:textId="77777777" w:rsidR="00833423" w:rsidRPr="00BE7D79" w:rsidRDefault="00833423" w:rsidP="00662CAE">
      <w:pPr>
        <w:numPr>
          <w:ilvl w:val="0"/>
          <w:numId w:val="53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 příčných profilech území stavby tak, aby geologický průzkum území přesahoval hranice stavby.</w:t>
      </w:r>
    </w:p>
    <w:p w14:paraId="09227641" w14:textId="77777777" w:rsidR="00833423" w:rsidRPr="00BE7D79" w:rsidRDefault="00833423" w:rsidP="00662CAE">
      <w:pPr>
        <w:numPr>
          <w:ilvl w:val="0"/>
          <w:numId w:val="53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 místě předpokládaných objektů, pokud jsou známy.</w:t>
      </w:r>
    </w:p>
    <w:p w14:paraId="0A1F540A" w14:textId="77777777" w:rsidR="00833423" w:rsidRPr="00BE7D79" w:rsidRDefault="00833423" w:rsidP="00662CAE">
      <w:pPr>
        <w:numPr>
          <w:ilvl w:val="0"/>
          <w:numId w:val="53"/>
        </w:num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E7D79">
        <w:rPr>
          <w:rFonts w:ascii="Arial" w:eastAsia="Calibri" w:hAnsi="Arial" w:cs="Arial"/>
          <w:sz w:val="22"/>
          <w:szCs w:val="22"/>
        </w:rPr>
        <w:t>V místě předpokládaných zemníků.</w:t>
      </w:r>
    </w:p>
    <w:p w14:paraId="6EE7AE7D" w14:textId="2CAEB37D" w:rsidR="00833423" w:rsidRDefault="00833423" w:rsidP="00662CA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Poloha sond může být přizpůsobena místním podmínkám, avšak s přihlédnutím k dosažení požadovaného účelu G</w:t>
      </w:r>
      <w:r w:rsidR="00912812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P. </w:t>
      </w:r>
    </w:p>
    <w:p w14:paraId="491DEDB7" w14:textId="77777777" w:rsidR="00833423" w:rsidRDefault="00833423" w:rsidP="00833423">
      <w:pPr>
        <w:jc w:val="both"/>
        <w:rPr>
          <w:rFonts w:ascii="Arial" w:eastAsia="Calibri" w:hAnsi="Arial" w:cs="Arial"/>
          <w:sz w:val="22"/>
          <w:szCs w:val="22"/>
        </w:rPr>
      </w:pPr>
    </w:p>
    <w:p w14:paraId="1C356C82" w14:textId="77777777" w:rsidR="00833423" w:rsidRDefault="00833423" w:rsidP="00833423">
      <w:pPr>
        <w:spacing w:after="160" w:line="278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page"/>
      </w:r>
    </w:p>
    <w:p w14:paraId="489087B3" w14:textId="54762E29" w:rsidR="00833423" w:rsidRPr="00662CAE" w:rsidRDefault="00833423" w:rsidP="00662CAE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62CAE">
        <w:rPr>
          <w:rFonts w:ascii="Arial" w:eastAsia="Calibri" w:hAnsi="Arial" w:cs="Arial"/>
          <w:b/>
          <w:bCs/>
          <w:sz w:val="22"/>
          <w:szCs w:val="22"/>
        </w:rPr>
        <w:lastRenderedPageBreak/>
        <w:t>Specifikace průzkumných sond</w:t>
      </w:r>
      <w:r>
        <w:rPr>
          <w:rFonts w:ascii="Arial" w:eastAsia="Calibri" w:hAnsi="Arial" w:cs="Arial"/>
          <w:b/>
          <w:bCs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80"/>
      </w:tblGrid>
      <w:tr w:rsidR="00833423" w14:paraId="0ECF6B75" w14:textId="77777777" w:rsidTr="00F432B4">
        <w:tc>
          <w:tcPr>
            <w:tcW w:w="1413" w:type="dxa"/>
          </w:tcPr>
          <w:p w14:paraId="6BB2BB03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ID sondy</w:t>
            </w:r>
          </w:p>
        </w:tc>
        <w:tc>
          <w:tcPr>
            <w:tcW w:w="3969" w:type="dxa"/>
          </w:tcPr>
          <w:p w14:paraId="42BD4BE4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Způsob prov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edení</w:t>
            </w: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/ hloubka</w:t>
            </w:r>
          </w:p>
        </w:tc>
        <w:tc>
          <w:tcPr>
            <w:tcW w:w="3680" w:type="dxa"/>
          </w:tcPr>
          <w:p w14:paraId="73152F95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833423" w14:paraId="2A81C3CB" w14:textId="77777777" w:rsidTr="00F432B4">
        <w:tc>
          <w:tcPr>
            <w:tcW w:w="1413" w:type="dxa"/>
          </w:tcPr>
          <w:p w14:paraId="465A1296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3969" w:type="dxa"/>
          </w:tcPr>
          <w:p w14:paraId="0887EF58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vrtaná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6m</w:t>
            </w:r>
            <w:proofErr w:type="gramEnd"/>
          </w:p>
        </w:tc>
        <w:tc>
          <w:tcPr>
            <w:tcW w:w="3680" w:type="dxa"/>
          </w:tcPr>
          <w:p w14:paraId="61F5B731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skladby podloží a způsobu založení opěrných zdí, ověření možnosti použití vytěžených materiálů pro sypání ochranných hrází</w:t>
            </w:r>
          </w:p>
        </w:tc>
      </w:tr>
      <w:tr w:rsidR="00833423" w14:paraId="474C319C" w14:textId="77777777" w:rsidTr="00F432B4">
        <w:tc>
          <w:tcPr>
            <w:tcW w:w="1413" w:type="dxa"/>
          </w:tcPr>
          <w:p w14:paraId="4F41194A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3969" w:type="dxa"/>
          </w:tcPr>
          <w:p w14:paraId="0F73FDDC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6FDE8975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opěrných zdí, ověření možnosti použití vytěžených materiálů pro sypání ochranných hrází</w:t>
            </w:r>
          </w:p>
        </w:tc>
      </w:tr>
      <w:tr w:rsidR="00833423" w14:paraId="5C681718" w14:textId="77777777" w:rsidTr="00F432B4">
        <w:tc>
          <w:tcPr>
            <w:tcW w:w="1413" w:type="dxa"/>
          </w:tcPr>
          <w:p w14:paraId="5117FAEC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S3</w:t>
            </w:r>
          </w:p>
        </w:tc>
        <w:tc>
          <w:tcPr>
            <w:tcW w:w="3969" w:type="dxa"/>
          </w:tcPr>
          <w:p w14:paraId="200213FE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0AC5AC1A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ověření způsobu založení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vakového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jezu, ověření možnosti použití vytěžených materiálů pro sypání ochranných hrází</w:t>
            </w:r>
          </w:p>
        </w:tc>
      </w:tr>
      <w:tr w:rsidR="00833423" w14:paraId="6570BD25" w14:textId="77777777" w:rsidTr="00F432B4">
        <w:tc>
          <w:tcPr>
            <w:tcW w:w="1413" w:type="dxa"/>
          </w:tcPr>
          <w:p w14:paraId="204ACFA8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S4</w:t>
            </w:r>
          </w:p>
        </w:tc>
        <w:tc>
          <w:tcPr>
            <w:tcW w:w="3969" w:type="dxa"/>
          </w:tcPr>
          <w:p w14:paraId="710D34FF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22B71A18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opěrných zdí, ověření možnosti použití vytěžených materiálů pro sypání ochranných hrází</w:t>
            </w:r>
          </w:p>
        </w:tc>
      </w:tr>
      <w:tr w:rsidR="00833423" w14:paraId="0059EC5B" w14:textId="77777777" w:rsidTr="00F432B4">
        <w:tc>
          <w:tcPr>
            <w:tcW w:w="1413" w:type="dxa"/>
          </w:tcPr>
          <w:p w14:paraId="311517A6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S4</w:t>
            </w:r>
          </w:p>
        </w:tc>
        <w:tc>
          <w:tcPr>
            <w:tcW w:w="3969" w:type="dxa"/>
          </w:tcPr>
          <w:p w14:paraId="113901AA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53019FBD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opěrných zdí, ověření možnosti použití vytěžených materiálů pro sypání ochranných hrází</w:t>
            </w:r>
          </w:p>
        </w:tc>
      </w:tr>
      <w:tr w:rsidR="00833423" w14:paraId="34E12FEC" w14:textId="77777777" w:rsidTr="00F432B4">
        <w:tc>
          <w:tcPr>
            <w:tcW w:w="1413" w:type="dxa"/>
          </w:tcPr>
          <w:p w14:paraId="14CD189B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S5</w:t>
            </w:r>
          </w:p>
        </w:tc>
        <w:tc>
          <w:tcPr>
            <w:tcW w:w="3969" w:type="dxa"/>
          </w:tcPr>
          <w:p w14:paraId="1B35B8F8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7705CEF3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hráze</w:t>
            </w:r>
          </w:p>
        </w:tc>
      </w:tr>
      <w:tr w:rsidR="00833423" w14:paraId="0FCA240D" w14:textId="77777777" w:rsidTr="00F432B4">
        <w:tc>
          <w:tcPr>
            <w:tcW w:w="1413" w:type="dxa"/>
          </w:tcPr>
          <w:p w14:paraId="3DF83D16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S6</w:t>
            </w:r>
          </w:p>
        </w:tc>
        <w:tc>
          <w:tcPr>
            <w:tcW w:w="3969" w:type="dxa"/>
          </w:tcPr>
          <w:p w14:paraId="774C525A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vrtaná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6m</w:t>
            </w:r>
            <w:proofErr w:type="gramEnd"/>
          </w:p>
        </w:tc>
        <w:tc>
          <w:tcPr>
            <w:tcW w:w="3680" w:type="dxa"/>
          </w:tcPr>
          <w:p w14:paraId="46002CF9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skladby podloží a způsobu založení hráze</w:t>
            </w:r>
          </w:p>
        </w:tc>
      </w:tr>
      <w:tr w:rsidR="00833423" w14:paraId="226CE9AD" w14:textId="77777777" w:rsidTr="00F432B4">
        <w:tc>
          <w:tcPr>
            <w:tcW w:w="1413" w:type="dxa"/>
          </w:tcPr>
          <w:p w14:paraId="58D5C729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3969" w:type="dxa"/>
          </w:tcPr>
          <w:p w14:paraId="1C4651D4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50BDF500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antropogenní navážka, ověření vlastností pro založení hráze</w:t>
            </w:r>
          </w:p>
        </w:tc>
      </w:tr>
      <w:tr w:rsidR="00833423" w14:paraId="16060C70" w14:textId="77777777" w:rsidTr="00F432B4">
        <w:tc>
          <w:tcPr>
            <w:tcW w:w="1413" w:type="dxa"/>
          </w:tcPr>
          <w:p w14:paraId="474D622C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S8</w:t>
            </w:r>
          </w:p>
        </w:tc>
        <w:tc>
          <w:tcPr>
            <w:tcW w:w="3969" w:type="dxa"/>
          </w:tcPr>
          <w:p w14:paraId="7EBC0108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0D8081F3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hrázového propustku a hráze</w:t>
            </w:r>
          </w:p>
        </w:tc>
      </w:tr>
      <w:tr w:rsidR="00833423" w14:paraId="700043D9" w14:textId="77777777" w:rsidTr="00F432B4">
        <w:tc>
          <w:tcPr>
            <w:tcW w:w="1413" w:type="dxa"/>
          </w:tcPr>
          <w:p w14:paraId="0117F145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S9</w:t>
            </w:r>
          </w:p>
        </w:tc>
        <w:tc>
          <w:tcPr>
            <w:tcW w:w="3969" w:type="dxa"/>
          </w:tcPr>
          <w:p w14:paraId="0E8F899C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339ED93A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ochranné zídky, dle možností posunout sondu co nejvíce jižním směrem k silnici v trase ochranné zídky – ideálně na úroveň stávajícího domu, pozor – podél silnice jsou vedeny inženýrské sítě</w:t>
            </w:r>
          </w:p>
        </w:tc>
      </w:tr>
      <w:tr w:rsidR="00833423" w14:paraId="05B1802E" w14:textId="77777777" w:rsidTr="00F432B4">
        <w:tc>
          <w:tcPr>
            <w:tcW w:w="1413" w:type="dxa"/>
          </w:tcPr>
          <w:p w14:paraId="5537BFBF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S10</w:t>
            </w:r>
          </w:p>
        </w:tc>
        <w:tc>
          <w:tcPr>
            <w:tcW w:w="3969" w:type="dxa"/>
          </w:tcPr>
          <w:p w14:paraId="56C3F7CC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vrtaná /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6m</w:t>
            </w:r>
            <w:proofErr w:type="gramEnd"/>
          </w:p>
        </w:tc>
        <w:tc>
          <w:tcPr>
            <w:tcW w:w="3680" w:type="dxa"/>
          </w:tcPr>
          <w:p w14:paraId="37063F27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skladby podloží a způsobu založení hráze a ochranné zídky</w:t>
            </w:r>
          </w:p>
        </w:tc>
      </w:tr>
      <w:tr w:rsidR="00833423" w14:paraId="57D8E2C0" w14:textId="77777777" w:rsidTr="00F432B4">
        <w:tc>
          <w:tcPr>
            <w:tcW w:w="1413" w:type="dxa"/>
          </w:tcPr>
          <w:p w14:paraId="058F235B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S11</w:t>
            </w:r>
          </w:p>
        </w:tc>
        <w:tc>
          <w:tcPr>
            <w:tcW w:w="3969" w:type="dxa"/>
          </w:tcPr>
          <w:p w14:paraId="5F4C07D7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02D59C46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hráze</w:t>
            </w:r>
          </w:p>
        </w:tc>
      </w:tr>
      <w:tr w:rsidR="00833423" w14:paraId="2DB49B52" w14:textId="77777777" w:rsidTr="00F432B4">
        <w:tc>
          <w:tcPr>
            <w:tcW w:w="1413" w:type="dxa"/>
          </w:tcPr>
          <w:p w14:paraId="367FB7DE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S12</w:t>
            </w:r>
          </w:p>
        </w:tc>
        <w:tc>
          <w:tcPr>
            <w:tcW w:w="3969" w:type="dxa"/>
          </w:tcPr>
          <w:p w14:paraId="5CBDA181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71E9B43E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ověření způsobu založení hráze</w:t>
            </w:r>
          </w:p>
        </w:tc>
      </w:tr>
      <w:tr w:rsidR="00833423" w14:paraId="12A9E5FC" w14:textId="77777777" w:rsidTr="00F432B4">
        <w:tc>
          <w:tcPr>
            <w:tcW w:w="1413" w:type="dxa"/>
          </w:tcPr>
          <w:p w14:paraId="04B768BE" w14:textId="77777777" w:rsidR="00833423" w:rsidRPr="008F0F8C" w:rsidRDefault="00833423" w:rsidP="00F432B4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F0F8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S13</w:t>
            </w:r>
          </w:p>
        </w:tc>
        <w:tc>
          <w:tcPr>
            <w:tcW w:w="3969" w:type="dxa"/>
          </w:tcPr>
          <w:p w14:paraId="0B39ED3C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kopaná nebo vrtaná dle místních podmínek / 2 až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3m</w:t>
            </w:r>
            <w:proofErr w:type="gramEnd"/>
          </w:p>
        </w:tc>
        <w:tc>
          <w:tcPr>
            <w:tcW w:w="3680" w:type="dxa"/>
          </w:tcPr>
          <w:p w14:paraId="484ED0B7" w14:textId="77777777" w:rsidR="00833423" w:rsidRDefault="00833423" w:rsidP="00F432B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předpokládané umístění zemníku, ověření vhodnosti použití materiálu pro sypané hráze</w:t>
            </w:r>
          </w:p>
        </w:tc>
      </w:tr>
    </w:tbl>
    <w:p w14:paraId="789BAE46" w14:textId="7DF009E4" w:rsidR="00C60B08" w:rsidRPr="00E93F51" w:rsidRDefault="00C60B08" w:rsidP="00662CAE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5519" w14:textId="77777777" w:rsidR="0066424B" w:rsidRDefault="0066424B">
      <w:r>
        <w:separator/>
      </w:r>
    </w:p>
  </w:endnote>
  <w:endnote w:type="continuationSeparator" w:id="0">
    <w:p w14:paraId="66B97EB7" w14:textId="77777777" w:rsidR="0066424B" w:rsidRDefault="0066424B">
      <w:r>
        <w:continuationSeparator/>
      </w:r>
    </w:p>
  </w:endnote>
  <w:endnote w:type="continuationNotice" w:id="1">
    <w:p w14:paraId="0F3B724B" w14:textId="77777777" w:rsidR="0066424B" w:rsidRDefault="00664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F9BF" w14:textId="77777777" w:rsidR="0066424B" w:rsidRDefault="0066424B">
      <w:r>
        <w:separator/>
      </w:r>
    </w:p>
  </w:footnote>
  <w:footnote w:type="continuationSeparator" w:id="0">
    <w:p w14:paraId="1FCFED92" w14:textId="77777777" w:rsidR="0066424B" w:rsidRDefault="0066424B">
      <w:r>
        <w:continuationSeparator/>
      </w:r>
    </w:p>
  </w:footnote>
  <w:footnote w:type="continuationNotice" w:id="1">
    <w:p w14:paraId="69FBFA70" w14:textId="77777777" w:rsidR="0066424B" w:rsidRDefault="00664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84BA5924"/>
    <w:lvl w:ilvl="0" w:tplc="4008CEC2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2C2D"/>
    <w:multiLevelType w:val="hybridMultilevel"/>
    <w:tmpl w:val="F7D8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33D612BE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6ECA0F8E"/>
    <w:multiLevelType w:val="hybridMultilevel"/>
    <w:tmpl w:val="D3C0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3"/>
  </w:num>
  <w:num w:numId="3" w16cid:durableId="1448810350">
    <w:abstractNumId w:val="8"/>
  </w:num>
  <w:num w:numId="4" w16cid:durableId="1964115742">
    <w:abstractNumId w:val="18"/>
  </w:num>
  <w:num w:numId="5" w16cid:durableId="437525354">
    <w:abstractNumId w:val="47"/>
  </w:num>
  <w:num w:numId="6" w16cid:durableId="1331447640">
    <w:abstractNumId w:val="15"/>
  </w:num>
  <w:num w:numId="7" w16cid:durableId="628248181">
    <w:abstractNumId w:val="4"/>
  </w:num>
  <w:num w:numId="8" w16cid:durableId="1649167302">
    <w:abstractNumId w:val="25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9"/>
  </w:num>
  <w:num w:numId="12" w16cid:durableId="1386876493">
    <w:abstractNumId w:val="11"/>
  </w:num>
  <w:num w:numId="13" w16cid:durableId="610746491">
    <w:abstractNumId w:val="10"/>
  </w:num>
  <w:num w:numId="14" w16cid:durableId="557132841">
    <w:abstractNumId w:val="48"/>
  </w:num>
  <w:num w:numId="15" w16cid:durableId="794637397">
    <w:abstractNumId w:val="17"/>
  </w:num>
  <w:num w:numId="16" w16cid:durableId="53939021">
    <w:abstractNumId w:val="31"/>
  </w:num>
  <w:num w:numId="17" w16cid:durableId="140774044">
    <w:abstractNumId w:val="26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2"/>
  </w:num>
  <w:num w:numId="21" w16cid:durableId="420838213">
    <w:abstractNumId w:val="29"/>
  </w:num>
  <w:num w:numId="22" w16cid:durableId="2083477505">
    <w:abstractNumId w:val="32"/>
  </w:num>
  <w:num w:numId="23" w16cid:durableId="1805925533">
    <w:abstractNumId w:val="30"/>
  </w:num>
  <w:num w:numId="24" w16cid:durableId="241456451">
    <w:abstractNumId w:val="27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50"/>
  </w:num>
  <w:num w:numId="29" w16cid:durableId="1650206810">
    <w:abstractNumId w:val="14"/>
  </w:num>
  <w:num w:numId="30" w16cid:durableId="1872915385">
    <w:abstractNumId w:val="35"/>
  </w:num>
  <w:num w:numId="31" w16cid:durableId="302076742">
    <w:abstractNumId w:val="19"/>
  </w:num>
  <w:num w:numId="32" w16cid:durableId="1888175164">
    <w:abstractNumId w:val="33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4"/>
  </w:num>
  <w:num w:numId="36" w16cid:durableId="552154878">
    <w:abstractNumId w:val="21"/>
  </w:num>
  <w:num w:numId="37" w16cid:durableId="294261274">
    <w:abstractNumId w:val="7"/>
  </w:num>
  <w:num w:numId="38" w16cid:durableId="1057826739">
    <w:abstractNumId w:val="51"/>
  </w:num>
  <w:num w:numId="39" w16cid:durableId="354775180">
    <w:abstractNumId w:val="1"/>
  </w:num>
  <w:num w:numId="40" w16cid:durableId="1486510068">
    <w:abstractNumId w:val="45"/>
  </w:num>
  <w:num w:numId="41" w16cid:durableId="923336899">
    <w:abstractNumId w:val="28"/>
  </w:num>
  <w:num w:numId="42" w16cid:durableId="359400723">
    <w:abstractNumId w:val="43"/>
  </w:num>
  <w:num w:numId="43" w16cid:durableId="710225652">
    <w:abstractNumId w:val="44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6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6"/>
  </w:num>
  <w:num w:numId="51" w16cid:durableId="1127628981">
    <w:abstractNumId w:val="24"/>
  </w:num>
  <w:num w:numId="52" w16cid:durableId="2140103715">
    <w:abstractNumId w:val="9"/>
  </w:num>
  <w:num w:numId="53" w16cid:durableId="1675187767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5F31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019B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22B5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6EA"/>
    <w:rsid w:val="00110B11"/>
    <w:rsid w:val="001115F0"/>
    <w:rsid w:val="00112524"/>
    <w:rsid w:val="00117312"/>
    <w:rsid w:val="00117CEA"/>
    <w:rsid w:val="00120B1C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41F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0BE4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461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43B3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36227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2AC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3B6E"/>
    <w:rsid w:val="00644AB0"/>
    <w:rsid w:val="006452B7"/>
    <w:rsid w:val="0064551B"/>
    <w:rsid w:val="0064593F"/>
    <w:rsid w:val="00647D29"/>
    <w:rsid w:val="00653C80"/>
    <w:rsid w:val="006551D9"/>
    <w:rsid w:val="006570AE"/>
    <w:rsid w:val="0066061C"/>
    <w:rsid w:val="00662CAE"/>
    <w:rsid w:val="0066424B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178C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4B88"/>
    <w:rsid w:val="0071607D"/>
    <w:rsid w:val="0072186D"/>
    <w:rsid w:val="00721BDC"/>
    <w:rsid w:val="007234D3"/>
    <w:rsid w:val="00724387"/>
    <w:rsid w:val="00724BEA"/>
    <w:rsid w:val="00725FD7"/>
    <w:rsid w:val="00731D9F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423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93D55"/>
    <w:rsid w:val="008A10CC"/>
    <w:rsid w:val="008A1FCA"/>
    <w:rsid w:val="008A6351"/>
    <w:rsid w:val="008A7B9F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1BBD"/>
    <w:rsid w:val="0091225B"/>
    <w:rsid w:val="00912812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453A7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3BE5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2E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A61AF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D4E2E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76"/>
    <w:rsid w:val="00B4728A"/>
    <w:rsid w:val="00B47A31"/>
    <w:rsid w:val="00B5325A"/>
    <w:rsid w:val="00B61C3F"/>
    <w:rsid w:val="00B62930"/>
    <w:rsid w:val="00B62D72"/>
    <w:rsid w:val="00B630CB"/>
    <w:rsid w:val="00B63DB0"/>
    <w:rsid w:val="00B63ECD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0E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2E1B"/>
    <w:rsid w:val="00DD3AAF"/>
    <w:rsid w:val="00DE0F09"/>
    <w:rsid w:val="00DE2E36"/>
    <w:rsid w:val="00DE38BA"/>
    <w:rsid w:val="00DE4482"/>
    <w:rsid w:val="00DE53A0"/>
    <w:rsid w:val="00DF07BB"/>
    <w:rsid w:val="00DF53A1"/>
    <w:rsid w:val="00E13E2C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4872"/>
    <w:rsid w:val="00E605DF"/>
    <w:rsid w:val="00E6262C"/>
    <w:rsid w:val="00E700A6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69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30B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2C9E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316"/>
    <w:rsid w:val="00F81A04"/>
    <w:rsid w:val="00F8750E"/>
    <w:rsid w:val="00F87A5F"/>
    <w:rsid w:val="00F91758"/>
    <w:rsid w:val="00F92C80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3BA5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D3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4878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2025-06-18T11:09:00Z</dcterms:created>
  <dcterms:modified xsi:type="dcterms:W3CDTF">2025-06-18T11:14:00Z</dcterms:modified>
</cp:coreProperties>
</file>