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7775C28" w14:textId="77777777" w:rsidR="004C1664" w:rsidRDefault="004C1664" w:rsidP="00797092">
      <w:pPr>
        <w:ind w:left="567"/>
        <w:rPr>
          <w:rFonts w:ascii="Arial" w:hAnsi="Arial" w:cs="Arial"/>
          <w:sz w:val="22"/>
          <w:szCs w:val="22"/>
        </w:rPr>
      </w:pPr>
      <w:r w:rsidRPr="004C1664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4C1664">
        <w:rPr>
          <w:rFonts w:ascii="Arial" w:hAnsi="Arial" w:cs="Arial"/>
          <w:sz w:val="22"/>
          <w:szCs w:val="22"/>
        </w:rPr>
        <w:t>11a</w:t>
      </w:r>
      <w:proofErr w:type="gramEnd"/>
      <w:r w:rsidRPr="004C1664">
        <w:rPr>
          <w:rFonts w:ascii="Arial" w:hAnsi="Arial" w:cs="Arial"/>
          <w:sz w:val="22"/>
          <w:szCs w:val="22"/>
        </w:rPr>
        <w:t xml:space="preserve">, 130 00 Praha 3 – Žižkov, IČO: 013 12 774, Krajský pozemkový úřad pro Jihomoravský kraj, Pobočka Vyškov, na adrese </w:t>
      </w:r>
      <w:proofErr w:type="spellStart"/>
      <w:r w:rsidRPr="004C1664">
        <w:rPr>
          <w:rFonts w:ascii="Arial" w:hAnsi="Arial" w:cs="Arial"/>
          <w:sz w:val="22"/>
          <w:szCs w:val="22"/>
        </w:rPr>
        <w:t>Palánek</w:t>
      </w:r>
      <w:proofErr w:type="spellEnd"/>
      <w:r w:rsidRPr="004C1664">
        <w:rPr>
          <w:rFonts w:ascii="Arial" w:hAnsi="Arial" w:cs="Arial"/>
          <w:sz w:val="22"/>
          <w:szCs w:val="22"/>
        </w:rPr>
        <w:t xml:space="preserve"> 250/1, 68201 Vyškov</w:t>
      </w:r>
    </w:p>
    <w:p w14:paraId="7BC21250" w14:textId="77777777" w:rsidR="004C1664" w:rsidRPr="006B4A90" w:rsidRDefault="004C1664" w:rsidP="004C1664">
      <w:pPr>
        <w:tabs>
          <w:tab w:val="left" w:pos="453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6B4A90">
        <w:rPr>
          <w:rFonts w:ascii="Arial" w:hAnsi="Arial" w:cs="Arial"/>
          <w:sz w:val="22"/>
          <w:szCs w:val="22"/>
        </w:rPr>
        <w:t xml:space="preserve">Zastoupená: Ing. Jiřím </w:t>
      </w:r>
      <w:proofErr w:type="spellStart"/>
      <w:r w:rsidRPr="006B4A90">
        <w:rPr>
          <w:rFonts w:ascii="Arial" w:hAnsi="Arial" w:cs="Arial"/>
          <w:sz w:val="22"/>
          <w:szCs w:val="22"/>
        </w:rPr>
        <w:t>Kramplem</w:t>
      </w:r>
      <w:proofErr w:type="spellEnd"/>
      <w:r w:rsidRPr="006B4A90">
        <w:rPr>
          <w:rFonts w:ascii="Arial" w:hAnsi="Arial" w:cs="Arial"/>
          <w:sz w:val="22"/>
          <w:szCs w:val="22"/>
        </w:rPr>
        <w:t xml:space="preserve"> </w:t>
      </w:r>
    </w:p>
    <w:p w14:paraId="5F457402" w14:textId="77777777" w:rsidR="004C1664" w:rsidRPr="006B4A90" w:rsidRDefault="004C1664" w:rsidP="004C1664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B4A90">
        <w:rPr>
          <w:rFonts w:ascii="Arial" w:hAnsi="Arial" w:cs="Arial"/>
          <w:sz w:val="22"/>
          <w:szCs w:val="22"/>
        </w:rPr>
        <w:t xml:space="preserve">Ve smluvních záležitostech zastoupená: Ing. Jiřím </w:t>
      </w:r>
      <w:proofErr w:type="spellStart"/>
      <w:r w:rsidRPr="006B4A90">
        <w:rPr>
          <w:rFonts w:ascii="Arial" w:hAnsi="Arial" w:cs="Arial"/>
          <w:sz w:val="22"/>
          <w:szCs w:val="22"/>
        </w:rPr>
        <w:t>Kramplem</w:t>
      </w:r>
      <w:proofErr w:type="spellEnd"/>
      <w:r w:rsidRPr="006B4A90">
        <w:rPr>
          <w:rFonts w:ascii="Arial" w:hAnsi="Arial" w:cs="Arial"/>
          <w:sz w:val="22"/>
          <w:szCs w:val="22"/>
        </w:rPr>
        <w:t xml:space="preserve">, KPÚ pro Jihomoravský kraj, Pobočka Vyškov </w:t>
      </w:r>
    </w:p>
    <w:p w14:paraId="06804EC4" w14:textId="77777777" w:rsidR="004C1664" w:rsidRDefault="004C1664" w:rsidP="004C1664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6B4A90">
        <w:rPr>
          <w:rFonts w:ascii="Arial" w:hAnsi="Arial" w:cs="Arial"/>
          <w:sz w:val="22"/>
          <w:szCs w:val="22"/>
        </w:rPr>
        <w:t xml:space="preserve">V technických záležitostech zastoupená: Ing. Anitou </w:t>
      </w:r>
      <w:proofErr w:type="spellStart"/>
      <w:r w:rsidRPr="006B4A90">
        <w:rPr>
          <w:rFonts w:ascii="Arial" w:hAnsi="Arial" w:cs="Arial"/>
          <w:sz w:val="22"/>
          <w:szCs w:val="22"/>
        </w:rPr>
        <w:t>Urbankovou</w:t>
      </w:r>
      <w:proofErr w:type="spellEnd"/>
      <w:r w:rsidRPr="006B4A90">
        <w:rPr>
          <w:rFonts w:ascii="Arial" w:hAnsi="Arial" w:cs="Arial"/>
          <w:sz w:val="22"/>
          <w:szCs w:val="22"/>
        </w:rPr>
        <w:t xml:space="preserve">, KPÚ pro Jihomoravský kraj, Pobočka Vyškov </w:t>
      </w:r>
    </w:p>
    <w:p w14:paraId="035A671C" w14:textId="77777777" w:rsidR="004C1664" w:rsidRDefault="004C1664" w:rsidP="004C1664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</w:p>
    <w:p w14:paraId="3E324F99" w14:textId="77777777" w:rsidR="004C1664" w:rsidRPr="00014665" w:rsidRDefault="004C1664" w:rsidP="004C1664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B2483CA" w14:textId="77777777" w:rsidR="004C1664" w:rsidRPr="00014665" w:rsidRDefault="004C1664" w:rsidP="004C1664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>724 155 478</w:t>
      </w:r>
    </w:p>
    <w:p w14:paraId="32E0A2BE" w14:textId="77777777" w:rsidR="004C1664" w:rsidRPr="00014665" w:rsidRDefault="004C1664" w:rsidP="004C1664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Pr="001E4F49">
          <w:rPr>
            <w:rStyle w:val="Hypertextovodkaz"/>
            <w:rFonts w:ascii="Arial" w:hAnsi="Arial" w:cs="Arial"/>
            <w:sz w:val="22"/>
            <w:szCs w:val="22"/>
          </w:rPr>
          <w:t>a.urbankova@spucr.cz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ED01C00" w14:textId="77777777" w:rsidR="004C1664" w:rsidRPr="00014665" w:rsidRDefault="004C1664" w:rsidP="004C1664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40CF290E" w14:textId="77777777" w:rsidR="004C1664" w:rsidRPr="00014665" w:rsidRDefault="004C1664" w:rsidP="004C1664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6666DE11" w14:textId="77777777" w:rsidR="004C1664" w:rsidRPr="00014665" w:rsidRDefault="004C1664" w:rsidP="004C1664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1362262B" w14:textId="77777777" w:rsidR="004C1664" w:rsidRPr="00014665" w:rsidRDefault="004C1664" w:rsidP="004C1664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375EF9FE" w14:textId="77777777" w:rsidR="004C1664" w:rsidRPr="00014665" w:rsidRDefault="004C1664" w:rsidP="004C1664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370CB12D" w14:textId="77777777" w:rsidR="006F1355" w:rsidRPr="00014665" w:rsidRDefault="006F1355" w:rsidP="006F1355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Geocentrum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spol. s r.o.</w:t>
      </w:r>
    </w:p>
    <w:p w14:paraId="7CF5C989" w14:textId="77777777" w:rsidR="006F1355" w:rsidRPr="00014665" w:rsidRDefault="006F1355" w:rsidP="006F1355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014665">
        <w:rPr>
          <w:rFonts w:ascii="Arial" w:hAnsi="Arial" w:cs="Arial"/>
          <w:bCs/>
          <w:sz w:val="22"/>
          <w:szCs w:val="22"/>
        </w:rPr>
        <w:t>se sídlem</w:t>
      </w:r>
      <w:r>
        <w:rPr>
          <w:rFonts w:ascii="Arial" w:hAnsi="Arial" w:cs="Arial"/>
          <w:bCs/>
          <w:sz w:val="22"/>
          <w:szCs w:val="22"/>
        </w:rPr>
        <w:t xml:space="preserve"> tř. Kosmonautů 1143/</w:t>
      </w:r>
      <w:proofErr w:type="gramStart"/>
      <w:r>
        <w:rPr>
          <w:rFonts w:ascii="Arial" w:hAnsi="Arial" w:cs="Arial"/>
          <w:bCs/>
          <w:sz w:val="22"/>
          <w:szCs w:val="22"/>
        </w:rPr>
        <w:t>8b</w:t>
      </w:r>
      <w:proofErr w:type="gramEnd"/>
      <w:r>
        <w:rPr>
          <w:rFonts w:ascii="Arial" w:hAnsi="Arial" w:cs="Arial"/>
          <w:bCs/>
          <w:sz w:val="22"/>
          <w:szCs w:val="22"/>
        </w:rPr>
        <w:t>, 779 00 Olomouc</w:t>
      </w:r>
      <w:r w:rsidRPr="00014665">
        <w:rPr>
          <w:rFonts w:ascii="Arial" w:hAnsi="Arial" w:cs="Arial"/>
          <w:snapToGrid w:val="0"/>
          <w:sz w:val="22"/>
          <w:szCs w:val="22"/>
        </w:rPr>
        <w:t>, IČO:</w:t>
      </w:r>
      <w:r>
        <w:rPr>
          <w:rFonts w:ascii="Arial" w:hAnsi="Arial" w:cs="Arial"/>
          <w:snapToGrid w:val="0"/>
          <w:sz w:val="22"/>
          <w:szCs w:val="22"/>
        </w:rPr>
        <w:t xml:space="preserve"> 47974460</w:t>
      </w:r>
      <w:r w:rsidRPr="00014665">
        <w:rPr>
          <w:rFonts w:ascii="Arial" w:hAnsi="Arial" w:cs="Arial"/>
          <w:snapToGrid w:val="0"/>
          <w:sz w:val="22"/>
          <w:szCs w:val="22"/>
        </w:rPr>
        <w:t>, zapsaná v obchodním rejstříku vedeném u</w:t>
      </w:r>
      <w:r>
        <w:rPr>
          <w:rFonts w:ascii="Arial" w:hAnsi="Arial" w:cs="Arial"/>
          <w:snapToGrid w:val="0"/>
          <w:sz w:val="22"/>
          <w:szCs w:val="22"/>
        </w:rPr>
        <w:t xml:space="preserve"> Krajského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 </w:t>
      </w:r>
      <w:r>
        <w:rPr>
          <w:rFonts w:ascii="Arial" w:hAnsi="Arial" w:cs="Arial"/>
          <w:snapToGrid w:val="0"/>
          <w:sz w:val="22"/>
          <w:szCs w:val="22"/>
        </w:rPr>
        <w:t>Ostravě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>
        <w:rPr>
          <w:rFonts w:ascii="Arial" w:hAnsi="Arial" w:cs="Arial"/>
          <w:snapToGrid w:val="0"/>
          <w:sz w:val="22"/>
          <w:szCs w:val="22"/>
        </w:rPr>
        <w:t>C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spis.zn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 5555</w:t>
      </w:r>
    </w:p>
    <w:p w14:paraId="7C4183D4" w14:textId="77777777" w:rsidR="006F1355" w:rsidRPr="00014665" w:rsidRDefault="006F1355" w:rsidP="006F1355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>
        <w:rPr>
          <w:rFonts w:ascii="Arial" w:hAnsi="Arial" w:cs="Arial"/>
          <w:snapToGrid w:val="0"/>
          <w:sz w:val="22"/>
          <w:szCs w:val="22"/>
        </w:rPr>
        <w:t>Petrem Liškou</w:t>
      </w:r>
    </w:p>
    <w:p w14:paraId="786B4DFA" w14:textId="77777777" w:rsidR="006F1355" w:rsidRPr="00014665" w:rsidRDefault="006F1355" w:rsidP="006F1355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Ve smluvních záležitostech 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Petrem Liškou</w:t>
      </w:r>
    </w:p>
    <w:p w14:paraId="479B7AAA" w14:textId="68CF155C" w:rsidR="006F1355" w:rsidRPr="00014665" w:rsidRDefault="006F1355" w:rsidP="006F1355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3B2554">
        <w:rPr>
          <w:rFonts w:ascii="Arial" w:hAnsi="Arial" w:cs="Arial"/>
          <w:sz w:val="22"/>
          <w:szCs w:val="22"/>
        </w:rPr>
        <w:t>XXXXXXXX</w:t>
      </w:r>
    </w:p>
    <w:p w14:paraId="32BD9590" w14:textId="77777777" w:rsidR="006F1355" w:rsidRPr="00014665" w:rsidRDefault="006F1355" w:rsidP="006F1355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E1F8BEE" w14:textId="7E98795C" w:rsidR="006F1355" w:rsidRPr="00014665" w:rsidRDefault="006F1355" w:rsidP="006F1355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3B2554">
        <w:rPr>
          <w:rFonts w:ascii="Arial" w:hAnsi="Arial" w:cs="Arial"/>
          <w:sz w:val="22"/>
          <w:szCs w:val="22"/>
        </w:rPr>
        <w:t>XXXXXXXXX</w:t>
      </w:r>
    </w:p>
    <w:p w14:paraId="0B480268" w14:textId="28E680D8" w:rsidR="006F1355" w:rsidRPr="00014665" w:rsidRDefault="006F1355" w:rsidP="006F1355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3B2554">
        <w:rPr>
          <w:rFonts w:ascii="Arial" w:hAnsi="Arial" w:cs="Arial"/>
          <w:snapToGrid w:val="0"/>
          <w:sz w:val="22"/>
          <w:szCs w:val="22"/>
        </w:rPr>
        <w:t>XXXXXXXXXXX</w:t>
      </w:r>
    </w:p>
    <w:p w14:paraId="6490F432" w14:textId="77777777" w:rsidR="006F1355" w:rsidRPr="00014665" w:rsidRDefault="006F1355" w:rsidP="006F1355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6ejp63k</w:t>
      </w:r>
    </w:p>
    <w:p w14:paraId="27F506A5" w14:textId="77777777" w:rsidR="006F1355" w:rsidRPr="009348D8" w:rsidRDefault="006F1355" w:rsidP="006F1355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9348D8">
        <w:rPr>
          <w:rFonts w:ascii="Arial" w:hAnsi="Arial" w:cs="Arial"/>
          <w:b/>
          <w:sz w:val="22"/>
          <w:szCs w:val="22"/>
        </w:rPr>
        <w:t xml:space="preserve">Bankovní spojení: </w:t>
      </w:r>
      <w:r w:rsidRPr="009348D8">
        <w:rPr>
          <w:rFonts w:ascii="Arial" w:hAnsi="Arial" w:cs="Arial"/>
          <w:bCs/>
          <w:sz w:val="22"/>
          <w:szCs w:val="22"/>
        </w:rPr>
        <w:t>Komerční banka</w:t>
      </w:r>
      <w:r>
        <w:rPr>
          <w:rFonts w:ascii="Arial" w:hAnsi="Arial" w:cs="Arial"/>
          <w:bCs/>
          <w:sz w:val="22"/>
          <w:szCs w:val="22"/>
        </w:rPr>
        <w:t>, a.s.</w:t>
      </w:r>
    </w:p>
    <w:p w14:paraId="7E0CB1AB" w14:textId="77777777" w:rsidR="006F1355" w:rsidRPr="00014665" w:rsidRDefault="006F1355" w:rsidP="006F1355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9348D8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 xml:space="preserve">59309811 </w:t>
      </w:r>
      <w:r>
        <w:rPr>
          <w:rFonts w:ascii="Arial" w:hAnsi="Arial" w:cs="Arial"/>
          <w:snapToGrid w:val="0"/>
          <w:sz w:val="22"/>
          <w:szCs w:val="22"/>
        </w:rPr>
        <w:t>/ 0100</w:t>
      </w:r>
    </w:p>
    <w:p w14:paraId="4808E322" w14:textId="77777777" w:rsidR="006F1355" w:rsidRPr="00014665" w:rsidRDefault="006F1355" w:rsidP="006F1355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9348D8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47974460</w:t>
      </w:r>
    </w:p>
    <w:p w14:paraId="17FE6C7D" w14:textId="77777777" w:rsidR="006F1355" w:rsidRPr="00014665" w:rsidRDefault="006F1355" w:rsidP="006F1355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16D8E5B1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473A17FA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7F7DCD" w:rsidRPr="007F7DCD">
        <w:rPr>
          <w:rFonts w:ascii="Arial" w:hAnsi="Arial" w:cs="Arial"/>
          <w:b/>
          <w:bCs/>
          <w:snapToGrid w:val="0"/>
          <w:sz w:val="22"/>
          <w:szCs w:val="22"/>
        </w:rPr>
        <w:t>„</w:t>
      </w:r>
      <w:r w:rsidR="112DAFB0" w:rsidRPr="007F7DCD">
        <w:rPr>
          <w:rFonts w:ascii="Arial" w:hAnsi="Arial" w:cs="Arial"/>
          <w:b/>
          <w:bCs/>
          <w:snapToGrid w:val="0"/>
          <w:sz w:val="22"/>
          <w:szCs w:val="22"/>
        </w:rPr>
        <w:t>Vyt</w:t>
      </w:r>
      <w:r w:rsidR="007F7DCD" w:rsidRPr="007F7DCD">
        <w:rPr>
          <w:rFonts w:ascii="Arial" w:hAnsi="Arial" w:cs="Arial"/>
          <w:b/>
          <w:bCs/>
          <w:snapToGrid w:val="0"/>
          <w:sz w:val="22"/>
          <w:szCs w:val="22"/>
        </w:rPr>
        <w:t>ý</w:t>
      </w:r>
      <w:r w:rsidR="112DAFB0" w:rsidRPr="007F7DCD">
        <w:rPr>
          <w:rFonts w:ascii="Arial" w:hAnsi="Arial" w:cs="Arial"/>
          <w:b/>
          <w:bCs/>
          <w:snapToGrid w:val="0"/>
          <w:sz w:val="22"/>
          <w:szCs w:val="22"/>
        </w:rPr>
        <w:t xml:space="preserve">čení pozemků </w:t>
      </w:r>
      <w:r w:rsidR="007F7DCD" w:rsidRPr="007F7DCD">
        <w:rPr>
          <w:rFonts w:ascii="Arial" w:hAnsi="Arial" w:cs="Arial"/>
          <w:b/>
          <w:bCs/>
          <w:snapToGrid w:val="0"/>
          <w:sz w:val="22"/>
          <w:szCs w:val="22"/>
        </w:rPr>
        <w:t xml:space="preserve">po </w:t>
      </w:r>
      <w:proofErr w:type="spellStart"/>
      <w:r w:rsidR="007F7DCD" w:rsidRPr="007F7DCD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7F7DCD" w:rsidRPr="007F7DCD">
        <w:rPr>
          <w:rFonts w:ascii="Arial" w:hAnsi="Arial" w:cs="Arial"/>
          <w:b/>
          <w:bCs/>
          <w:snapToGrid w:val="0"/>
          <w:sz w:val="22"/>
          <w:szCs w:val="22"/>
        </w:rPr>
        <w:t xml:space="preserve"> – Vyškov 202</w:t>
      </w:r>
      <w:r w:rsidR="00762D40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7F7DCD" w:rsidRPr="007F7DCD">
        <w:rPr>
          <w:rFonts w:ascii="Arial" w:hAnsi="Arial" w:cs="Arial"/>
          <w:b/>
          <w:bCs/>
          <w:snapToGrid w:val="0"/>
          <w:sz w:val="22"/>
          <w:szCs w:val="22"/>
        </w:rPr>
        <w:t>“</w:t>
      </w:r>
      <w:r w:rsidR="007F7DCD">
        <w:rPr>
          <w:rFonts w:ascii="Arial" w:hAnsi="Arial" w:cs="Arial"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06449300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7441AD0A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163EB989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dne</w:t>
      </w:r>
      <w:r w:rsidR="007F7DCD">
        <w:rPr>
          <w:rFonts w:ascii="Arial" w:hAnsi="Arial" w:cs="Arial"/>
          <w:snapToGrid w:val="0"/>
          <w:sz w:val="22"/>
          <w:szCs w:val="22"/>
        </w:rPr>
        <w:t xml:space="preserve"> </w:t>
      </w:r>
      <w:r w:rsidR="006F1355">
        <w:rPr>
          <w:rFonts w:ascii="Arial" w:hAnsi="Arial" w:cs="Arial"/>
          <w:snapToGrid w:val="0"/>
          <w:sz w:val="22"/>
          <w:szCs w:val="22"/>
        </w:rPr>
        <w:t>1</w:t>
      </w:r>
      <w:r w:rsidR="00762D40">
        <w:rPr>
          <w:rFonts w:ascii="Arial" w:hAnsi="Arial" w:cs="Arial"/>
          <w:snapToGrid w:val="0"/>
          <w:sz w:val="22"/>
          <w:szCs w:val="22"/>
        </w:rPr>
        <w:t>1</w:t>
      </w:r>
      <w:r w:rsidR="007F7DCD">
        <w:rPr>
          <w:rFonts w:ascii="Arial" w:hAnsi="Arial" w:cs="Arial"/>
          <w:snapToGrid w:val="0"/>
          <w:sz w:val="22"/>
          <w:szCs w:val="22"/>
        </w:rPr>
        <w:t xml:space="preserve">. </w:t>
      </w:r>
      <w:r w:rsidR="00762D40">
        <w:rPr>
          <w:rFonts w:ascii="Arial" w:hAnsi="Arial" w:cs="Arial"/>
          <w:snapToGrid w:val="0"/>
          <w:sz w:val="22"/>
          <w:szCs w:val="22"/>
        </w:rPr>
        <w:t>4</w:t>
      </w:r>
      <w:r w:rsidR="007F7DCD">
        <w:rPr>
          <w:rFonts w:ascii="Arial" w:hAnsi="Arial" w:cs="Arial"/>
          <w:snapToGrid w:val="0"/>
          <w:sz w:val="22"/>
          <w:szCs w:val="22"/>
        </w:rPr>
        <w:t>. 202</w:t>
      </w:r>
      <w:r w:rsidR="00762D40">
        <w:rPr>
          <w:rFonts w:ascii="Arial" w:hAnsi="Arial" w:cs="Arial"/>
          <w:snapToGrid w:val="0"/>
          <w:sz w:val="22"/>
          <w:szCs w:val="22"/>
        </w:rPr>
        <w:t>5</w:t>
      </w:r>
      <w:r w:rsidR="007F7DCD">
        <w:rPr>
          <w:rFonts w:ascii="Arial" w:hAnsi="Arial" w:cs="Arial"/>
          <w:snapToGrid w:val="0"/>
          <w:sz w:val="22"/>
          <w:szCs w:val="22"/>
        </w:rPr>
        <w:t>.</w:t>
      </w:r>
    </w:p>
    <w:p w14:paraId="085E7CB4" w14:textId="5C1B8424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7F7DCD">
        <w:rPr>
          <w:rFonts w:ascii="Arial" w:hAnsi="Arial" w:cs="Arial"/>
          <w:sz w:val="22"/>
          <w:szCs w:val="22"/>
        </w:rPr>
        <w:t>Jihomoravský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7F7DCD">
        <w:rPr>
          <w:rFonts w:ascii="Arial" w:hAnsi="Arial" w:cs="Arial"/>
          <w:sz w:val="22"/>
          <w:szCs w:val="22"/>
        </w:rPr>
        <w:t>Vyškov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4F685F11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72617BD2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503C0E">
        <w:rPr>
          <w:rFonts w:ascii="Arial" w:hAnsi="Arial" w:cs="Arial"/>
          <w:sz w:val="22"/>
          <w:szCs w:val="22"/>
        </w:rPr>
        <w:t>Nové Hvězdlice</w:t>
      </w:r>
      <w:r w:rsidR="007E1905">
        <w:rPr>
          <w:rFonts w:ascii="Arial" w:hAnsi="Arial" w:cs="Arial"/>
          <w:sz w:val="22"/>
          <w:szCs w:val="22"/>
        </w:rPr>
        <w:t xml:space="preserve">, </w:t>
      </w:r>
      <w:r w:rsidR="00503C0E">
        <w:rPr>
          <w:rFonts w:ascii="Arial" w:hAnsi="Arial" w:cs="Arial"/>
          <w:sz w:val="22"/>
          <w:szCs w:val="22"/>
        </w:rPr>
        <w:t>Bošovice</w:t>
      </w:r>
      <w:r w:rsidR="007E1905">
        <w:rPr>
          <w:rFonts w:ascii="Arial" w:hAnsi="Arial" w:cs="Arial"/>
          <w:sz w:val="22"/>
          <w:szCs w:val="22"/>
        </w:rPr>
        <w:t xml:space="preserve">, </w:t>
      </w:r>
      <w:r w:rsidR="00503C0E">
        <w:rPr>
          <w:rFonts w:ascii="Arial" w:hAnsi="Arial" w:cs="Arial"/>
          <w:sz w:val="22"/>
          <w:szCs w:val="22"/>
        </w:rPr>
        <w:t>Opatovice u Vyškova</w:t>
      </w:r>
      <w:r w:rsidR="007E1905">
        <w:rPr>
          <w:rFonts w:ascii="Arial" w:hAnsi="Arial" w:cs="Arial"/>
          <w:sz w:val="22"/>
          <w:szCs w:val="22"/>
        </w:rPr>
        <w:t>,</w:t>
      </w:r>
      <w:r w:rsidR="007F7DCD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EA4EF5B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7F7DCD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3CB69B07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7F7DCD">
        <w:rPr>
          <w:rFonts w:ascii="Arial" w:hAnsi="Arial" w:cs="Arial"/>
          <w:sz w:val="22"/>
          <w:szCs w:val="22"/>
        </w:rPr>
        <w:t>Jihomoravský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F7DCD">
        <w:rPr>
          <w:rFonts w:ascii="Arial" w:hAnsi="Arial" w:cs="Arial"/>
          <w:sz w:val="22"/>
          <w:szCs w:val="22"/>
        </w:rPr>
        <w:t xml:space="preserve"> Vyškov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7DCD">
        <w:rPr>
          <w:rFonts w:ascii="Arial" w:hAnsi="Arial" w:cs="Arial"/>
          <w:sz w:val="22"/>
          <w:szCs w:val="22"/>
        </w:rPr>
        <w:t> </w:t>
      </w:r>
      <w:r w:rsidR="007F6D2D" w:rsidRPr="00014665">
        <w:rPr>
          <w:rFonts w:ascii="Arial" w:hAnsi="Arial" w:cs="Arial"/>
          <w:sz w:val="22"/>
          <w:szCs w:val="22"/>
        </w:rPr>
        <w:t>počtu</w:t>
      </w:r>
      <w:r w:rsidR="007F7DCD">
        <w:rPr>
          <w:rFonts w:ascii="Arial" w:hAnsi="Arial" w:cs="Arial"/>
          <w:sz w:val="22"/>
          <w:szCs w:val="22"/>
        </w:rPr>
        <w:t xml:space="preserve"> 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7989212F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6E0E92">
        <w:rPr>
          <w:rFonts w:ascii="Arial" w:hAnsi="Arial" w:cs="Arial"/>
          <w:sz w:val="22"/>
          <w:szCs w:val="22"/>
        </w:rPr>
        <w:br/>
      </w:r>
      <w:r w:rsidR="00503C0E">
        <w:rPr>
          <w:rFonts w:ascii="Arial" w:hAnsi="Arial" w:cs="Arial"/>
          <w:sz w:val="22"/>
          <w:szCs w:val="22"/>
        </w:rPr>
        <w:t>10</w:t>
      </w:r>
      <w:r w:rsidR="006E0E92">
        <w:rPr>
          <w:rFonts w:ascii="Arial" w:hAnsi="Arial" w:cs="Arial"/>
          <w:sz w:val="22"/>
          <w:szCs w:val="22"/>
        </w:rPr>
        <w:t xml:space="preserve">. </w:t>
      </w:r>
      <w:r w:rsidR="00503C0E">
        <w:rPr>
          <w:rFonts w:ascii="Arial" w:hAnsi="Arial" w:cs="Arial"/>
          <w:sz w:val="22"/>
          <w:szCs w:val="22"/>
        </w:rPr>
        <w:t>7</w:t>
      </w:r>
      <w:r w:rsidR="006E0E92">
        <w:rPr>
          <w:rFonts w:ascii="Arial" w:hAnsi="Arial" w:cs="Arial"/>
          <w:sz w:val="22"/>
          <w:szCs w:val="22"/>
        </w:rPr>
        <w:t>. 202</w:t>
      </w:r>
      <w:r w:rsidR="00503C0E">
        <w:rPr>
          <w:rFonts w:ascii="Arial" w:hAnsi="Arial" w:cs="Arial"/>
          <w:sz w:val="22"/>
          <w:szCs w:val="22"/>
        </w:rPr>
        <w:t>5</w:t>
      </w:r>
      <w:r w:rsidR="006E0E92">
        <w:rPr>
          <w:rFonts w:ascii="Arial" w:hAnsi="Arial" w:cs="Arial"/>
          <w:sz w:val="22"/>
          <w:szCs w:val="22"/>
        </w:rPr>
        <w:t>.</w:t>
      </w:r>
    </w:p>
    <w:p w14:paraId="07965649" w14:textId="49BE89E1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území:</w:t>
      </w:r>
      <w:r w:rsidR="006E0E92">
        <w:rPr>
          <w:rFonts w:ascii="Arial" w:hAnsi="Arial" w:cs="Arial"/>
          <w:sz w:val="22"/>
          <w:szCs w:val="22"/>
        </w:rPr>
        <w:t xml:space="preserve"> </w:t>
      </w:r>
      <w:r w:rsidR="00503C0E">
        <w:rPr>
          <w:rFonts w:ascii="Arial" w:hAnsi="Arial" w:cs="Arial"/>
          <w:sz w:val="22"/>
          <w:szCs w:val="22"/>
        </w:rPr>
        <w:t>Nové Hvězdlice</w:t>
      </w:r>
      <w:r w:rsidR="00641D38">
        <w:rPr>
          <w:rFonts w:ascii="Arial" w:hAnsi="Arial" w:cs="Arial"/>
          <w:sz w:val="22"/>
          <w:szCs w:val="22"/>
        </w:rPr>
        <w:t xml:space="preserve">, </w:t>
      </w:r>
      <w:r w:rsidR="00503C0E">
        <w:rPr>
          <w:rFonts w:ascii="Arial" w:hAnsi="Arial" w:cs="Arial"/>
          <w:sz w:val="22"/>
          <w:szCs w:val="22"/>
        </w:rPr>
        <w:t>Bošovice</w:t>
      </w:r>
      <w:r w:rsidR="00641D38">
        <w:rPr>
          <w:rFonts w:ascii="Arial" w:hAnsi="Arial" w:cs="Arial"/>
          <w:sz w:val="22"/>
          <w:szCs w:val="22"/>
        </w:rPr>
        <w:t>, O</w:t>
      </w:r>
      <w:r w:rsidR="00503C0E">
        <w:rPr>
          <w:rFonts w:ascii="Arial" w:hAnsi="Arial" w:cs="Arial"/>
          <w:sz w:val="22"/>
          <w:szCs w:val="22"/>
        </w:rPr>
        <w:t>patovice u Vyškova</w:t>
      </w:r>
      <w:r w:rsidR="00D6451F" w:rsidRPr="00014665">
        <w:rPr>
          <w:rFonts w:ascii="Arial" w:hAnsi="Arial" w:cs="Arial"/>
          <w:sz w:val="22"/>
          <w:szCs w:val="22"/>
        </w:rPr>
        <w:t>, okres:</w:t>
      </w:r>
      <w:r w:rsidR="006E0E92">
        <w:rPr>
          <w:rFonts w:ascii="Arial" w:hAnsi="Arial" w:cs="Arial"/>
          <w:sz w:val="22"/>
          <w:szCs w:val="22"/>
        </w:rPr>
        <w:t xml:space="preserve"> Vyškov.</w:t>
      </w:r>
    </w:p>
    <w:p w14:paraId="2D78EFEF" w14:textId="6D46BD3D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0E92">
        <w:rPr>
          <w:rFonts w:ascii="Arial" w:hAnsi="Arial" w:cs="Arial"/>
          <w:sz w:val="22"/>
          <w:szCs w:val="22"/>
        </w:rPr>
        <w:t>Palánek</w:t>
      </w:r>
      <w:proofErr w:type="spellEnd"/>
      <w:r w:rsidR="006E0E92">
        <w:rPr>
          <w:rFonts w:ascii="Arial" w:hAnsi="Arial" w:cs="Arial"/>
          <w:sz w:val="22"/>
          <w:szCs w:val="22"/>
        </w:rPr>
        <w:t xml:space="preserve"> 250/1, 682 01 Vyškov.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5BF89693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6A0E4FFD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 60 měsíců</w:t>
      </w:r>
      <w:r w:rsidR="006E0E92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</w:t>
      </w:r>
      <w:r w:rsidR="6BB58B3C" w:rsidRPr="00014665">
        <w:rPr>
          <w:rFonts w:ascii="Arial" w:hAnsi="Arial" w:cs="Arial"/>
          <w:sz w:val="22"/>
          <w:szCs w:val="22"/>
        </w:rPr>
        <w:lastRenderedPageBreak/>
        <w:t xml:space="preserve">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1E715578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6E0E92">
        <w:rPr>
          <w:rFonts w:ascii="Arial" w:hAnsi="Arial" w:cs="Arial"/>
          <w:sz w:val="22"/>
          <w:szCs w:val="22"/>
        </w:rPr>
        <w:t xml:space="preserve"> 30</w:t>
      </w:r>
      <w:r w:rsidR="00163AEF" w:rsidRPr="00014665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4F2AA73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</w:t>
      </w:r>
      <w:r w:rsidR="006E0E92">
        <w:rPr>
          <w:rFonts w:ascii="Arial" w:hAnsi="Arial" w:cs="Arial"/>
          <w:b/>
          <w:bCs/>
          <w:sz w:val="22"/>
          <w:szCs w:val="22"/>
        </w:rPr>
        <w:br/>
      </w:r>
      <w:r w:rsidRPr="00014665">
        <w:rPr>
          <w:rFonts w:ascii="Arial" w:hAnsi="Arial" w:cs="Arial"/>
          <w:b/>
          <w:bCs/>
          <w:sz w:val="22"/>
          <w:szCs w:val="22"/>
        </w:rPr>
        <w:t>(</w:t>
      </w:r>
      <w:r w:rsidR="00503C0E">
        <w:rPr>
          <w:rFonts w:ascii="Arial" w:hAnsi="Arial" w:cs="Arial"/>
          <w:b/>
          <w:bCs/>
          <w:sz w:val="22"/>
          <w:szCs w:val="22"/>
        </w:rPr>
        <w:t>30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496D47F1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6E0E92">
        <w:rPr>
          <w:rFonts w:ascii="Arial" w:hAnsi="Arial" w:cs="Arial"/>
          <w:b/>
          <w:sz w:val="22"/>
          <w:szCs w:val="22"/>
        </w:rPr>
        <w:t xml:space="preserve">          </w:t>
      </w:r>
      <w:r w:rsidR="00CA271D">
        <w:rPr>
          <w:rFonts w:ascii="Arial" w:hAnsi="Arial" w:cs="Arial"/>
          <w:b/>
          <w:sz w:val="22"/>
          <w:szCs w:val="22"/>
        </w:rPr>
        <w:t xml:space="preserve">1 </w:t>
      </w:r>
      <w:r w:rsidR="00503C0E">
        <w:rPr>
          <w:rFonts w:ascii="Arial" w:hAnsi="Arial" w:cs="Arial"/>
          <w:b/>
          <w:sz w:val="22"/>
          <w:szCs w:val="22"/>
        </w:rPr>
        <w:t>940</w:t>
      </w:r>
      <w:r w:rsidR="006E0E92">
        <w:rPr>
          <w:rFonts w:ascii="Arial" w:hAnsi="Arial" w:cs="Arial"/>
          <w:b/>
          <w:sz w:val="22"/>
          <w:szCs w:val="22"/>
        </w:rPr>
        <w:t>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609A674B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6E0E92">
        <w:rPr>
          <w:rFonts w:ascii="Arial" w:hAnsi="Arial" w:cs="Arial"/>
          <w:b/>
          <w:sz w:val="22"/>
          <w:szCs w:val="22"/>
        </w:rPr>
        <w:t xml:space="preserve">      </w:t>
      </w:r>
      <w:r w:rsidR="00503C0E">
        <w:rPr>
          <w:rFonts w:ascii="Arial" w:hAnsi="Arial" w:cs="Arial"/>
          <w:b/>
          <w:sz w:val="22"/>
          <w:szCs w:val="22"/>
        </w:rPr>
        <w:t xml:space="preserve">  </w:t>
      </w:r>
      <w:r w:rsidR="00641D38">
        <w:rPr>
          <w:rFonts w:ascii="Arial" w:hAnsi="Arial" w:cs="Arial"/>
          <w:b/>
          <w:sz w:val="22"/>
          <w:szCs w:val="22"/>
        </w:rPr>
        <w:t>5</w:t>
      </w:r>
      <w:r w:rsidR="00503C0E">
        <w:rPr>
          <w:rFonts w:ascii="Arial" w:hAnsi="Arial" w:cs="Arial"/>
          <w:b/>
          <w:sz w:val="22"/>
          <w:szCs w:val="22"/>
        </w:rPr>
        <w:t>8</w:t>
      </w:r>
      <w:r w:rsidR="00641D38">
        <w:rPr>
          <w:rFonts w:ascii="Arial" w:hAnsi="Arial" w:cs="Arial"/>
          <w:b/>
          <w:sz w:val="22"/>
          <w:szCs w:val="22"/>
        </w:rPr>
        <w:t xml:space="preserve"> </w:t>
      </w:r>
      <w:r w:rsidR="00503C0E">
        <w:rPr>
          <w:rFonts w:ascii="Arial" w:hAnsi="Arial" w:cs="Arial"/>
          <w:b/>
          <w:sz w:val="22"/>
          <w:szCs w:val="22"/>
        </w:rPr>
        <w:t>20</w:t>
      </w:r>
      <w:r w:rsidR="00641D38">
        <w:rPr>
          <w:rFonts w:ascii="Arial" w:hAnsi="Arial" w:cs="Arial"/>
          <w:b/>
          <w:sz w:val="22"/>
          <w:szCs w:val="22"/>
        </w:rPr>
        <w:t>0</w:t>
      </w:r>
      <w:r w:rsidR="006E0E92">
        <w:rPr>
          <w:rFonts w:ascii="Arial" w:hAnsi="Arial" w:cs="Arial"/>
          <w:b/>
          <w:sz w:val="22"/>
          <w:szCs w:val="22"/>
        </w:rPr>
        <w:t>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1018F60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proofErr w:type="gramStart"/>
      <w:r w:rsidR="006E0E9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proofErr w:type="gramEnd"/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</w:t>
      </w:r>
      <w:r w:rsidR="006E0E92">
        <w:rPr>
          <w:rFonts w:ascii="Arial" w:hAnsi="Arial" w:cs="Arial"/>
          <w:b/>
          <w:sz w:val="22"/>
          <w:szCs w:val="22"/>
          <w:u w:val="single"/>
        </w:rPr>
        <w:t xml:space="preserve">       </w:t>
      </w:r>
      <w:r w:rsidR="00503C0E">
        <w:rPr>
          <w:rFonts w:ascii="Arial" w:hAnsi="Arial" w:cs="Arial"/>
          <w:b/>
          <w:sz w:val="22"/>
          <w:szCs w:val="22"/>
          <w:u w:val="single"/>
        </w:rPr>
        <w:t>1</w:t>
      </w:r>
      <w:r w:rsidR="00641D38">
        <w:rPr>
          <w:rFonts w:ascii="Arial" w:hAnsi="Arial" w:cs="Arial"/>
          <w:b/>
          <w:sz w:val="22"/>
          <w:szCs w:val="22"/>
          <w:u w:val="single"/>
        </w:rPr>
        <w:t>2</w:t>
      </w:r>
      <w:r w:rsidR="00CA271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41D38">
        <w:rPr>
          <w:rFonts w:ascii="Arial" w:hAnsi="Arial" w:cs="Arial"/>
          <w:b/>
          <w:sz w:val="22"/>
          <w:szCs w:val="22"/>
          <w:u w:val="single"/>
        </w:rPr>
        <w:t>2</w:t>
      </w:r>
      <w:r w:rsidR="00503C0E">
        <w:rPr>
          <w:rFonts w:ascii="Arial" w:hAnsi="Arial" w:cs="Arial"/>
          <w:b/>
          <w:sz w:val="22"/>
          <w:szCs w:val="22"/>
          <w:u w:val="single"/>
        </w:rPr>
        <w:t>22</w:t>
      </w:r>
      <w:r w:rsidR="006E0E92">
        <w:rPr>
          <w:rFonts w:ascii="Arial" w:hAnsi="Arial" w:cs="Arial"/>
          <w:b/>
          <w:sz w:val="22"/>
          <w:szCs w:val="22"/>
          <w:u w:val="single"/>
        </w:rPr>
        <w:t>,</w:t>
      </w:r>
      <w:r w:rsidR="00503C0E">
        <w:rPr>
          <w:rFonts w:ascii="Arial" w:hAnsi="Arial" w:cs="Arial"/>
          <w:b/>
          <w:sz w:val="22"/>
          <w:szCs w:val="22"/>
          <w:u w:val="single"/>
        </w:rPr>
        <w:t>0</w:t>
      </w:r>
      <w:r w:rsidR="006E0E92">
        <w:rPr>
          <w:rFonts w:ascii="Arial" w:hAnsi="Arial" w:cs="Arial"/>
          <w:b/>
          <w:sz w:val="22"/>
          <w:szCs w:val="22"/>
          <w:u w:val="single"/>
        </w:rPr>
        <w:t>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A6ED19D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6E0E92">
        <w:rPr>
          <w:rFonts w:ascii="Arial" w:hAnsi="Arial" w:cs="Arial"/>
          <w:b/>
          <w:sz w:val="22"/>
          <w:szCs w:val="22"/>
          <w:u w:val="double"/>
        </w:rPr>
        <w:t xml:space="preserve">                 </w:t>
      </w:r>
      <w:r w:rsidR="00641D38">
        <w:rPr>
          <w:rFonts w:ascii="Arial" w:hAnsi="Arial" w:cs="Arial"/>
          <w:b/>
          <w:sz w:val="22"/>
          <w:szCs w:val="22"/>
          <w:u w:val="double"/>
        </w:rPr>
        <w:t xml:space="preserve"> </w:t>
      </w:r>
      <w:r w:rsidR="00503C0E">
        <w:rPr>
          <w:rFonts w:ascii="Arial" w:hAnsi="Arial" w:cs="Arial"/>
          <w:b/>
          <w:sz w:val="22"/>
          <w:szCs w:val="22"/>
          <w:u w:val="double"/>
        </w:rPr>
        <w:t xml:space="preserve"> 70</w:t>
      </w:r>
      <w:r w:rsidR="00641D38">
        <w:rPr>
          <w:rFonts w:ascii="Arial" w:hAnsi="Arial" w:cs="Arial"/>
          <w:b/>
          <w:sz w:val="22"/>
          <w:szCs w:val="22"/>
          <w:u w:val="double"/>
        </w:rPr>
        <w:t xml:space="preserve"> </w:t>
      </w:r>
      <w:r w:rsidR="00503C0E">
        <w:rPr>
          <w:rFonts w:ascii="Arial" w:hAnsi="Arial" w:cs="Arial"/>
          <w:b/>
          <w:sz w:val="22"/>
          <w:szCs w:val="22"/>
          <w:u w:val="double"/>
        </w:rPr>
        <w:t>422</w:t>
      </w:r>
      <w:r w:rsidR="006E0E92">
        <w:rPr>
          <w:rFonts w:ascii="Arial" w:hAnsi="Arial" w:cs="Arial"/>
          <w:b/>
          <w:sz w:val="22"/>
          <w:szCs w:val="22"/>
          <w:u w:val="double"/>
        </w:rPr>
        <w:t>,</w:t>
      </w:r>
      <w:r w:rsidR="00503C0E">
        <w:rPr>
          <w:rFonts w:ascii="Arial" w:hAnsi="Arial" w:cs="Arial"/>
          <w:b/>
          <w:sz w:val="22"/>
          <w:szCs w:val="22"/>
          <w:u w:val="double"/>
        </w:rPr>
        <w:t>0</w:t>
      </w:r>
      <w:r w:rsidR="006E0E92">
        <w:rPr>
          <w:rFonts w:ascii="Arial" w:hAnsi="Arial" w:cs="Arial"/>
          <w:b/>
          <w:sz w:val="22"/>
          <w:szCs w:val="22"/>
          <w:u w:val="double"/>
        </w:rPr>
        <w:t>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C476986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6E0E92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6E0E92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6E0E92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6E0E92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6E0E92" w:rsidRPr="00014665">
        <w:rPr>
          <w:rFonts w:ascii="Arial" w:hAnsi="Arial" w:cs="Arial"/>
          <w:snapToGrid w:val="0"/>
          <w:sz w:val="22"/>
          <w:szCs w:val="22"/>
        </w:rPr>
        <w:br/>
        <w:t xml:space="preserve">a jako dodací adresa bude uvedeno: </w:t>
      </w:r>
      <w:r w:rsidR="006E0E92" w:rsidRPr="00014665">
        <w:rPr>
          <w:rFonts w:ascii="Arial" w:hAnsi="Arial" w:cs="Arial"/>
          <w:b/>
          <w:snapToGrid w:val="0"/>
          <w:sz w:val="22"/>
          <w:szCs w:val="22"/>
        </w:rPr>
        <w:t>KPÚ pro</w:t>
      </w:r>
      <w:r w:rsidR="006E0E92">
        <w:rPr>
          <w:rFonts w:ascii="Arial" w:hAnsi="Arial" w:cs="Arial"/>
          <w:b/>
          <w:snapToGrid w:val="0"/>
          <w:sz w:val="22"/>
          <w:szCs w:val="22"/>
        </w:rPr>
        <w:t xml:space="preserve"> Jihomoravský</w:t>
      </w:r>
      <w:r w:rsidR="006E0E92" w:rsidRPr="00014665">
        <w:rPr>
          <w:rFonts w:ascii="Arial" w:hAnsi="Arial" w:cs="Arial"/>
          <w:b/>
          <w:snapToGrid w:val="0"/>
          <w:sz w:val="22"/>
          <w:szCs w:val="22"/>
        </w:rPr>
        <w:t xml:space="preserve"> kraj, Pobočka </w:t>
      </w:r>
      <w:r w:rsidR="006E0E92">
        <w:rPr>
          <w:rFonts w:ascii="Arial" w:hAnsi="Arial" w:cs="Arial"/>
          <w:b/>
          <w:snapToGrid w:val="0"/>
          <w:sz w:val="22"/>
          <w:szCs w:val="22"/>
        </w:rPr>
        <w:t>Vyškov</w:t>
      </w:r>
      <w:r w:rsidR="006E0E92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6E0E92" w:rsidRPr="00695C1B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adresa: </w:t>
      </w:r>
      <w:proofErr w:type="spellStart"/>
      <w:r w:rsidR="006E0E92" w:rsidRPr="00695C1B">
        <w:rPr>
          <w:rFonts w:ascii="Arial" w:hAnsi="Arial" w:cs="Arial"/>
          <w:b/>
          <w:snapToGrid w:val="0"/>
          <w:sz w:val="22"/>
          <w:szCs w:val="22"/>
        </w:rPr>
        <w:t>Palánek</w:t>
      </w:r>
      <w:proofErr w:type="spellEnd"/>
      <w:r w:rsidR="006E0E92" w:rsidRPr="00695C1B">
        <w:rPr>
          <w:rFonts w:ascii="Arial" w:hAnsi="Arial" w:cs="Arial"/>
          <w:b/>
          <w:snapToGrid w:val="0"/>
          <w:sz w:val="22"/>
          <w:szCs w:val="22"/>
        </w:rPr>
        <w:t xml:space="preserve"> 250/1, 682 01 Vyškov</w:t>
      </w:r>
      <w:r w:rsidR="006E0E92">
        <w:rPr>
          <w:rFonts w:ascii="Arial" w:hAnsi="Arial" w:cs="Arial"/>
          <w:snapToGrid w:val="0"/>
          <w:sz w:val="22"/>
          <w:szCs w:val="22"/>
        </w:rPr>
        <w:t>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straně ve formě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9E8C6B5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0468D0">
        <w:rPr>
          <w:rFonts w:ascii="Arial" w:hAnsi="Arial" w:cs="Arial"/>
          <w:sz w:val="22"/>
          <w:szCs w:val="22"/>
        </w:rPr>
        <w:t xml:space="preserve"> Vyškov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204BECDC" w14:textId="77777777" w:rsidR="00CA271D" w:rsidRPr="00014665" w:rsidRDefault="00CA271D" w:rsidP="00CA271D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Geocentrum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spol. s r.o.</w:t>
      </w:r>
    </w:p>
    <w:p w14:paraId="1BCA7EA1" w14:textId="238C7145" w:rsidR="00CA271D" w:rsidRPr="00014665" w:rsidRDefault="00CA271D" w:rsidP="00CA271D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58042E">
        <w:rPr>
          <w:rFonts w:ascii="Arial" w:hAnsi="Arial" w:cs="Arial"/>
          <w:sz w:val="22"/>
          <w:szCs w:val="22"/>
        </w:rPr>
        <w:t>29.4.2025</w:t>
      </w:r>
      <w:r w:rsidRPr="00014665">
        <w:rPr>
          <w:rFonts w:ascii="Arial" w:hAnsi="Arial" w:cs="Arial"/>
          <w:sz w:val="22"/>
          <w:szCs w:val="22"/>
        </w:rPr>
        <w:tab/>
        <w:t>Datum:</w:t>
      </w:r>
      <w:r w:rsidR="0058042E">
        <w:rPr>
          <w:rFonts w:ascii="Arial" w:hAnsi="Arial" w:cs="Arial"/>
          <w:sz w:val="22"/>
          <w:szCs w:val="22"/>
        </w:rPr>
        <w:t xml:space="preserve"> 25.4.2025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04ACF9C" w14:textId="77777777" w:rsidR="000468D0" w:rsidRPr="00014665" w:rsidRDefault="000468D0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bookmarkEnd w:id="1"/>
    <w:p w14:paraId="327562D2" w14:textId="77777777" w:rsidR="00CA271D" w:rsidRPr="00014665" w:rsidRDefault="00CA271D" w:rsidP="00CA271D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Krampl</w:t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 Liška</w:t>
      </w:r>
    </w:p>
    <w:p w14:paraId="5C5CDF77" w14:textId="77777777" w:rsidR="00CA271D" w:rsidRPr="00014665" w:rsidRDefault="00CA271D" w:rsidP="00CA271D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Vyškov</w:t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jednatel </w:t>
      </w:r>
      <w:proofErr w:type="spellStart"/>
      <w:r>
        <w:rPr>
          <w:rFonts w:ascii="Arial" w:hAnsi="Arial" w:cs="Arial"/>
          <w:sz w:val="22"/>
          <w:szCs w:val="22"/>
        </w:rPr>
        <w:t>Geocentrum</w:t>
      </w:r>
      <w:proofErr w:type="spellEnd"/>
      <w:r>
        <w:rPr>
          <w:rFonts w:ascii="Arial" w:hAnsi="Arial" w:cs="Arial"/>
          <w:sz w:val="22"/>
          <w:szCs w:val="22"/>
        </w:rPr>
        <w:t xml:space="preserve"> spol. s r.o.</w:t>
      </w:r>
    </w:p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4A564EE4" w14:textId="77777777" w:rsidR="005F0B3E" w:rsidRDefault="005F0B3E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E401761" w14:textId="77777777" w:rsidR="005F0B3E" w:rsidRDefault="005F0B3E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AAAFE7E" w14:textId="77777777" w:rsidR="003B2554" w:rsidRDefault="003B2554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E600EEC" w14:textId="77777777" w:rsidR="00CD222B" w:rsidRDefault="00CD222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508"/>
        <w:gridCol w:w="1052"/>
        <w:gridCol w:w="790"/>
        <w:gridCol w:w="290"/>
        <w:gridCol w:w="960"/>
        <w:gridCol w:w="960"/>
      </w:tblGrid>
      <w:tr w:rsidR="005F0B3E" w:rsidRPr="005F0B3E" w14:paraId="68E7DA79" w14:textId="77777777" w:rsidTr="00C608AD">
        <w:trPr>
          <w:trHeight w:val="402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9B76" w14:textId="77777777" w:rsidR="005F0B3E" w:rsidRDefault="000C1FD1" w:rsidP="005F0B3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</w:t>
            </w:r>
            <w:r w:rsidR="005F0B3E" w:rsidRPr="005F0B3E">
              <w:rPr>
                <w:rFonts w:ascii="Arial" w:hAnsi="Arial" w:cs="Arial"/>
                <w:color w:val="000000"/>
                <w:sz w:val="22"/>
                <w:szCs w:val="22"/>
              </w:rPr>
              <w:t>říloha č. 1</w:t>
            </w:r>
          </w:p>
          <w:p w14:paraId="6641D839" w14:textId="77777777" w:rsidR="00C608AD" w:rsidRDefault="00C608AD" w:rsidP="005F0B3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0FFF75" w14:textId="126B6C07" w:rsidR="00CD222B" w:rsidRPr="005F0B3E" w:rsidRDefault="00CD222B" w:rsidP="005F0B3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F00F" w14:textId="77777777" w:rsidR="005F0B3E" w:rsidRPr="005F0B3E" w:rsidRDefault="005F0B3E" w:rsidP="005F0B3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775E" w14:textId="77777777" w:rsidR="005F0B3E" w:rsidRPr="005F0B3E" w:rsidRDefault="005F0B3E" w:rsidP="005F0B3E">
            <w:pPr>
              <w:spacing w:before="0"/>
              <w:ind w:lef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3E2A" w14:textId="77777777" w:rsidR="005F0B3E" w:rsidRPr="005F0B3E" w:rsidRDefault="005F0B3E" w:rsidP="005F0B3E">
            <w:pPr>
              <w:spacing w:before="0"/>
              <w:ind w:lef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DC8D" w14:textId="77777777" w:rsidR="005F0B3E" w:rsidRPr="005F0B3E" w:rsidRDefault="005F0B3E" w:rsidP="005F0B3E">
            <w:pPr>
              <w:spacing w:before="0"/>
              <w:ind w:left="0"/>
              <w:jc w:val="left"/>
            </w:pPr>
          </w:p>
        </w:tc>
      </w:tr>
      <w:tr w:rsidR="00C608AD" w:rsidRPr="00C608AD" w14:paraId="3B5518FD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B408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880D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parcelní číslo</w:t>
            </w:r>
          </w:p>
        </w:tc>
      </w:tr>
      <w:tr w:rsidR="00C608AD" w:rsidRPr="00C608AD" w14:paraId="64E477CB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993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Nové Hvězdlice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A2C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5718</w:t>
            </w:r>
          </w:p>
        </w:tc>
      </w:tr>
      <w:tr w:rsidR="00C608AD" w:rsidRPr="00C608AD" w14:paraId="52D5F178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079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Bošovice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30C0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7445</w:t>
            </w:r>
          </w:p>
        </w:tc>
      </w:tr>
      <w:tr w:rsidR="00C608AD" w:rsidRPr="00C608AD" w14:paraId="7028901C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983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Bošovice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FD63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3564</w:t>
            </w:r>
          </w:p>
        </w:tc>
      </w:tr>
      <w:tr w:rsidR="00C608AD" w:rsidRPr="00C608AD" w14:paraId="59948FD8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782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Bošovice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A172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6859</w:t>
            </w:r>
          </w:p>
        </w:tc>
      </w:tr>
      <w:tr w:rsidR="00C608AD" w:rsidRPr="00C608AD" w14:paraId="4B5EC4F7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E02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Bošovice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C2B7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6559</w:t>
            </w:r>
          </w:p>
        </w:tc>
      </w:tr>
      <w:tr w:rsidR="00C608AD" w:rsidRPr="00C608AD" w14:paraId="7D5879C5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372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Bošovice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BC7A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6560</w:t>
            </w:r>
          </w:p>
        </w:tc>
      </w:tr>
      <w:tr w:rsidR="00C608AD" w:rsidRPr="00C608AD" w14:paraId="15F9D9B4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885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Bošovice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6D31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7963</w:t>
            </w:r>
          </w:p>
        </w:tc>
      </w:tr>
      <w:tr w:rsidR="00C608AD" w:rsidRPr="00C608AD" w14:paraId="3675498F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D42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Bošovice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DFA9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7881</w:t>
            </w:r>
          </w:p>
        </w:tc>
      </w:tr>
      <w:tr w:rsidR="00C608AD" w:rsidRPr="00C608AD" w14:paraId="4EA25B32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3D5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Bošovice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66E6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6849</w:t>
            </w:r>
          </w:p>
        </w:tc>
      </w:tr>
      <w:tr w:rsidR="00C608AD" w:rsidRPr="00C608AD" w14:paraId="5D6D7537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7E9B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Bošovice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DA4B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6654</w:t>
            </w:r>
          </w:p>
        </w:tc>
      </w:tr>
      <w:tr w:rsidR="00C608AD" w:rsidRPr="00C608AD" w14:paraId="661F6075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67E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Bošovice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CEC0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6655</w:t>
            </w:r>
          </w:p>
        </w:tc>
      </w:tr>
      <w:tr w:rsidR="00C608AD" w:rsidRPr="00C608AD" w14:paraId="460D265F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7FF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Bošovice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B643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6873</w:t>
            </w:r>
          </w:p>
        </w:tc>
      </w:tr>
      <w:tr w:rsidR="00C608AD" w:rsidRPr="00C608AD" w14:paraId="67945C37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213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Opatovice u Vyškova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C1ED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1100</w:t>
            </w:r>
          </w:p>
        </w:tc>
      </w:tr>
      <w:tr w:rsidR="00C608AD" w:rsidRPr="00C608AD" w14:paraId="400BACB6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B61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Opatovice u Vyškova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BA53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1101</w:t>
            </w:r>
          </w:p>
        </w:tc>
      </w:tr>
      <w:tr w:rsidR="00C608AD" w:rsidRPr="00C608AD" w14:paraId="7387479D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28D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Opatovice u Vyškova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C4C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1103</w:t>
            </w:r>
          </w:p>
        </w:tc>
      </w:tr>
      <w:tr w:rsidR="00C608AD" w:rsidRPr="00C608AD" w14:paraId="628A4296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13B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Opatovice u Vyškova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D30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1105</w:t>
            </w:r>
          </w:p>
        </w:tc>
      </w:tr>
      <w:tr w:rsidR="00C608AD" w:rsidRPr="00C608AD" w14:paraId="78B963A5" w14:textId="77777777" w:rsidTr="00C608AD">
        <w:trPr>
          <w:gridAfter w:val="4"/>
          <w:wAfter w:w="2995" w:type="dxa"/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60E9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k.ú</w:t>
            </w:r>
            <w:proofErr w:type="spellEnd"/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. Opatovice u Vyškova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47A" w14:textId="77777777" w:rsidR="00C608AD" w:rsidRPr="00C608AD" w:rsidRDefault="00C608AD" w:rsidP="00C608A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08AD">
              <w:rPr>
                <w:rFonts w:ascii="Arial" w:hAnsi="Arial" w:cs="Arial"/>
                <w:color w:val="000000"/>
                <w:sz w:val="22"/>
                <w:szCs w:val="22"/>
              </w:rPr>
              <w:t>1098</w:t>
            </w:r>
          </w:p>
        </w:tc>
      </w:tr>
    </w:tbl>
    <w:p w14:paraId="3FAEDF0A" w14:textId="77777777" w:rsidR="00C608AD" w:rsidRPr="00014665" w:rsidRDefault="00C608A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C608AD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800B" w14:textId="77777777" w:rsidR="003E61DB" w:rsidRDefault="003E61DB" w:rsidP="003C2E23">
      <w:pPr>
        <w:spacing w:before="0"/>
      </w:pPr>
      <w:r>
        <w:separator/>
      </w:r>
    </w:p>
  </w:endnote>
  <w:endnote w:type="continuationSeparator" w:id="0">
    <w:p w14:paraId="1CC48545" w14:textId="77777777" w:rsidR="003E61DB" w:rsidRDefault="003E61DB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0468D0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0468D0">
              <w:rPr>
                <w:rFonts w:ascii="Arial" w:hAnsi="Arial" w:cs="Arial"/>
              </w:rPr>
              <w:t xml:space="preserve"> </w:t>
            </w:r>
            <w:r w:rsidRPr="000468D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468D0">
              <w:rPr>
                <w:rFonts w:ascii="Arial" w:hAnsi="Arial" w:cs="Arial"/>
                <w:bCs/>
              </w:rPr>
              <w:instrText>PAGE</w:instrText>
            </w:r>
            <w:r w:rsidRPr="000468D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0468D0">
              <w:rPr>
                <w:rFonts w:ascii="Arial" w:hAnsi="Arial" w:cs="Arial"/>
                <w:bCs/>
                <w:noProof/>
              </w:rPr>
              <w:t>11</w:t>
            </w:r>
            <w:r w:rsidRPr="000468D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0468D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0468D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468D0">
              <w:rPr>
                <w:rFonts w:ascii="Arial" w:hAnsi="Arial" w:cs="Arial"/>
                <w:bCs/>
              </w:rPr>
              <w:instrText>NUMPAGES</w:instrText>
            </w:r>
            <w:r w:rsidRPr="000468D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0468D0">
              <w:rPr>
                <w:rFonts w:ascii="Arial" w:hAnsi="Arial" w:cs="Arial"/>
                <w:bCs/>
                <w:noProof/>
              </w:rPr>
              <w:t>11</w:t>
            </w:r>
            <w:r w:rsidRPr="000468D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D69C" w14:textId="77777777" w:rsidR="003E61DB" w:rsidRDefault="003E61DB" w:rsidP="003C2E23">
      <w:pPr>
        <w:spacing w:before="0"/>
      </w:pPr>
      <w:r>
        <w:separator/>
      </w:r>
    </w:p>
  </w:footnote>
  <w:footnote w:type="continuationSeparator" w:id="0">
    <w:p w14:paraId="5281AB72" w14:textId="77777777" w:rsidR="003E61DB" w:rsidRDefault="003E61DB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339B65A4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</w:t>
    </w:r>
    <w:r w:rsidR="007F7DCD">
      <w:rPr>
        <w:rFonts w:ascii="Arial" w:hAnsi="Arial" w:cs="Arial"/>
        <w:sz w:val="16"/>
        <w:szCs w:val="16"/>
      </w:rPr>
      <w:t>ý</w:t>
    </w:r>
    <w:r w:rsidRPr="00DC4D21">
      <w:rPr>
        <w:rFonts w:ascii="Arial" w:hAnsi="Arial" w:cs="Arial"/>
        <w:sz w:val="16"/>
        <w:szCs w:val="16"/>
      </w:rPr>
      <w:t xml:space="preserve">čení pozemků </w:t>
    </w:r>
    <w:r w:rsidR="007F7DCD">
      <w:rPr>
        <w:rFonts w:ascii="Arial" w:hAnsi="Arial" w:cs="Arial"/>
        <w:sz w:val="16"/>
        <w:szCs w:val="16"/>
      </w:rPr>
      <w:t xml:space="preserve">po </w:t>
    </w:r>
    <w:proofErr w:type="spellStart"/>
    <w:r w:rsidR="007F7DCD">
      <w:rPr>
        <w:rFonts w:ascii="Arial" w:hAnsi="Arial" w:cs="Arial"/>
        <w:sz w:val="16"/>
        <w:szCs w:val="16"/>
      </w:rPr>
      <w:t>KoPÚ</w:t>
    </w:r>
    <w:proofErr w:type="spellEnd"/>
    <w:r w:rsidR="007F7DCD">
      <w:rPr>
        <w:rFonts w:ascii="Arial" w:hAnsi="Arial" w:cs="Arial"/>
        <w:sz w:val="16"/>
        <w:szCs w:val="16"/>
      </w:rPr>
      <w:t xml:space="preserve"> – Vyškov 202</w:t>
    </w:r>
    <w:r w:rsidR="00762D40">
      <w:rPr>
        <w:rFonts w:ascii="Arial" w:hAnsi="Arial" w:cs="Arial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79FE" w14:textId="246E47E7" w:rsidR="00E45C1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762D40">
      <w:rPr>
        <w:rFonts w:ascii="Arial" w:hAnsi="Arial" w:cs="Arial"/>
        <w:sz w:val="16"/>
        <w:szCs w:val="16"/>
      </w:rPr>
      <w:t>600</w:t>
    </w:r>
    <w:r w:rsidR="00CB5C82">
      <w:rPr>
        <w:rFonts w:ascii="Arial" w:hAnsi="Arial" w:cs="Arial"/>
        <w:sz w:val="16"/>
        <w:szCs w:val="16"/>
      </w:rPr>
      <w:t>-202</w:t>
    </w:r>
    <w:r w:rsidR="00762D40">
      <w:rPr>
        <w:rFonts w:ascii="Arial" w:hAnsi="Arial" w:cs="Arial"/>
        <w:sz w:val="16"/>
        <w:szCs w:val="16"/>
      </w:rPr>
      <w:t>5</w:t>
    </w:r>
    <w:r w:rsidR="00CB5C82">
      <w:rPr>
        <w:rFonts w:ascii="Arial" w:hAnsi="Arial" w:cs="Arial"/>
        <w:sz w:val="16"/>
        <w:szCs w:val="16"/>
      </w:rPr>
      <w:t>-523205</w:t>
    </w:r>
  </w:p>
  <w:p w14:paraId="6E5A20B8" w14:textId="56EA6DA2" w:rsidR="00FF0C21" w:rsidRPr="00FF7DBF" w:rsidRDefault="00E45C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UID: </w:t>
    </w:r>
    <w:r w:rsidRPr="00E45C11">
      <w:rPr>
        <w:rFonts w:ascii="Arial" w:hAnsi="Arial" w:cs="Arial"/>
        <w:sz w:val="16"/>
        <w:szCs w:val="16"/>
      </w:rPr>
      <w:t>spudms00000015514647</w:t>
    </w:r>
    <w:r w:rsidR="00FF0C21" w:rsidRPr="00FF7DBF">
      <w:rPr>
        <w:rFonts w:ascii="Arial" w:hAnsi="Arial" w:cs="Arial"/>
        <w:sz w:val="16"/>
        <w:szCs w:val="16"/>
      </w:rPr>
      <w:tab/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61E6D9BC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</w:t>
    </w:r>
    <w:r w:rsidR="007F7DCD">
      <w:rPr>
        <w:rFonts w:ascii="Arial" w:hAnsi="Arial" w:cs="Arial"/>
        <w:sz w:val="16"/>
        <w:szCs w:val="16"/>
      </w:rPr>
      <w:t>ý</w:t>
    </w:r>
    <w:r w:rsidRPr="00FF7DBF">
      <w:rPr>
        <w:rFonts w:ascii="Arial" w:hAnsi="Arial" w:cs="Arial"/>
        <w:sz w:val="16"/>
        <w:szCs w:val="16"/>
      </w:rPr>
      <w:t xml:space="preserve">čení pozemků </w:t>
    </w:r>
    <w:r w:rsidR="004C1664">
      <w:rPr>
        <w:rFonts w:ascii="Arial" w:hAnsi="Arial" w:cs="Arial"/>
        <w:sz w:val="16"/>
        <w:szCs w:val="16"/>
      </w:rPr>
      <w:t xml:space="preserve">po </w:t>
    </w:r>
    <w:proofErr w:type="spellStart"/>
    <w:r w:rsidR="004C1664">
      <w:rPr>
        <w:rFonts w:ascii="Arial" w:hAnsi="Arial" w:cs="Arial"/>
        <w:sz w:val="16"/>
        <w:szCs w:val="16"/>
      </w:rPr>
      <w:t>KoPÚ</w:t>
    </w:r>
    <w:proofErr w:type="spellEnd"/>
    <w:r w:rsidR="004C1664">
      <w:rPr>
        <w:rFonts w:ascii="Arial" w:hAnsi="Arial" w:cs="Arial"/>
        <w:sz w:val="16"/>
        <w:szCs w:val="16"/>
      </w:rPr>
      <w:t xml:space="preserve"> – Vyškov 202</w:t>
    </w:r>
    <w:r w:rsidR="00762D40">
      <w:rPr>
        <w:rFonts w:ascii="Arial" w:hAnsi="Arial" w:cs="Arial"/>
        <w:sz w:val="16"/>
        <w:szCs w:val="16"/>
      </w:rPr>
      <w:t>5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6454"/>
    <w:rsid w:val="00011811"/>
    <w:rsid w:val="00014665"/>
    <w:rsid w:val="00015AA5"/>
    <w:rsid w:val="0002251A"/>
    <w:rsid w:val="000468D0"/>
    <w:rsid w:val="000530CF"/>
    <w:rsid w:val="0005660E"/>
    <w:rsid w:val="00056659"/>
    <w:rsid w:val="00057F1D"/>
    <w:rsid w:val="0006017D"/>
    <w:rsid w:val="00065233"/>
    <w:rsid w:val="0006730A"/>
    <w:rsid w:val="00072627"/>
    <w:rsid w:val="00085EC7"/>
    <w:rsid w:val="00086970"/>
    <w:rsid w:val="000A1146"/>
    <w:rsid w:val="000A2584"/>
    <w:rsid w:val="000A4F78"/>
    <w:rsid w:val="000A6305"/>
    <w:rsid w:val="000C0079"/>
    <w:rsid w:val="000C0616"/>
    <w:rsid w:val="000C115B"/>
    <w:rsid w:val="000C1FD1"/>
    <w:rsid w:val="000C598B"/>
    <w:rsid w:val="000C669B"/>
    <w:rsid w:val="000D2398"/>
    <w:rsid w:val="000D5235"/>
    <w:rsid w:val="000D6FE7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1914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142A"/>
    <w:rsid w:val="00224CDA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2B38"/>
    <w:rsid w:val="00327747"/>
    <w:rsid w:val="0033317A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2554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D6456"/>
    <w:rsid w:val="003E5EEC"/>
    <w:rsid w:val="003E61DB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1664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3C0E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042E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0B3E"/>
    <w:rsid w:val="005F38B8"/>
    <w:rsid w:val="005F4DB0"/>
    <w:rsid w:val="0061170B"/>
    <w:rsid w:val="00613A2F"/>
    <w:rsid w:val="00626C53"/>
    <w:rsid w:val="0063482B"/>
    <w:rsid w:val="00641D38"/>
    <w:rsid w:val="006422C8"/>
    <w:rsid w:val="00643337"/>
    <w:rsid w:val="00644DF0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681C"/>
    <w:rsid w:val="006E0028"/>
    <w:rsid w:val="006E0E92"/>
    <w:rsid w:val="006E4835"/>
    <w:rsid w:val="006F0948"/>
    <w:rsid w:val="006F1355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36983"/>
    <w:rsid w:val="007460F0"/>
    <w:rsid w:val="007468C8"/>
    <w:rsid w:val="00747E60"/>
    <w:rsid w:val="00754188"/>
    <w:rsid w:val="00756A51"/>
    <w:rsid w:val="00762D40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B7D05"/>
    <w:rsid w:val="007C0C74"/>
    <w:rsid w:val="007C159F"/>
    <w:rsid w:val="007C180B"/>
    <w:rsid w:val="007C4D0C"/>
    <w:rsid w:val="007D4920"/>
    <w:rsid w:val="007E1905"/>
    <w:rsid w:val="007E24DE"/>
    <w:rsid w:val="007E7A67"/>
    <w:rsid w:val="007F6D2D"/>
    <w:rsid w:val="007F72CC"/>
    <w:rsid w:val="007F7DCD"/>
    <w:rsid w:val="0080352E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B6DED"/>
    <w:rsid w:val="009C090B"/>
    <w:rsid w:val="009C4151"/>
    <w:rsid w:val="009C5EB7"/>
    <w:rsid w:val="009D0C34"/>
    <w:rsid w:val="009D4450"/>
    <w:rsid w:val="009D61F0"/>
    <w:rsid w:val="009E0440"/>
    <w:rsid w:val="009F162B"/>
    <w:rsid w:val="009F207D"/>
    <w:rsid w:val="009F54BE"/>
    <w:rsid w:val="00A03267"/>
    <w:rsid w:val="00A075C0"/>
    <w:rsid w:val="00A10967"/>
    <w:rsid w:val="00A245BA"/>
    <w:rsid w:val="00A268B2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277C2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608AD"/>
    <w:rsid w:val="00C60D2B"/>
    <w:rsid w:val="00C6184E"/>
    <w:rsid w:val="00C70585"/>
    <w:rsid w:val="00C90564"/>
    <w:rsid w:val="00CA2120"/>
    <w:rsid w:val="00CA271D"/>
    <w:rsid w:val="00CA7CD0"/>
    <w:rsid w:val="00CB5C82"/>
    <w:rsid w:val="00CB7B66"/>
    <w:rsid w:val="00CC0248"/>
    <w:rsid w:val="00CC4E3F"/>
    <w:rsid w:val="00CC66C7"/>
    <w:rsid w:val="00CC6DE1"/>
    <w:rsid w:val="00CD222B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CA3"/>
    <w:rsid w:val="00D42D02"/>
    <w:rsid w:val="00D44B76"/>
    <w:rsid w:val="00D6451F"/>
    <w:rsid w:val="00D75D18"/>
    <w:rsid w:val="00D808C3"/>
    <w:rsid w:val="00D83C46"/>
    <w:rsid w:val="00D853A6"/>
    <w:rsid w:val="00D9408D"/>
    <w:rsid w:val="00D95ACB"/>
    <w:rsid w:val="00DA100E"/>
    <w:rsid w:val="00DA1CE0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5C11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5DB1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C1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.urbankova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4833</Words>
  <Characters>28515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Šojdr Patrik Ing.</cp:lastModifiedBy>
  <cp:revision>3</cp:revision>
  <cp:lastPrinted>2025-04-25T10:43:00Z</cp:lastPrinted>
  <dcterms:created xsi:type="dcterms:W3CDTF">2025-04-30T10:04:00Z</dcterms:created>
  <dcterms:modified xsi:type="dcterms:W3CDTF">2025-04-30T10:09:00Z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