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EB01B53" w14:textId="77777777" w:rsidR="006D1BE2" w:rsidRDefault="006D1BE2" w:rsidP="006D1BE2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Pr="00571909">
        <w:rPr>
          <w:rFonts w:ascii="Arial" w:hAnsi="Arial" w:cs="Arial"/>
          <w:i/>
          <w:iCs/>
          <w:color w:val="0070C0"/>
          <w:sz w:val="24"/>
        </w:rPr>
        <w:t>(bude doplněno)</w:t>
      </w:r>
    </w:p>
    <w:p w14:paraId="73E8CECC" w14:textId="511B2DA7" w:rsidR="008D56C5" w:rsidRPr="00E93F51" w:rsidRDefault="008D56C5" w:rsidP="003C7E62">
      <w:pPr>
        <w:pStyle w:val="Nzev"/>
        <w:spacing w:before="200"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1C3D00">
      <w:pPr>
        <w:pStyle w:val="Zkladntext"/>
        <w:spacing w:after="60"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556450C4" w:rsidR="00593846" w:rsidRPr="00E93F51" w:rsidRDefault="00E35D0C" w:rsidP="001C3D00">
      <w:pPr>
        <w:pStyle w:val="Zkladntext"/>
        <w:spacing w:after="60"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E35D0C">
        <w:rPr>
          <w:rFonts w:ascii="Arial" w:hAnsi="Arial" w:cs="Arial"/>
          <w:i w:val="0"/>
          <w:iCs/>
          <w:sz w:val="22"/>
          <w:szCs w:val="18"/>
        </w:rPr>
        <w:t>Husinecká</w:t>
      </w:r>
      <w:r w:rsidR="00812ED3" w:rsidRPr="00E35D0C">
        <w:rPr>
          <w:rFonts w:ascii="Arial" w:hAnsi="Arial" w:cs="Arial"/>
          <w:i w:val="0"/>
          <w:sz w:val="20"/>
        </w:rPr>
        <w:t xml:space="preserve"> </w:t>
      </w:r>
      <w:r w:rsidR="00812ED3" w:rsidRPr="00812ED3">
        <w:rPr>
          <w:rFonts w:ascii="Arial" w:hAnsi="Arial" w:cs="Arial"/>
          <w:i w:val="0"/>
          <w:sz w:val="22"/>
          <w:szCs w:val="22"/>
        </w:rPr>
        <w:t>1024/</w:t>
      </w:r>
      <w:proofErr w:type="gramStart"/>
      <w:r w:rsidR="00812ED3"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 w:rsidR="00812ED3">
        <w:rPr>
          <w:rFonts w:ascii="Arial" w:hAnsi="Arial" w:cs="Arial"/>
          <w:i w:val="0"/>
          <w:sz w:val="22"/>
          <w:szCs w:val="22"/>
        </w:rPr>
        <w:t xml:space="preserve">, </w:t>
      </w:r>
      <w:r w:rsidR="00812ED3"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2E683371" w:rsidR="00EA21B7" w:rsidRDefault="00EA21B7" w:rsidP="001C3D00">
      <w:pPr>
        <w:pStyle w:val="Zkladntext"/>
        <w:spacing w:after="60"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F221A">
        <w:rPr>
          <w:rFonts w:ascii="Arial" w:hAnsi="Arial" w:cs="Arial"/>
          <w:i w:val="0"/>
          <w:sz w:val="22"/>
          <w:szCs w:val="22"/>
        </w:rPr>
        <w:t>pro Plze</w:t>
      </w:r>
      <w:r w:rsidR="00AF2595">
        <w:rPr>
          <w:rFonts w:ascii="Arial" w:hAnsi="Arial" w:cs="Arial"/>
          <w:i w:val="0"/>
          <w:sz w:val="22"/>
          <w:szCs w:val="22"/>
        </w:rPr>
        <w:t>ňský kraj</w:t>
      </w:r>
    </w:p>
    <w:p w14:paraId="689A6A53" w14:textId="5B08A3FE" w:rsidR="00812ED3" w:rsidRPr="00E93F51" w:rsidRDefault="00812ED3" w:rsidP="001C3D00">
      <w:pPr>
        <w:pStyle w:val="Zkladntext"/>
        <w:spacing w:after="60"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AF2595">
        <w:rPr>
          <w:rFonts w:ascii="Arial" w:hAnsi="Arial" w:cs="Arial"/>
          <w:i w:val="0"/>
          <w:sz w:val="22"/>
          <w:szCs w:val="22"/>
        </w:rPr>
        <w:t>náměstí Generála Píky 2110/8, 326 00 Plzeň</w:t>
      </w:r>
    </w:p>
    <w:p w14:paraId="47549D99" w14:textId="6A815547" w:rsidR="00EA21B7" w:rsidRDefault="00812ED3" w:rsidP="001C3D00">
      <w:pPr>
        <w:pStyle w:val="Zkladntext"/>
        <w:spacing w:after="60"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AF2595">
        <w:rPr>
          <w:rFonts w:ascii="Arial" w:hAnsi="Arial" w:cs="Arial"/>
          <w:i w:val="0"/>
          <w:sz w:val="22"/>
          <w:szCs w:val="22"/>
        </w:rPr>
        <w:t>Klatovy</w:t>
      </w:r>
    </w:p>
    <w:p w14:paraId="08A5439C" w14:textId="593B84D1" w:rsidR="00812ED3" w:rsidRPr="00E93F51" w:rsidRDefault="00AF2595" w:rsidP="001C3D00">
      <w:pPr>
        <w:pStyle w:val="Zkladntext"/>
        <w:tabs>
          <w:tab w:val="left" w:pos="426"/>
        </w:tabs>
        <w:spacing w:after="6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470FA5">
        <w:rPr>
          <w:rFonts w:ascii="Arial" w:hAnsi="Arial" w:cs="Arial"/>
          <w:b w:val="0"/>
          <w:i w:val="0"/>
          <w:sz w:val="22"/>
          <w:szCs w:val="22"/>
        </w:rPr>
        <w:tab/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 w:rsidR="00D955E4">
        <w:rPr>
          <w:rFonts w:ascii="Arial" w:hAnsi="Arial" w:cs="Arial"/>
          <w:b w:val="0"/>
          <w:i w:val="0"/>
          <w:sz w:val="22"/>
          <w:szCs w:val="22"/>
        </w:rPr>
        <w:t xml:space="preserve"> Čapkova 127/V, 339 01 Klatovy</w:t>
      </w:r>
    </w:p>
    <w:p w14:paraId="142ECB2E" w14:textId="68C2CAD4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ind w:left="4963" w:hanging="4962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="00470FA5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 w:rsidR="00B55FAB">
        <w:rPr>
          <w:rFonts w:ascii="Arial" w:hAnsi="Arial" w:cs="Arial"/>
          <w:sz w:val="22"/>
          <w:szCs w:val="22"/>
        </w:rPr>
        <w:t>M</w:t>
      </w:r>
      <w:r w:rsidR="00901229">
        <w:rPr>
          <w:rFonts w:ascii="Arial" w:hAnsi="Arial" w:cs="Arial"/>
          <w:sz w:val="22"/>
          <w:szCs w:val="22"/>
        </w:rPr>
        <w:t>gr. Ing. Lenkou Přecechtělovou, vedoucí Pobočky Klatovy</w:t>
      </w:r>
    </w:p>
    <w:p w14:paraId="623559F5" w14:textId="794DA72B" w:rsidR="00EA21B7" w:rsidRPr="00E93F51" w:rsidRDefault="00EA21B7" w:rsidP="001C3D00">
      <w:pPr>
        <w:pStyle w:val="Bezmezer"/>
        <w:tabs>
          <w:tab w:val="left" w:pos="426"/>
          <w:tab w:val="left" w:pos="4536"/>
        </w:tabs>
        <w:spacing w:after="60"/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="00470FA5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4A1F82">
        <w:rPr>
          <w:rFonts w:ascii="Arial" w:hAnsi="Arial" w:cs="Arial"/>
          <w:sz w:val="22"/>
          <w:szCs w:val="22"/>
        </w:rPr>
        <w:t>Mgr. Ing. Lenka Přecechtělová, vedoucí Pobočky Klatovy</w:t>
      </w:r>
    </w:p>
    <w:p w14:paraId="4011BF84" w14:textId="06991C9D" w:rsidR="00EA21B7" w:rsidRPr="00470FA5" w:rsidRDefault="00470FA5" w:rsidP="001C3D00">
      <w:pPr>
        <w:pStyle w:val="Bezmezer"/>
        <w:tabs>
          <w:tab w:val="left" w:pos="426"/>
          <w:tab w:val="left" w:pos="4962"/>
        </w:tabs>
        <w:spacing w:after="60"/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 xml:space="preserve">v </w:t>
      </w:r>
      <w:r w:rsidR="00EA21B7"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EA21B7" w:rsidRPr="00E93F51">
        <w:rPr>
          <w:rFonts w:ascii="Arial" w:hAnsi="Arial" w:cs="Arial"/>
          <w:snapToGrid w:val="0"/>
          <w:sz w:val="22"/>
          <w:szCs w:val="22"/>
        </w:rPr>
        <w:tab/>
      </w:r>
      <w:r w:rsidR="004A1F82">
        <w:rPr>
          <w:rFonts w:ascii="Arial" w:hAnsi="Arial" w:cs="Arial"/>
          <w:snapToGrid w:val="0"/>
          <w:sz w:val="22"/>
          <w:szCs w:val="22"/>
        </w:rPr>
        <w:t xml:space="preserve">Ing. Martin Gajárek, </w:t>
      </w:r>
      <w:r w:rsidR="002E6FB9">
        <w:rPr>
          <w:rFonts w:ascii="Arial" w:hAnsi="Arial" w:cs="Arial"/>
          <w:snapToGrid w:val="0"/>
          <w:sz w:val="22"/>
          <w:szCs w:val="22"/>
        </w:rPr>
        <w:t>samostatný odborný referent, Pobočka Klatovy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663ABC57" w:rsidR="00EA21B7" w:rsidRPr="00E93F51" w:rsidRDefault="00470FA5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>Tel.:</w:t>
      </w:r>
      <w:r w:rsidR="00EA21B7" w:rsidRPr="00E93F51">
        <w:rPr>
          <w:rFonts w:ascii="Arial" w:hAnsi="Arial" w:cs="Arial"/>
          <w:sz w:val="22"/>
          <w:szCs w:val="22"/>
        </w:rPr>
        <w:tab/>
        <w:t>+420</w:t>
      </w:r>
      <w:r w:rsidR="001B383E">
        <w:rPr>
          <w:rFonts w:ascii="Arial" w:hAnsi="Arial" w:cs="Arial"/>
          <w:sz w:val="22"/>
          <w:szCs w:val="22"/>
        </w:rPr>
        <w:t> 721 141 389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5CB46D7D" w:rsidR="00EA21B7" w:rsidRPr="00E93F51" w:rsidRDefault="00470FA5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>E-mail:</w:t>
      </w:r>
      <w:r w:rsidR="00EA21B7"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1B383E" w:rsidRPr="00D334FF">
          <w:rPr>
            <w:rStyle w:val="Hypertextovodkaz"/>
            <w:rFonts w:ascii="Arial" w:hAnsi="Arial" w:cs="Arial"/>
            <w:sz w:val="22"/>
            <w:szCs w:val="22"/>
          </w:rPr>
          <w:t>martin.gajarek@spu.gov.cz</w:t>
        </w:r>
      </w:hyperlink>
      <w:r w:rsidR="001B383E">
        <w:rPr>
          <w:rFonts w:ascii="Arial" w:hAnsi="Arial" w:cs="Arial"/>
          <w:sz w:val="22"/>
          <w:szCs w:val="22"/>
        </w:rPr>
        <w:t xml:space="preserve"> </w:t>
      </w:r>
    </w:p>
    <w:p w14:paraId="5E2C97FB" w14:textId="26AE7288" w:rsidR="00EA21B7" w:rsidRPr="00E93F51" w:rsidRDefault="00470FA5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bookmarkStart w:id="0" w:name="_Hlk16151972"/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>ID DS:</w:t>
      </w:r>
      <w:bookmarkEnd w:id="0"/>
      <w:r w:rsidR="00EA21B7"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09B2F581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470FA5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5BDFDD75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470FA5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061CBA56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470FA5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29F9832E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470FA5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5F341345" w:rsidR="004F5D4D" w:rsidRPr="00E93F51" w:rsidRDefault="00470FA5" w:rsidP="00470FA5">
      <w:pPr>
        <w:pStyle w:val="Zkladntext"/>
        <w:tabs>
          <w:tab w:val="left" w:pos="426"/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</w:r>
      <w:r w:rsidR="004F5D4D"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="004F5D4D" w:rsidRPr="00E93F51">
        <w:rPr>
          <w:rFonts w:ascii="Arial" w:hAnsi="Arial" w:cs="Arial"/>
          <w:i w:val="0"/>
          <w:sz w:val="22"/>
          <w:szCs w:val="22"/>
        </w:rPr>
        <w:t>objednatel</w:t>
      </w:r>
      <w:r w:rsidR="004F5D4D"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0822DF2" w14:textId="77777777" w:rsidR="0038312D" w:rsidRDefault="0038312D" w:rsidP="0038312D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7D2994A5" w14:textId="77777777" w:rsidR="0038312D" w:rsidRDefault="0038312D" w:rsidP="0038312D">
      <w:pPr>
        <w:tabs>
          <w:tab w:val="left" w:pos="5103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AD7297">
        <w:rPr>
          <w:rFonts w:ascii="Arial" w:hAnsi="Arial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/>
          <w:sz w:val="22"/>
          <w:szCs w:val="22"/>
        </w:rPr>
      </w:r>
      <w:r w:rsidRPr="00AD7297">
        <w:rPr>
          <w:rFonts w:ascii="Arial" w:hAnsi="Arial" w:cs="Arial"/>
          <w:b/>
          <w:sz w:val="22"/>
          <w:szCs w:val="22"/>
        </w:rPr>
        <w:fldChar w:fldCharType="separate"/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fldChar w:fldCharType="end"/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3F38882F" w14:textId="77777777" w:rsidR="0038312D" w:rsidRPr="00E93F51" w:rsidRDefault="0038312D" w:rsidP="0038312D">
      <w:pPr>
        <w:tabs>
          <w:tab w:val="left" w:pos="5103"/>
        </w:tabs>
        <w:spacing w:after="60"/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Pr="00AD7297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Cs/>
          <w:sz w:val="22"/>
          <w:szCs w:val="22"/>
        </w:rPr>
      </w:r>
      <w:r w:rsidRPr="00AD7297">
        <w:rPr>
          <w:rFonts w:ascii="Arial" w:hAnsi="Arial" w:cs="Arial"/>
          <w:bCs/>
          <w:sz w:val="22"/>
          <w:szCs w:val="22"/>
        </w:rPr>
        <w:fldChar w:fldCharType="separate"/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fldChar w:fldCharType="end"/>
      </w:r>
    </w:p>
    <w:p w14:paraId="76CD51DB" w14:textId="77777777" w:rsidR="0038312D" w:rsidRDefault="0038312D" w:rsidP="0038312D">
      <w:pPr>
        <w:spacing w:after="60"/>
        <w:ind w:left="5103" w:right="-426" w:hanging="5103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AD7297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Cs/>
          <w:sz w:val="22"/>
          <w:szCs w:val="22"/>
        </w:rPr>
      </w:r>
      <w:r w:rsidRPr="00AD7297">
        <w:rPr>
          <w:rFonts w:ascii="Arial" w:hAnsi="Arial" w:cs="Arial"/>
          <w:bCs/>
          <w:sz w:val="22"/>
          <w:szCs w:val="22"/>
        </w:rPr>
        <w:fldChar w:fldCharType="separate"/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3DCA3625" w14:textId="77777777" w:rsidR="0038312D" w:rsidRPr="00E93F51" w:rsidRDefault="0038312D" w:rsidP="0038312D">
      <w:pPr>
        <w:spacing w:after="60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118BFF63" w14:textId="77777777" w:rsidR="0038312D" w:rsidRPr="00E93F51" w:rsidRDefault="0038312D" w:rsidP="0038312D">
      <w:pPr>
        <w:tabs>
          <w:tab w:val="left" w:pos="5103"/>
        </w:tabs>
        <w:spacing w:after="6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42D1398E" w14:textId="77777777" w:rsidR="0038312D" w:rsidRPr="00E93F51" w:rsidRDefault="0038312D" w:rsidP="0038312D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6F99C617" w14:textId="77777777" w:rsidR="0038312D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0"/>
        </w:rPr>
        <w:t xml:space="preserve"> </w:t>
      </w:r>
    </w:p>
    <w:p w14:paraId="79514176" w14:textId="77777777" w:rsidR="0038312D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</w:p>
    <w:p w14:paraId="3D49354B" w14:textId="77777777" w:rsidR="0038312D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</w:p>
    <w:p w14:paraId="3C8E479A" w14:textId="77777777" w:rsidR="0038312D" w:rsidRPr="00E93F51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95DB21E" w14:textId="77777777" w:rsidR="0038312D" w:rsidRPr="00E93F51" w:rsidRDefault="0038312D" w:rsidP="0038312D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5A86F433" w14:textId="77777777" w:rsidR="0038312D" w:rsidRPr="00E30D65" w:rsidRDefault="0038312D" w:rsidP="0038312D">
      <w:pPr>
        <w:tabs>
          <w:tab w:val="left" w:pos="5103"/>
        </w:tabs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DC3EC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0D65">
        <w:rPr>
          <w:rFonts w:ascii="Arial" w:hAnsi="Arial" w:cs="Arial"/>
          <w:b/>
          <w:bCs/>
          <w:sz w:val="22"/>
          <w:szCs w:val="20"/>
          <w:highlight w:val="yellow"/>
        </w:rPr>
        <w:t xml:space="preserve">je/není </w:t>
      </w:r>
      <w:r w:rsidRPr="00E30D65">
        <w:rPr>
          <w:rFonts w:ascii="Arial" w:hAnsi="Arial" w:cs="Arial"/>
          <w:b/>
          <w:bCs/>
          <w:snapToGrid w:val="0"/>
          <w:sz w:val="22"/>
          <w:szCs w:val="22"/>
          <w:highlight w:val="yellow"/>
          <w:lang w:val="en-US"/>
        </w:rPr>
        <w:t>plátcem DPH</w:t>
      </w:r>
    </w:p>
    <w:p w14:paraId="4181FD7B" w14:textId="77777777" w:rsidR="0038312D" w:rsidRDefault="0038312D" w:rsidP="00C72E36">
      <w:pPr>
        <w:tabs>
          <w:tab w:val="left" w:pos="5103"/>
        </w:tabs>
        <w:spacing w:before="60" w:after="120"/>
        <w:jc w:val="both"/>
        <w:rPr>
          <w:rFonts w:ascii="Arial" w:hAnsi="Arial" w:cs="Arial"/>
          <w:b/>
          <w:sz w:val="22"/>
          <w:szCs w:val="20"/>
          <w:highlight w:val="darkYellow"/>
        </w:rPr>
      </w:pPr>
      <w:r w:rsidRPr="00E93F51">
        <w:rPr>
          <w:rFonts w:ascii="Arial" w:hAnsi="Arial" w:cs="Arial"/>
          <w:sz w:val="22"/>
          <w:szCs w:val="22"/>
        </w:rPr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0"/>
        </w:rPr>
        <w:t xml:space="preserve">soudu v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32E629F5" w14:textId="77777777" w:rsidR="0038312D" w:rsidRPr="00E93F51" w:rsidRDefault="0038312D" w:rsidP="0038312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D73E093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5B3448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661EB">
        <w:rPr>
          <w:rStyle w:val="Siln"/>
          <w:rFonts w:ascii="Arial" w:hAnsi="Arial" w:cs="Arial"/>
          <w:b w:val="0"/>
          <w:sz w:val="22"/>
          <w:szCs w:val="22"/>
        </w:rPr>
        <w:t>P 3453/2025-504203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D661EB">
        <w:rPr>
          <w:rStyle w:val="Siln"/>
          <w:rFonts w:ascii="Arial" w:hAnsi="Arial" w:cs="Arial"/>
          <w:sz w:val="22"/>
          <w:szCs w:val="22"/>
        </w:rPr>
        <w:t>Geotechnický průzkum pro KoPÚ v k.ú. Trnčí</w:t>
      </w:r>
      <w:bookmarkStart w:id="2" w:name="_Ref368937392"/>
      <w:r w:rsidR="00F35FCF" w:rsidRPr="00E93F51">
        <w:rPr>
          <w:rStyle w:val="Siln"/>
          <w:rFonts w:ascii="Arial" w:hAnsi="Arial" w:cs="Arial"/>
          <w:sz w:val="22"/>
          <w:szCs w:val="22"/>
        </w:rPr>
        <w:t>“.</w:t>
      </w:r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F1159A">
        <w:rPr>
          <w:rFonts w:ascii="Arial" w:hAnsi="Arial" w:cs="Arial"/>
          <w:sz w:val="22"/>
          <w:szCs w:val="22"/>
        </w:rPr>
        <w:t>Trnčí.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27DD9CA5" w:rsidR="008325A1" w:rsidRPr="00F35FCF" w:rsidRDefault="008325A1" w:rsidP="00F35FCF">
      <w:pPr>
        <w:pStyle w:val="Bezmezer"/>
        <w:spacing w:line="276" w:lineRule="auto"/>
        <w:ind w:left="709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F35FCF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F35FCF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F35FCF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F35FCF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F35FCF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F35FCF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F35FC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F35FCF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F605DB">
      <w:pPr>
        <w:pStyle w:val="Bezmezer"/>
        <w:numPr>
          <w:ilvl w:val="0"/>
          <w:numId w:val="3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F605DB">
      <w:pPr>
        <w:pStyle w:val="Odstavecseseznamem"/>
        <w:numPr>
          <w:ilvl w:val="0"/>
          <w:numId w:val="3"/>
        </w:numPr>
        <w:spacing w:after="40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Zhotovitel prohlašuje, že je ke všem výše uvedeným činnostem odborně způsobilý, a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je držitelem všech potřebných oprávnění a autorizací v souladu s právními předpisy, nebo si je sám na své náklady zajistí.</w:t>
      </w:r>
    </w:p>
    <w:p w14:paraId="78588D38" w14:textId="0E613931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Style w:val="Siln"/>
          <w:b w:val="0"/>
        </w:rPr>
        <w:t xml:space="preserve">Čl. </w:t>
      </w:r>
      <w:r w:rsidR="0053634B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AD3B0E8" w:rsidR="00F87A5F" w:rsidRPr="00E93F51" w:rsidRDefault="00F87A5F" w:rsidP="00F605DB">
      <w:pPr>
        <w:pStyle w:val="Bezmezer"/>
        <w:numPr>
          <w:ilvl w:val="0"/>
          <w:numId w:val="26"/>
        </w:numPr>
        <w:spacing w:after="40" w:line="276" w:lineRule="auto"/>
        <w:ind w:left="709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63BF9" w:rsidRPr="00AF21F2">
        <w:rPr>
          <w:rStyle w:val="Siln"/>
          <w:rFonts w:ascii="Arial" w:hAnsi="Arial" w:cs="Arial"/>
          <w:bCs w:val="0"/>
          <w:sz w:val="22"/>
          <w:szCs w:val="22"/>
        </w:rPr>
        <w:t>30. 09. 2025.</w:t>
      </w:r>
    </w:p>
    <w:p w14:paraId="64048125" w14:textId="612C135E" w:rsidR="000B15D9" w:rsidRPr="00E93F51" w:rsidRDefault="000B15D9" w:rsidP="00F605DB">
      <w:pPr>
        <w:pStyle w:val="Bezmezer"/>
        <w:numPr>
          <w:ilvl w:val="0"/>
          <w:numId w:val="26"/>
        </w:numPr>
        <w:spacing w:after="40"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ABE54CC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085C65">
        <w:rPr>
          <w:rStyle w:val="Siln"/>
          <w:rFonts w:ascii="Arial" w:hAnsi="Arial" w:cs="Arial"/>
          <w:b w:val="0"/>
          <w:sz w:val="22"/>
          <w:szCs w:val="22"/>
        </w:rPr>
        <w:t>Plzeňský kraj, okres Klatovy, katastrální území Trnčí,</w:t>
      </w:r>
      <w:r w:rsidR="00085C6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AF21F2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AF21F2">
        <w:rPr>
          <w:rFonts w:cs="Arial"/>
          <w:szCs w:val="22"/>
          <w:u w:val="none"/>
        </w:rPr>
        <w:t>P</w:t>
      </w:r>
      <w:r w:rsidR="004E0081" w:rsidRPr="00AF21F2">
        <w:rPr>
          <w:rFonts w:cs="Arial"/>
          <w:szCs w:val="22"/>
          <w:u w:val="none"/>
        </w:rPr>
        <w:t xml:space="preserve">řevzetí </w:t>
      </w:r>
      <w:r w:rsidR="000675F3" w:rsidRPr="00AF21F2">
        <w:rPr>
          <w:rFonts w:cs="Arial"/>
          <w:szCs w:val="22"/>
          <w:u w:val="none"/>
        </w:rPr>
        <w:t>Díl</w:t>
      </w:r>
      <w:r w:rsidR="004E0081" w:rsidRPr="00AF21F2">
        <w:rPr>
          <w:rFonts w:cs="Arial"/>
          <w:szCs w:val="22"/>
          <w:u w:val="none"/>
        </w:rPr>
        <w:t>a</w:t>
      </w:r>
      <w:bookmarkEnd w:id="4"/>
    </w:p>
    <w:p w14:paraId="4F806BB6" w14:textId="05DC46CC" w:rsidR="008C6059" w:rsidRPr="00E93F51" w:rsidRDefault="008C6059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21F2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AF21F2">
        <w:rPr>
          <w:rFonts w:ascii="Arial" w:hAnsi="Arial" w:cs="Arial"/>
          <w:b w:val="0"/>
          <w:i w:val="0"/>
          <w:sz w:val="22"/>
          <w:szCs w:val="22"/>
        </w:rPr>
        <w:t>Dílo</w:t>
      </w:r>
      <w:r w:rsidRPr="00AF21F2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2B583F">
        <w:rPr>
          <w:rFonts w:ascii="Arial" w:hAnsi="Arial" w:cs="Arial"/>
          <w:b w:val="0"/>
          <w:i w:val="0"/>
          <w:sz w:val="22"/>
          <w:szCs w:val="22"/>
        </w:rPr>
        <w:t xml:space="preserve">            </w:t>
      </w:r>
      <w:r w:rsidR="008152C0" w:rsidRPr="00AF21F2">
        <w:rPr>
          <w:rFonts w:ascii="Arial" w:hAnsi="Arial" w:cs="Arial"/>
          <w:b w:val="0"/>
          <w:bCs/>
          <w:i w:val="0"/>
          <w:sz w:val="22"/>
          <w:szCs w:val="22"/>
          <w:lang w:val="en-US"/>
        </w:rPr>
        <w:t>30. 09. 2025</w:t>
      </w:r>
      <w:r w:rsidR="001C4016" w:rsidRPr="00AF21F2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AF21F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AF21F2">
        <w:rPr>
          <w:rFonts w:ascii="Arial" w:hAnsi="Arial" w:cs="Arial"/>
          <w:b w:val="0"/>
          <w:i w:val="0"/>
          <w:sz w:val="22"/>
          <w:szCs w:val="22"/>
        </w:rPr>
        <w:t>O předání díla bude smluvními stranami podepsán předávací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F605DB">
      <w:pPr>
        <w:pStyle w:val="Zkladntext"/>
        <w:spacing w:after="40"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02A8BE43" w:rsidR="00574F64" w:rsidRPr="00E93F51" w:rsidRDefault="004E0081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6D1DF277" w:rsidR="00833D15" w:rsidRPr="00E93F51" w:rsidRDefault="00833D15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F16A399" w14:textId="1D959A00" w:rsidR="000410B2" w:rsidRPr="00E93F51" w:rsidRDefault="000410B2" w:rsidP="000410B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end"/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t>,-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728ED582" w14:textId="3DE19CB5" w:rsidR="000410B2" w:rsidRPr="00E93F51" w:rsidRDefault="000410B2" w:rsidP="000410B2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2B5F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end"/>
      </w:r>
      <w:r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6CA1CD84" w14:textId="77777777" w:rsidR="000410B2" w:rsidRPr="00E93F51" w:rsidRDefault="000410B2" w:rsidP="002B5F23">
      <w:pPr>
        <w:pStyle w:val="Zkladntext"/>
        <w:tabs>
          <w:tab w:val="left" w:pos="496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end"/>
      </w:r>
      <w:r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Pr="008F7D6E">
        <w:rPr>
          <w:rFonts w:ascii="Arial" w:hAnsi="Arial" w:cs="Arial"/>
          <w:b w:val="0"/>
          <w:i w:val="0"/>
          <w:sz w:val="22"/>
          <w:szCs w:val="22"/>
        </w:rPr>
        <w:t>Kč</w:t>
      </w:r>
      <w:r w:rsidRPr="008F7D6E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1656335F" w14:textId="77777777" w:rsidR="000410B2" w:rsidRPr="000410B2" w:rsidRDefault="000410B2" w:rsidP="000410B2">
      <w:pPr>
        <w:pStyle w:val="Default"/>
        <w:spacing w:before="120"/>
        <w:ind w:firstLine="709"/>
        <w:rPr>
          <w:rStyle w:val="l-L2Char"/>
          <w:rFonts w:cs="Arial"/>
          <w:b/>
          <w:bCs/>
          <w:color w:val="00B0F0"/>
          <w:szCs w:val="22"/>
        </w:rPr>
      </w:pPr>
      <w:bookmarkStart w:id="11" w:name="_Hlk36122845"/>
      <w:bookmarkStart w:id="12" w:name="_Hlk36122353"/>
      <w:r w:rsidRPr="000410B2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(Cena bude uváděna na haléře, tj. na 2 desetinná místa)</w:t>
      </w:r>
      <w:bookmarkEnd w:id="11"/>
      <w:bookmarkEnd w:id="12"/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700BE16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12571670" w:rsidR="0032540B" w:rsidRPr="00E93F51" w:rsidRDefault="0032540B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43B39D96" w:rsidR="004E2109" w:rsidRPr="00E93F51" w:rsidRDefault="004E2109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3460410B" w:rsidR="00D82157" w:rsidRPr="00E93F51" w:rsidRDefault="00192E89" w:rsidP="00AA36F3">
      <w:pPr>
        <w:pStyle w:val="Odstavecseseznamem"/>
        <w:numPr>
          <w:ilvl w:val="0"/>
          <w:numId w:val="6"/>
        </w:numPr>
        <w:spacing w:after="40"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063E2B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063E2B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0B55DA23" w:rsidR="00192E89" w:rsidRPr="00E93F51" w:rsidRDefault="006A6193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779E32CC" w:rsidR="004641A4" w:rsidRPr="00E93F51" w:rsidRDefault="004641A4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B0FC442" w:rsidR="004641A4" w:rsidRPr="00E93F51" w:rsidRDefault="004641A4" w:rsidP="00AA36F3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5"/>
    </w:p>
    <w:p w14:paraId="1929EE95" w14:textId="76EEDB97" w:rsidR="00AB02DC" w:rsidRPr="00E93F51" w:rsidRDefault="00AB02DC" w:rsidP="00100A0F">
      <w:pPr>
        <w:pStyle w:val="Bezmezer"/>
        <w:numPr>
          <w:ilvl w:val="0"/>
          <w:numId w:val="7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00A0F">
      <w:pPr>
        <w:pStyle w:val="Odstavecseseznamem"/>
        <w:numPr>
          <w:ilvl w:val="0"/>
          <w:numId w:val="7"/>
        </w:numPr>
        <w:spacing w:after="40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100A0F">
      <w:pPr>
        <w:pStyle w:val="Bezmezer"/>
        <w:numPr>
          <w:ilvl w:val="0"/>
          <w:numId w:val="7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E93F51" w:rsidRDefault="00CF2137" w:rsidP="00100A0F">
      <w:pPr>
        <w:pStyle w:val="Bezmezer"/>
        <w:numPr>
          <w:ilvl w:val="0"/>
          <w:numId w:val="7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0EF2734" w:rsidR="00192E89" w:rsidRPr="00E93F51" w:rsidRDefault="00192E89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D271BB6" w:rsidR="00192E89" w:rsidRDefault="00192E89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7F7542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1D3AE60A" w:rsidR="00384B09" w:rsidRPr="00EA29FD" w:rsidRDefault="00384B09" w:rsidP="000301CC">
      <w:pPr>
        <w:pStyle w:val="Odstavecseseznamem"/>
        <w:numPr>
          <w:ilvl w:val="0"/>
          <w:numId w:val="8"/>
        </w:numPr>
        <w:spacing w:after="40"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</w:t>
      </w:r>
      <w:r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smlouvy se sjednává smluvní pokuta ve výši 0,2</w:t>
      </w:r>
      <w:r w:rsidR="003B06F0"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0F5550"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,</w:t>
      </w:r>
      <w:r w:rsidR="004568DC" w:rsidRPr="0063318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01D4A" w:rsidRPr="0063318B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63318B">
        <w:rPr>
          <w:rFonts w:ascii="Arial" w:hAnsi="Arial" w:cs="Arial"/>
          <w:bCs/>
          <w:sz w:val="22"/>
          <w:szCs w:val="22"/>
          <w:lang w:val="en-US"/>
        </w:rPr>
        <w:t xml:space="preserve"> 2 500 Kč</w:t>
      </w:r>
      <w:r w:rsidR="004568DC" w:rsidRPr="0063318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0301CC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1224B4B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0CE386F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023A83C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 w:rsidRPr="0053634B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3634B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5327F8">
      <w:pPr>
        <w:pStyle w:val="Bezmezer"/>
        <w:numPr>
          <w:ilvl w:val="1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6A94AF1" w:rsidR="00E411CD" w:rsidRPr="00F656C6" w:rsidRDefault="00E411CD" w:rsidP="005327F8">
      <w:pPr>
        <w:pStyle w:val="Odstavecseseznamem"/>
        <w:numPr>
          <w:ilvl w:val="0"/>
          <w:numId w:val="49"/>
        </w:numPr>
        <w:spacing w:after="40"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</w:t>
      </w:r>
      <w:r w:rsidRPr="00965E97">
        <w:rPr>
          <w:rFonts w:ascii="Arial" w:hAnsi="Arial" w:cs="Arial"/>
          <w:bCs/>
          <w:sz w:val="22"/>
          <w:szCs w:val="22"/>
        </w:rPr>
        <w:t xml:space="preserve">souvislosti s výkonem jeho činnosti, </w:t>
      </w:r>
      <w:r w:rsidRPr="00EA20F0">
        <w:rPr>
          <w:rFonts w:ascii="Arial" w:hAnsi="Arial" w:cs="Arial"/>
          <w:bCs/>
          <w:sz w:val="22"/>
          <w:szCs w:val="22"/>
          <w:highlight w:val="yellow"/>
        </w:rPr>
        <w:t xml:space="preserve">ve výši nejméně </w:t>
      </w:r>
      <w:r w:rsidR="00A86E89" w:rsidRPr="00EA20F0">
        <w:rPr>
          <w:rFonts w:ascii="Arial" w:hAnsi="Arial" w:cs="Arial"/>
          <w:bCs/>
          <w:sz w:val="22"/>
          <w:szCs w:val="22"/>
          <w:highlight w:val="yellow"/>
        </w:rPr>
        <w:t>500</w:t>
      </w:r>
      <w:r w:rsidR="00965E97" w:rsidRPr="00EA20F0">
        <w:rPr>
          <w:rFonts w:ascii="Arial" w:hAnsi="Arial" w:cs="Arial"/>
          <w:bCs/>
          <w:sz w:val="22"/>
          <w:szCs w:val="22"/>
          <w:highlight w:val="yellow"/>
        </w:rPr>
        <w:t> </w:t>
      </w:r>
      <w:r w:rsidR="00A86E89" w:rsidRPr="00EA20F0">
        <w:rPr>
          <w:rFonts w:ascii="Arial" w:hAnsi="Arial" w:cs="Arial"/>
          <w:bCs/>
          <w:sz w:val="22"/>
          <w:szCs w:val="22"/>
          <w:highlight w:val="yellow"/>
        </w:rPr>
        <w:t>000</w:t>
      </w:r>
      <w:r w:rsidR="00965E97" w:rsidRPr="00EA20F0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EA20F0">
        <w:rPr>
          <w:rFonts w:ascii="Arial" w:hAnsi="Arial" w:cs="Arial"/>
          <w:bCs/>
          <w:sz w:val="22"/>
          <w:szCs w:val="22"/>
          <w:highlight w:val="yellow"/>
        </w:rPr>
        <w:t>Kč</w:t>
      </w:r>
      <w:r w:rsidRPr="00965E97">
        <w:rPr>
          <w:rFonts w:ascii="Arial" w:hAnsi="Arial" w:cs="Arial"/>
          <w:bCs/>
          <w:sz w:val="22"/>
          <w:szCs w:val="22"/>
        </w:rPr>
        <w:t>. Při podpisu této smlouvy</w:t>
      </w:r>
      <w:r w:rsidRPr="00743BE9">
        <w:rPr>
          <w:rFonts w:ascii="Arial" w:hAnsi="Arial" w:cs="Arial"/>
          <w:bCs/>
          <w:sz w:val="22"/>
          <w:szCs w:val="22"/>
        </w:rPr>
        <w:t xml:space="preserve">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65E97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7" w:name="_Ref368989260"/>
      <w:r w:rsidRPr="00E93F51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Default="00192E89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EA29FD" w:rsidRDefault="00890AEC" w:rsidP="005327F8">
      <w:pPr>
        <w:pStyle w:val="Odstavecseseznamem"/>
        <w:numPr>
          <w:ilvl w:val="0"/>
          <w:numId w:val="10"/>
        </w:numPr>
        <w:spacing w:after="40"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E93F51" w:rsidRDefault="00192E89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5E419A1" w:rsidR="0076646C" w:rsidRDefault="00F96E2D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7D77D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965E97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784D94D1" w14:textId="77777777" w:rsidR="00EE552D" w:rsidRDefault="00EE552D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E8334D5" w14:textId="00D4A1BE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66A9" w:rsidRPr="00E93F51" w14:paraId="76AC1034" w14:textId="77777777" w:rsidTr="00571909">
        <w:tc>
          <w:tcPr>
            <w:tcW w:w="4606" w:type="dxa"/>
            <w:shd w:val="clear" w:color="auto" w:fill="auto"/>
          </w:tcPr>
          <w:p w14:paraId="023FDECC" w14:textId="1C0EE541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Klatovech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606" w:type="dxa"/>
            <w:shd w:val="clear" w:color="auto" w:fill="auto"/>
          </w:tcPr>
          <w:p w14:paraId="6752E24B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dne 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71C03B33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0314DC99" w14:textId="77777777" w:rsidTr="00571909">
        <w:tc>
          <w:tcPr>
            <w:tcW w:w="4606" w:type="dxa"/>
            <w:shd w:val="clear" w:color="auto" w:fill="auto"/>
          </w:tcPr>
          <w:p w14:paraId="41F6A4AF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2E18A8EA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E866A9" w:rsidRPr="00E93F51" w14:paraId="3E5D4FD0" w14:textId="77777777" w:rsidTr="00571909">
        <w:tc>
          <w:tcPr>
            <w:tcW w:w="4606" w:type="dxa"/>
            <w:shd w:val="clear" w:color="auto" w:fill="auto"/>
          </w:tcPr>
          <w:p w14:paraId="525F86EA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5C794BB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4A18C9F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49C7C91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638120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05F16F28" w14:textId="77777777" w:rsidTr="00571909">
        <w:tc>
          <w:tcPr>
            <w:tcW w:w="4606" w:type="dxa"/>
            <w:shd w:val="clear" w:color="auto" w:fill="auto"/>
          </w:tcPr>
          <w:p w14:paraId="1CCBB855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E6B5039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E866A9" w:rsidRPr="00E93F51" w14:paraId="03C68F08" w14:textId="77777777" w:rsidTr="00571909">
        <w:tc>
          <w:tcPr>
            <w:tcW w:w="4606" w:type="dxa"/>
            <w:shd w:val="clear" w:color="auto" w:fill="auto"/>
          </w:tcPr>
          <w:p w14:paraId="1A41F9D8" w14:textId="4C7A2B80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Ing. Lenka Přecechtělová</w:t>
            </w:r>
          </w:p>
          <w:p w14:paraId="701AA2AA" w14:textId="717D2BF4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Klatovy</w:t>
            </w:r>
          </w:p>
          <w:p w14:paraId="48DF53BC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3A9C366D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15E0D95A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6DFF1ECB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6F4D4E6D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510BDAC8" w14:textId="77777777" w:rsidTr="00571909">
        <w:tc>
          <w:tcPr>
            <w:tcW w:w="4606" w:type="dxa"/>
            <w:shd w:val="clear" w:color="auto" w:fill="auto"/>
          </w:tcPr>
          <w:p w14:paraId="7369DAE1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EFED3B0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43300744" w14:textId="77777777" w:rsidTr="00571909">
        <w:tc>
          <w:tcPr>
            <w:tcW w:w="4606" w:type="dxa"/>
            <w:shd w:val="clear" w:color="auto" w:fill="auto"/>
          </w:tcPr>
          <w:p w14:paraId="4ED50E4F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E92DCDE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4B0E9A82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1B0BA825" w14:textId="68FB47DA" w:rsidR="00AC58BD" w:rsidRPr="00E93F51" w:rsidRDefault="00AC58BD" w:rsidP="00DD5789">
      <w:pPr>
        <w:framePr w:w="9866" w:h="2829" w:hRule="exact" w:wrap="notBeside" w:vAnchor="text" w:hAnchor="page" w:x="1033" w:y="914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EE552D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52E8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E8E5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FDE8" w14:textId="5D0A3F42" w:rsidR="00AC58BD" w:rsidRPr="00E93F51" w:rsidRDefault="0086031A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F313" w14:textId="71E5B9C4" w:rsidR="00AC58BD" w:rsidRPr="00E93F51" w:rsidRDefault="0086031A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150E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463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638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EE552D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8B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DD5789">
      <w:pPr>
        <w:widowControl w:val="0"/>
        <w:tabs>
          <w:tab w:val="left" w:pos="1814"/>
        </w:tabs>
        <w:spacing w:before="60" w:line="276" w:lineRule="auto"/>
        <w:ind w:left="1815" w:right="142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DD5789">
      <w:pPr>
        <w:widowControl w:val="0"/>
        <w:spacing w:after="60" w:line="307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20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20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lastRenderedPageBreak/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EE552D">
        <w:trPr>
          <w:trHeight w:hRule="exact"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DAD9C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A1CA7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EE552D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10C64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52DE5" w14:textId="455FFE04" w:rsidR="00AF35CF" w:rsidRPr="00E93F51" w:rsidRDefault="00AF35CF" w:rsidP="00EE552D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EE552D">
        <w:trPr>
          <w:trHeight w:hRule="exact"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1BDD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BF2E2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EE552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F504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67F87" w14:textId="77777777" w:rsidR="00AF35CF" w:rsidRPr="00E93F51" w:rsidRDefault="00AF35CF" w:rsidP="00EE552D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EE552D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B263B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6815F" w14:textId="77777777" w:rsidR="00AF35CF" w:rsidRPr="00E93F51" w:rsidRDefault="00AF35CF" w:rsidP="00EE552D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EE552D">
        <w:trPr>
          <w:trHeight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2BDC7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72DA5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EE552D">
        <w:trPr>
          <w:trHeight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A8231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5A67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EE552D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01C9" w14:textId="77777777" w:rsidR="00AF35CF" w:rsidRPr="00E93F51" w:rsidRDefault="00AF35CF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8672C" w14:textId="77777777" w:rsidR="00AF35CF" w:rsidRPr="00E93F51" w:rsidRDefault="00AF35CF" w:rsidP="00EE552D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EE552D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0EF5A" w14:textId="77777777" w:rsidR="00AF35CF" w:rsidRPr="00E93F51" w:rsidRDefault="00AF35CF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B27BC" w14:textId="77777777" w:rsidR="00AF35CF" w:rsidRPr="00E93F51" w:rsidRDefault="00AF35CF" w:rsidP="00EE552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EE552D">
            <w:pPr>
              <w:spacing w:before="1" w:line="239" w:lineRule="auto"/>
              <w:ind w:left="101" w:right="349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EE552D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B8E7B" w14:textId="77777777" w:rsidR="00AF35CF" w:rsidRPr="00E93F51" w:rsidRDefault="00AF35CF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60590" w14:textId="77777777" w:rsidR="00AF35CF" w:rsidRPr="00E93F51" w:rsidRDefault="00AF35CF" w:rsidP="00EE552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EE552D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0B31F" w14:textId="77777777" w:rsidR="006053C4" w:rsidRPr="00E93F51" w:rsidRDefault="006053C4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47E02" w14:textId="77777777" w:rsidR="006053C4" w:rsidRPr="00E93F51" w:rsidRDefault="006053C4" w:rsidP="00EE552D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649E4D4D" w:rsidR="00A85C66" w:rsidRPr="00E93F51" w:rsidRDefault="001C645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3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EE552D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A453C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A453C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A453C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6C6F1B71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A453C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A453C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A453C8">
        <w:trPr>
          <w:trHeight w:hRule="exact" w:val="34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A453C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453C8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25FA4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FA88" w14:textId="77777777" w:rsidR="00AF35CF" w:rsidRPr="00E93F51" w:rsidRDefault="00AF35CF" w:rsidP="00A453C8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A453C8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2734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B0EF" w14:textId="6990BA8A" w:rsidR="00AF35CF" w:rsidRPr="00E93F51" w:rsidRDefault="00AF35CF" w:rsidP="00A453C8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453C8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B4A3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D9EEB" w14:textId="77777777" w:rsidR="00AF35CF" w:rsidRPr="00E93F51" w:rsidRDefault="00AF35CF" w:rsidP="00A453C8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453C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2E95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C206" w14:textId="77777777" w:rsidR="00AF35CF" w:rsidRPr="00E93F51" w:rsidRDefault="00AF35CF" w:rsidP="00A453C8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A453C8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4D97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FCD" w14:textId="77777777" w:rsidR="00AF35CF" w:rsidRPr="00E93F51" w:rsidRDefault="00AF35CF" w:rsidP="00A453C8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453C8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7AC14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5CD3" w14:textId="77777777" w:rsidR="00AF35CF" w:rsidRPr="00E93F51" w:rsidRDefault="00AF35CF" w:rsidP="00A453C8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453C8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B507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B48" w14:textId="77777777" w:rsidR="00AF35CF" w:rsidRPr="00E93F51" w:rsidRDefault="00AF35CF" w:rsidP="00A453C8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A453C8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74170" w14:textId="77777777" w:rsidR="00AF35CF" w:rsidRPr="00E93F51" w:rsidRDefault="00AF35CF" w:rsidP="00A453C8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62082" w14:textId="77777777" w:rsidR="00AF35CF" w:rsidRPr="00E93F51" w:rsidRDefault="00AF35CF" w:rsidP="00A453C8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A453C8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DA24" w14:textId="77777777" w:rsidR="00AF35CF" w:rsidRPr="00E93F51" w:rsidRDefault="00AF35CF" w:rsidP="00A453C8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3D4B" w14:textId="77777777" w:rsidR="00AF35CF" w:rsidRPr="00E93F51" w:rsidRDefault="00AF35CF" w:rsidP="00A453C8">
            <w:pPr>
              <w:spacing w:before="1" w:line="239" w:lineRule="auto"/>
              <w:ind w:left="101" w:right="349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A453C8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B5B9" w14:textId="77777777" w:rsidR="006053C4" w:rsidRPr="00E93F51" w:rsidRDefault="006053C4" w:rsidP="00A453C8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2C7C" w14:textId="77777777" w:rsidR="006053C4" w:rsidRPr="00E93F51" w:rsidRDefault="006053C4" w:rsidP="00A453C8">
            <w:pPr>
              <w:spacing w:before="1" w:line="239" w:lineRule="auto"/>
              <w:ind w:left="101" w:right="34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435CEA81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5F2F25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75D3" w14:textId="77777777" w:rsidR="004500B8" w:rsidRDefault="004500B8">
      <w:r>
        <w:separator/>
      </w:r>
    </w:p>
  </w:endnote>
  <w:endnote w:type="continuationSeparator" w:id="0">
    <w:p w14:paraId="7120DEEE" w14:textId="77777777" w:rsidR="004500B8" w:rsidRDefault="004500B8">
      <w:r>
        <w:continuationSeparator/>
      </w:r>
    </w:p>
  </w:endnote>
  <w:endnote w:type="continuationNotice" w:id="1">
    <w:p w14:paraId="6AED1C4C" w14:textId="77777777" w:rsidR="004500B8" w:rsidRDefault="00450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584D" w14:textId="77777777" w:rsidR="004500B8" w:rsidRDefault="004500B8">
      <w:r>
        <w:separator/>
      </w:r>
    </w:p>
  </w:footnote>
  <w:footnote w:type="continuationSeparator" w:id="0">
    <w:p w14:paraId="740CF36E" w14:textId="77777777" w:rsidR="004500B8" w:rsidRDefault="004500B8">
      <w:r>
        <w:continuationSeparator/>
      </w:r>
    </w:p>
  </w:footnote>
  <w:footnote w:type="continuationNotice" w:id="1">
    <w:p w14:paraId="4B5C26B3" w14:textId="77777777" w:rsidR="004500B8" w:rsidRDefault="00450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B4C9" w14:textId="76C7A5FF" w:rsidR="005F2F25" w:rsidRPr="002437C4" w:rsidRDefault="005F2F25" w:rsidP="005F2F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091746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320F9DB" w14:textId="2E51F94D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70476E43" w14:textId="7108A7EB" w:rsidR="00CD0135" w:rsidRDefault="00CD0135" w:rsidP="00CD0135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</w:p>
  <w:p w14:paraId="5E434607" w14:textId="14A80735" w:rsidR="00CD0135" w:rsidRPr="004652E6" w:rsidRDefault="00CD0135" w:rsidP="00CD0135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Číslo smlouvy ISPU: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0gmbCMJzE/6xCuKPiFXqv3w16tEVfAvVZjTHJuvshgbyS3TNtSKUA/7X61PIwMIEl/hVBdKGTQtnn9ET71nIQ==" w:salt="gLkP32QDiUqmhAsz9lUUK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8A6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01CC"/>
    <w:rsid w:val="00032A28"/>
    <w:rsid w:val="00037D28"/>
    <w:rsid w:val="000410B2"/>
    <w:rsid w:val="00045553"/>
    <w:rsid w:val="00045800"/>
    <w:rsid w:val="00045B5B"/>
    <w:rsid w:val="00045F59"/>
    <w:rsid w:val="00046302"/>
    <w:rsid w:val="00051BE6"/>
    <w:rsid w:val="00051CE5"/>
    <w:rsid w:val="000521CC"/>
    <w:rsid w:val="00053587"/>
    <w:rsid w:val="00054BC5"/>
    <w:rsid w:val="00057718"/>
    <w:rsid w:val="00057F47"/>
    <w:rsid w:val="00060C4B"/>
    <w:rsid w:val="00063E2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5C65"/>
    <w:rsid w:val="0009174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5550"/>
    <w:rsid w:val="000F6035"/>
    <w:rsid w:val="00100A0F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383E"/>
    <w:rsid w:val="001B5B5F"/>
    <w:rsid w:val="001B7847"/>
    <w:rsid w:val="001C2A32"/>
    <w:rsid w:val="001C3D00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56FE2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B583F"/>
    <w:rsid w:val="002B5F23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6FB9"/>
    <w:rsid w:val="002E7E02"/>
    <w:rsid w:val="002F052C"/>
    <w:rsid w:val="002F1237"/>
    <w:rsid w:val="002F12C1"/>
    <w:rsid w:val="002F1BA4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5190"/>
    <w:rsid w:val="0031675A"/>
    <w:rsid w:val="003170A6"/>
    <w:rsid w:val="003217BA"/>
    <w:rsid w:val="003218EA"/>
    <w:rsid w:val="003225CC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1F5A"/>
    <w:rsid w:val="00353F49"/>
    <w:rsid w:val="003568DA"/>
    <w:rsid w:val="00356D3A"/>
    <w:rsid w:val="00361C60"/>
    <w:rsid w:val="003621B6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12D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C7E62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0624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00B8"/>
    <w:rsid w:val="0045232E"/>
    <w:rsid w:val="00452DF4"/>
    <w:rsid w:val="0045345D"/>
    <w:rsid w:val="004547C4"/>
    <w:rsid w:val="00456570"/>
    <w:rsid w:val="004568DC"/>
    <w:rsid w:val="00457555"/>
    <w:rsid w:val="004641A4"/>
    <w:rsid w:val="0046522A"/>
    <w:rsid w:val="004652E6"/>
    <w:rsid w:val="0047090A"/>
    <w:rsid w:val="00470FA5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1315"/>
    <w:rsid w:val="004A1F82"/>
    <w:rsid w:val="004A3833"/>
    <w:rsid w:val="004A522C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27F8"/>
    <w:rsid w:val="00534A15"/>
    <w:rsid w:val="0053634B"/>
    <w:rsid w:val="005405DF"/>
    <w:rsid w:val="005414C0"/>
    <w:rsid w:val="00545279"/>
    <w:rsid w:val="00545667"/>
    <w:rsid w:val="005457FC"/>
    <w:rsid w:val="00546F26"/>
    <w:rsid w:val="00547896"/>
    <w:rsid w:val="00547ADF"/>
    <w:rsid w:val="00547BD3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3448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221A"/>
    <w:rsid w:val="005F2F25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318B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1BE2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288B"/>
    <w:rsid w:val="007234D3"/>
    <w:rsid w:val="00724387"/>
    <w:rsid w:val="00724BEA"/>
    <w:rsid w:val="00725FD7"/>
    <w:rsid w:val="00727125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2F6B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D77D6"/>
    <w:rsid w:val="007E0057"/>
    <w:rsid w:val="007E2750"/>
    <w:rsid w:val="007E6F67"/>
    <w:rsid w:val="007F0CEA"/>
    <w:rsid w:val="007F551F"/>
    <w:rsid w:val="007F5AFE"/>
    <w:rsid w:val="007F5BED"/>
    <w:rsid w:val="007F65A1"/>
    <w:rsid w:val="007F7542"/>
    <w:rsid w:val="007F75A2"/>
    <w:rsid w:val="00802A01"/>
    <w:rsid w:val="00805C46"/>
    <w:rsid w:val="00807899"/>
    <w:rsid w:val="00812845"/>
    <w:rsid w:val="00812ED3"/>
    <w:rsid w:val="008131F3"/>
    <w:rsid w:val="0081348F"/>
    <w:rsid w:val="008152C0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0B5C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4832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1229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3BF9"/>
    <w:rsid w:val="009646CF"/>
    <w:rsid w:val="009651BE"/>
    <w:rsid w:val="009652CB"/>
    <w:rsid w:val="00965E97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6684"/>
    <w:rsid w:val="00997036"/>
    <w:rsid w:val="009A0EF5"/>
    <w:rsid w:val="009A6A8B"/>
    <w:rsid w:val="009B3E18"/>
    <w:rsid w:val="009B5CB4"/>
    <w:rsid w:val="009C010E"/>
    <w:rsid w:val="009C320E"/>
    <w:rsid w:val="009C52F7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BFD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3C8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76732"/>
    <w:rsid w:val="00A83C34"/>
    <w:rsid w:val="00A85C66"/>
    <w:rsid w:val="00A86E89"/>
    <w:rsid w:val="00A874AF"/>
    <w:rsid w:val="00A87AFD"/>
    <w:rsid w:val="00A87C6E"/>
    <w:rsid w:val="00A90FAC"/>
    <w:rsid w:val="00A936C4"/>
    <w:rsid w:val="00A9420E"/>
    <w:rsid w:val="00A96054"/>
    <w:rsid w:val="00AA36F3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21F2"/>
    <w:rsid w:val="00AF2595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55FAB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C74E6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2E36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6A30"/>
    <w:rsid w:val="00CC73C8"/>
    <w:rsid w:val="00CC7B7E"/>
    <w:rsid w:val="00CD0135"/>
    <w:rsid w:val="00CD107E"/>
    <w:rsid w:val="00CD1BC2"/>
    <w:rsid w:val="00CD20DA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0C50"/>
    <w:rsid w:val="00CF2137"/>
    <w:rsid w:val="00CF25BA"/>
    <w:rsid w:val="00CF263D"/>
    <w:rsid w:val="00CF30A6"/>
    <w:rsid w:val="00CF37E2"/>
    <w:rsid w:val="00CF54DB"/>
    <w:rsid w:val="00CF647C"/>
    <w:rsid w:val="00D00237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1094"/>
    <w:rsid w:val="00D52107"/>
    <w:rsid w:val="00D53D15"/>
    <w:rsid w:val="00D55029"/>
    <w:rsid w:val="00D61B2B"/>
    <w:rsid w:val="00D6237F"/>
    <w:rsid w:val="00D64478"/>
    <w:rsid w:val="00D65C68"/>
    <w:rsid w:val="00D65F0A"/>
    <w:rsid w:val="00D661EB"/>
    <w:rsid w:val="00D711C5"/>
    <w:rsid w:val="00D713DE"/>
    <w:rsid w:val="00D82157"/>
    <w:rsid w:val="00D824C4"/>
    <w:rsid w:val="00D85485"/>
    <w:rsid w:val="00D901F5"/>
    <w:rsid w:val="00D91A18"/>
    <w:rsid w:val="00D941F2"/>
    <w:rsid w:val="00D955E4"/>
    <w:rsid w:val="00D96BD8"/>
    <w:rsid w:val="00DA09F9"/>
    <w:rsid w:val="00DA1ACB"/>
    <w:rsid w:val="00DA2A0C"/>
    <w:rsid w:val="00DA3F5E"/>
    <w:rsid w:val="00DA4466"/>
    <w:rsid w:val="00DA5B72"/>
    <w:rsid w:val="00DA5F88"/>
    <w:rsid w:val="00DB0569"/>
    <w:rsid w:val="00DB1BC8"/>
    <w:rsid w:val="00DB45C8"/>
    <w:rsid w:val="00DB4A51"/>
    <w:rsid w:val="00DC3C72"/>
    <w:rsid w:val="00DC52B5"/>
    <w:rsid w:val="00DC55FB"/>
    <w:rsid w:val="00DD1324"/>
    <w:rsid w:val="00DD1AC8"/>
    <w:rsid w:val="00DD5789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5D0C"/>
    <w:rsid w:val="00E3694E"/>
    <w:rsid w:val="00E370C0"/>
    <w:rsid w:val="00E411CD"/>
    <w:rsid w:val="00E44E40"/>
    <w:rsid w:val="00E45EE9"/>
    <w:rsid w:val="00E5320A"/>
    <w:rsid w:val="00E605DF"/>
    <w:rsid w:val="00E6262C"/>
    <w:rsid w:val="00E74254"/>
    <w:rsid w:val="00E77656"/>
    <w:rsid w:val="00E80721"/>
    <w:rsid w:val="00E85C03"/>
    <w:rsid w:val="00E866A9"/>
    <w:rsid w:val="00E9084A"/>
    <w:rsid w:val="00E91766"/>
    <w:rsid w:val="00E9221C"/>
    <w:rsid w:val="00E93368"/>
    <w:rsid w:val="00E93F51"/>
    <w:rsid w:val="00E94EB0"/>
    <w:rsid w:val="00E966C4"/>
    <w:rsid w:val="00E96C05"/>
    <w:rsid w:val="00EA20F0"/>
    <w:rsid w:val="00EA21B7"/>
    <w:rsid w:val="00EA29FD"/>
    <w:rsid w:val="00EA2FBB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552D"/>
    <w:rsid w:val="00EF2B18"/>
    <w:rsid w:val="00EF2E9A"/>
    <w:rsid w:val="00EF42DB"/>
    <w:rsid w:val="00F01B4C"/>
    <w:rsid w:val="00F1159A"/>
    <w:rsid w:val="00F131E4"/>
    <w:rsid w:val="00F142E4"/>
    <w:rsid w:val="00F146F5"/>
    <w:rsid w:val="00F163CB"/>
    <w:rsid w:val="00F20F0B"/>
    <w:rsid w:val="00F227B2"/>
    <w:rsid w:val="00F27057"/>
    <w:rsid w:val="00F35FCF"/>
    <w:rsid w:val="00F3675C"/>
    <w:rsid w:val="00F50C46"/>
    <w:rsid w:val="00F523A5"/>
    <w:rsid w:val="00F52D37"/>
    <w:rsid w:val="00F54954"/>
    <w:rsid w:val="00F60137"/>
    <w:rsid w:val="00F605DB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A94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44E4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B383E"/>
    <w:rPr>
      <w:color w:val="605E5C"/>
      <w:shd w:val="clear" w:color="auto" w:fill="E1DFDD"/>
    </w:rPr>
  </w:style>
  <w:style w:type="paragraph" w:customStyle="1" w:styleId="l-L2">
    <w:name w:val="Čl - L2"/>
    <w:basedOn w:val="Normln"/>
    <w:link w:val="l-L2Char"/>
    <w:qFormat/>
    <w:rsid w:val="000410B2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0410B2"/>
    <w:rPr>
      <w:rFonts w:ascii="Arial" w:hAnsi="Arial"/>
      <w:sz w:val="22"/>
      <w:szCs w:val="24"/>
    </w:rPr>
  </w:style>
  <w:style w:type="paragraph" w:customStyle="1" w:styleId="Default">
    <w:name w:val="Default"/>
    <w:rsid w:val="000410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artin.gajare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2046fdb6-fa60-49a6-a635-1115ab0d2074"/>
    <ds:schemaRef ds:uri="http://www.w3.org/XML/1998/namespace"/>
    <ds:schemaRef ds:uri="http://schemas.microsoft.com/office/infopath/2007/PartnerControls"/>
    <ds:schemaRef ds:uri="http://purl.org/dc/terms/"/>
    <ds:schemaRef ds:uri="85f4b5cc-4033-44c7-b405-f5eed34c815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da3fa48-c231-4f9d-a491-19361e04fcb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4856</Words>
  <Characters>28656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Drozdová Helena</cp:lastModifiedBy>
  <cp:revision>3</cp:revision>
  <cp:lastPrinted>2025-04-29T06:59:00Z</cp:lastPrinted>
  <dcterms:created xsi:type="dcterms:W3CDTF">2025-04-29T07:13:00Z</dcterms:created>
  <dcterms:modified xsi:type="dcterms:W3CDTF">2025-04-29T07:14:00Z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