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5D0700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05E29F60" w14:textId="77777777" w:rsidR="002536B5" w:rsidRPr="002536B5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2536B5" w:rsidRPr="002536B5">
        <w:rPr>
          <w:rFonts w:ascii="Arial" w:hAnsi="Arial" w:cs="Arial"/>
          <w:bCs/>
          <w:sz w:val="18"/>
          <w:szCs w:val="18"/>
        </w:rPr>
        <w:t>SPU 035112/2025/Ber</w:t>
      </w:r>
    </w:p>
    <w:p w14:paraId="61794AA2" w14:textId="299307AC" w:rsidR="009603DC" w:rsidRPr="00C73BF4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C73BF4">
        <w:rPr>
          <w:rFonts w:ascii="Arial" w:hAnsi="Arial" w:cs="Arial"/>
          <w:bCs/>
          <w:sz w:val="18"/>
          <w:szCs w:val="18"/>
        </w:rPr>
        <w:t>Spisová zn.:</w:t>
      </w:r>
      <w:r w:rsidRPr="00C73BF4">
        <w:rPr>
          <w:rFonts w:ascii="Arial" w:hAnsi="Arial" w:cs="Arial"/>
          <w:bCs/>
          <w:sz w:val="18"/>
          <w:szCs w:val="18"/>
        </w:rPr>
        <w:tab/>
      </w:r>
    </w:p>
    <w:p w14:paraId="5C46DDC5" w14:textId="49C10DA8" w:rsidR="00C87831" w:rsidRPr="002536B5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2536B5">
        <w:rPr>
          <w:rFonts w:ascii="Arial" w:hAnsi="Arial" w:cs="Arial"/>
          <w:bCs/>
          <w:sz w:val="18"/>
          <w:szCs w:val="18"/>
        </w:rPr>
        <w:t>UID:</w:t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B3214B" w:rsidRPr="002536B5">
        <w:rPr>
          <w:rFonts w:ascii="Arial" w:hAnsi="Arial" w:cs="Arial"/>
          <w:bCs/>
          <w:sz w:val="18"/>
          <w:szCs w:val="18"/>
        </w:rPr>
        <w:tab/>
      </w:r>
      <w:r w:rsidR="002536B5" w:rsidRPr="002536B5">
        <w:rPr>
          <w:rFonts w:ascii="Arial" w:hAnsi="Arial" w:cs="Arial"/>
          <w:bCs/>
          <w:sz w:val="18"/>
          <w:szCs w:val="18"/>
        </w:rPr>
        <w:t>spuess97fe73e0</w:t>
      </w:r>
    </w:p>
    <w:p w14:paraId="2C1EA804" w14:textId="61F36924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5D0700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proofErr w:type="gramEnd"/>
      <w:r w:rsidR="005D0700" w:rsidRPr="005D0700">
        <w:rPr>
          <w:rFonts w:ascii="Arial" w:hAnsi="Arial" w:cs="Arial"/>
          <w:bCs/>
          <w:sz w:val="18"/>
          <w:szCs w:val="18"/>
        </w:rPr>
        <w:t>Ing. Renata Beránková</w:t>
      </w:r>
    </w:p>
    <w:p w14:paraId="2F206CE8" w14:textId="7777777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7D5DE1B7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82698D" w:rsidRPr="005D0700">
        <w:rPr>
          <w:rFonts w:ascii="Arial" w:hAnsi="Arial" w:cs="Arial"/>
          <w:bCs/>
          <w:sz w:val="18"/>
          <w:szCs w:val="18"/>
        </w:rPr>
        <w:t xml:space="preserve">727 927 </w:t>
      </w:r>
      <w:r w:rsidR="005D0700" w:rsidRPr="005D0700">
        <w:rPr>
          <w:rFonts w:ascii="Arial" w:hAnsi="Arial" w:cs="Arial"/>
          <w:bCs/>
          <w:sz w:val="18"/>
          <w:szCs w:val="18"/>
        </w:rPr>
        <w:t>453</w:t>
      </w:r>
    </w:p>
    <w:p w14:paraId="10814EC2" w14:textId="6B1BD0E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hyperlink r:id="rId14" w:history="1">
        <w:r w:rsidR="005D0700" w:rsidRPr="005D0700">
          <w:rPr>
            <w:rFonts w:ascii="Arial" w:hAnsi="Arial" w:cs="Arial"/>
            <w:bCs/>
            <w:sz w:val="18"/>
            <w:szCs w:val="18"/>
          </w:rPr>
          <w:t>renata.berankova@spu.gov.cz</w:t>
        </w:r>
      </w:hyperlink>
    </w:p>
    <w:p w14:paraId="4BB71522" w14:textId="0B1EB973" w:rsidR="0060643D" w:rsidRPr="005D0700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5D0700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5D0700">
        <w:rPr>
          <w:rFonts w:ascii="Arial" w:hAnsi="Arial" w:cs="Arial"/>
          <w:bCs/>
          <w:sz w:val="18"/>
          <w:szCs w:val="18"/>
        </w:rPr>
        <w:tab/>
      </w:r>
      <w:r w:rsidR="009603DC" w:rsidRPr="005D0700">
        <w:rPr>
          <w:rFonts w:ascii="Arial" w:hAnsi="Arial" w:cs="Arial"/>
          <w:bCs/>
          <w:sz w:val="18"/>
          <w:szCs w:val="18"/>
        </w:rPr>
        <w:tab/>
      </w:r>
      <w:r w:rsidRPr="005D0700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7CB28152" w:rsidR="0060643D" w:rsidRPr="00E621E5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E621E5" w:rsidRPr="00E621E5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5A84FA30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82698D">
        <w:rPr>
          <w:rFonts w:ascii="Arial" w:hAnsi="Arial" w:cs="Arial"/>
          <w:b/>
          <w:u w:val="single"/>
        </w:rPr>
        <w:t>č.</w:t>
      </w:r>
      <w:r w:rsidR="004E37A0">
        <w:rPr>
          <w:rFonts w:ascii="Arial" w:hAnsi="Arial" w:cs="Arial"/>
          <w:b/>
          <w:u w:val="single"/>
        </w:rPr>
        <w:t xml:space="preserve"> </w:t>
      </w:r>
      <w:r w:rsidR="00E621E5">
        <w:rPr>
          <w:rFonts w:ascii="Arial" w:hAnsi="Arial" w:cs="Arial"/>
          <w:b/>
          <w:u w:val="single"/>
        </w:rPr>
        <w:t>0</w:t>
      </w:r>
      <w:r w:rsidR="004E37A0">
        <w:rPr>
          <w:rFonts w:ascii="Arial" w:hAnsi="Arial" w:cs="Arial"/>
          <w:b/>
          <w:u w:val="single"/>
        </w:rPr>
        <w:t>16</w:t>
      </w:r>
      <w:r w:rsidR="00E621E5">
        <w:rPr>
          <w:rFonts w:ascii="Arial" w:hAnsi="Arial" w:cs="Arial"/>
          <w:b/>
          <w:u w:val="single"/>
        </w:rPr>
        <w:t>/1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483BB5AE" w:rsidR="001F2D69" w:rsidRPr="005D0700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 xml:space="preserve">Jméno: </w:t>
      </w:r>
      <w:r w:rsidR="005D0700" w:rsidRPr="005D0700">
        <w:rPr>
          <w:rFonts w:ascii="Arial" w:hAnsi="Arial" w:cs="Arial"/>
          <w:sz w:val="22"/>
          <w:szCs w:val="22"/>
        </w:rPr>
        <w:t>Ing. Renata Beránková</w:t>
      </w:r>
    </w:p>
    <w:p w14:paraId="1BBCAF6A" w14:textId="58E5A156" w:rsidR="00EC5914" w:rsidRPr="005D0700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5D0700">
        <w:rPr>
          <w:rFonts w:ascii="Arial" w:hAnsi="Arial" w:cs="Arial"/>
          <w:sz w:val="22"/>
          <w:szCs w:val="22"/>
        </w:rPr>
        <w:t>Telefon:</w:t>
      </w:r>
      <w:r w:rsidR="00AE3673" w:rsidRPr="005D0700">
        <w:rPr>
          <w:rFonts w:ascii="Arial" w:hAnsi="Arial" w:cs="Arial"/>
          <w:sz w:val="22"/>
          <w:szCs w:val="22"/>
        </w:rPr>
        <w:t xml:space="preserve"> </w:t>
      </w:r>
      <w:r w:rsidR="0082698D" w:rsidRPr="005D0700">
        <w:rPr>
          <w:rFonts w:ascii="Arial" w:hAnsi="Arial" w:cs="Arial"/>
          <w:sz w:val="22"/>
          <w:szCs w:val="22"/>
        </w:rPr>
        <w:t xml:space="preserve">727 927 </w:t>
      </w:r>
      <w:r w:rsidR="005D0700" w:rsidRPr="005D0700">
        <w:rPr>
          <w:rFonts w:ascii="Arial" w:hAnsi="Arial" w:cs="Arial"/>
          <w:sz w:val="22"/>
          <w:szCs w:val="22"/>
        </w:rPr>
        <w:t>453</w:t>
      </w:r>
    </w:p>
    <w:p w14:paraId="1D7B18B4" w14:textId="77777777" w:rsidR="005D0700" w:rsidRPr="005D0700" w:rsidRDefault="000145A3" w:rsidP="005D0700">
      <w:pPr>
        <w:ind w:right="-1703"/>
        <w:rPr>
          <w:rFonts w:ascii="Arial" w:hAnsi="Arial" w:cs="Arial"/>
          <w:bCs/>
          <w:sz w:val="20"/>
          <w:szCs w:val="20"/>
        </w:rPr>
      </w:pPr>
      <w:r w:rsidRPr="005D0700">
        <w:rPr>
          <w:rFonts w:ascii="Arial" w:hAnsi="Arial" w:cs="Arial"/>
          <w:sz w:val="22"/>
          <w:szCs w:val="22"/>
        </w:rPr>
        <w:t xml:space="preserve">E-mail: </w:t>
      </w:r>
      <w:hyperlink r:id="rId15" w:history="1">
        <w:r w:rsidR="005D0700" w:rsidRPr="005D0700">
          <w:rPr>
            <w:rFonts w:ascii="Arial" w:hAnsi="Arial" w:cs="Arial"/>
            <w:bCs/>
            <w:sz w:val="22"/>
            <w:szCs w:val="22"/>
          </w:rPr>
          <w:t>renata.berankova@spu.gov.cz</w:t>
        </w:r>
      </w:hyperlink>
    </w:p>
    <w:p w14:paraId="2BA678C4" w14:textId="166F7F18" w:rsidR="000145A3" w:rsidRPr="005D0700" w:rsidRDefault="000145A3" w:rsidP="00EC5914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C14961E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KPÚ objednává zpracování znaleckého posudku pro ocenění pozemků v cenách dle vyhlášky č. 182/1988 Sb., ve znění vyhlášky č. 316/1990 Sb., v souladu se zákonem č. 229/1991 Sb., ve znění pozdějších předpisů.</w:t>
      </w:r>
    </w:p>
    <w:p w14:paraId="4CCFD9E2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</w:p>
    <w:p w14:paraId="5CE69CE6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objednávky je ocenění převáděného náhradního pozemku v rozsahu: </w:t>
      </w:r>
    </w:p>
    <w:p w14:paraId="161E0FAE" w14:textId="77777777" w:rsidR="005D0700" w:rsidRDefault="005D0700" w:rsidP="005D0700">
      <w:pPr>
        <w:jc w:val="both"/>
        <w:rPr>
          <w:rFonts w:ascii="Arial" w:hAnsi="Arial" w:cs="Arial"/>
          <w:b/>
          <w:sz w:val="22"/>
          <w:szCs w:val="22"/>
        </w:rPr>
      </w:pPr>
    </w:p>
    <w:p w14:paraId="1A4C3DCF" w14:textId="77777777" w:rsidR="005D0700" w:rsidRDefault="005D0700" w:rsidP="005D07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79EBFF7E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6DB5880C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68311730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003BF289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</w:t>
      </w:r>
    </w:p>
    <w:p w14:paraId="3E537CC1" w14:textId="66890562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určen k zastavění pozemek celý nebo pouze jeho část) a při ocenění </w:t>
      </w:r>
      <w:proofErr w:type="gramStart"/>
      <w:r>
        <w:rPr>
          <w:rFonts w:ascii="Arial" w:hAnsi="Arial" w:cs="Arial"/>
          <w:sz w:val="22"/>
          <w:szCs w:val="22"/>
        </w:rPr>
        <w:t>zohlednit;  přitom</w:t>
      </w:r>
      <w:proofErr w:type="gramEnd"/>
      <w:r>
        <w:rPr>
          <w:rFonts w:ascii="Arial" w:hAnsi="Arial" w:cs="Arial"/>
          <w:sz w:val="22"/>
          <w:szCs w:val="22"/>
        </w:rPr>
        <w:t xml:space="preserve">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23E5DCAB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444F5CD2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33A8AFD1" w14:textId="77777777" w:rsidR="005D0700" w:rsidRDefault="005D0700" w:rsidP="005D0700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083EF697" w14:textId="77777777" w:rsidR="00B45535" w:rsidRDefault="00B45535" w:rsidP="007B1FA1">
      <w:pPr>
        <w:jc w:val="both"/>
        <w:rPr>
          <w:rFonts w:ascii="Arial" w:hAnsi="Arial" w:cs="Arial"/>
          <w:sz w:val="22"/>
          <w:szCs w:val="22"/>
        </w:rPr>
      </w:pP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734146F7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04802C63" w14:textId="11F4BF96" w:rsidR="00B45535" w:rsidRPr="00B45535" w:rsidRDefault="00B45535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 w:rsidR="00CA739E"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 w:rsidR="00CA739E"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77777777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0B4D6D31" w14:textId="77777777" w:rsidR="005D0700" w:rsidRDefault="005D0700" w:rsidP="005D070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3462B1FD" w14:textId="77777777" w:rsidR="005D0700" w:rsidRDefault="005D0700" w:rsidP="005D070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Sedloňov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Sedloňov</w:t>
      </w:r>
      <w:proofErr w:type="spellEnd"/>
      <w:r>
        <w:rPr>
          <w:rFonts w:ascii="Arial" w:hAnsi="Arial" w:cs="Arial"/>
          <w:sz w:val="18"/>
          <w:szCs w:val="18"/>
        </w:rPr>
        <w:tab/>
        <w:t>173</w:t>
      </w:r>
      <w:r>
        <w:rPr>
          <w:rFonts w:ascii="Arial" w:hAnsi="Arial" w:cs="Arial"/>
          <w:sz w:val="18"/>
          <w:szCs w:val="18"/>
        </w:rPr>
        <w:tab/>
        <w:t>zastavěná plocha a nádvoří</w:t>
      </w:r>
      <w:r>
        <w:rPr>
          <w:rFonts w:ascii="Arial" w:hAnsi="Arial" w:cs="Arial"/>
          <w:sz w:val="18"/>
          <w:szCs w:val="18"/>
        </w:rPr>
        <w:tab/>
        <w:t>198</w:t>
      </w:r>
    </w:p>
    <w:p w14:paraId="495311CC" w14:textId="77777777" w:rsidR="005D0700" w:rsidRDefault="005D0700" w:rsidP="005D070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2DEA59D" w14:textId="77777777" w:rsidR="005D0700" w:rsidRDefault="005D0700" w:rsidP="005D070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Sedloňov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Sedloňov</w:t>
      </w:r>
      <w:proofErr w:type="spellEnd"/>
      <w:r>
        <w:rPr>
          <w:rFonts w:ascii="Arial" w:hAnsi="Arial" w:cs="Arial"/>
          <w:sz w:val="18"/>
          <w:szCs w:val="18"/>
        </w:rPr>
        <w:tab/>
        <w:t>3929</w:t>
      </w:r>
      <w:r>
        <w:rPr>
          <w:rFonts w:ascii="Arial" w:hAnsi="Arial" w:cs="Arial"/>
          <w:sz w:val="18"/>
          <w:szCs w:val="18"/>
        </w:rPr>
        <w:tab/>
        <w:t>ostatní plocha</w:t>
      </w:r>
      <w:r>
        <w:rPr>
          <w:rFonts w:ascii="Arial" w:hAnsi="Arial" w:cs="Arial"/>
          <w:sz w:val="18"/>
          <w:szCs w:val="18"/>
        </w:rPr>
        <w:tab/>
        <w:t>226</w:t>
      </w:r>
    </w:p>
    <w:p w14:paraId="02843E19" w14:textId="77777777" w:rsidR="005D0700" w:rsidRDefault="005D0700" w:rsidP="005D070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Katastr </w:t>
      </w:r>
      <w:proofErr w:type="gramStart"/>
      <w:r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264EF231" w14:textId="77777777" w:rsidR="005D0700" w:rsidRDefault="005D0700" w:rsidP="005D0700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Sedloňov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Sedloňov</w:t>
      </w:r>
      <w:proofErr w:type="spellEnd"/>
      <w:r>
        <w:rPr>
          <w:rFonts w:ascii="Arial" w:hAnsi="Arial" w:cs="Arial"/>
          <w:sz w:val="18"/>
          <w:szCs w:val="18"/>
        </w:rPr>
        <w:tab/>
        <w:t>3930</w:t>
      </w:r>
      <w:r>
        <w:rPr>
          <w:rFonts w:ascii="Arial" w:hAnsi="Arial" w:cs="Arial"/>
          <w:sz w:val="18"/>
          <w:szCs w:val="18"/>
        </w:rPr>
        <w:tab/>
        <w:t>trvalý travní porost</w:t>
      </w:r>
      <w:r>
        <w:rPr>
          <w:rFonts w:ascii="Arial" w:hAnsi="Arial" w:cs="Arial"/>
          <w:sz w:val="18"/>
          <w:szCs w:val="18"/>
        </w:rPr>
        <w:tab/>
        <w:t>1923</w:t>
      </w:r>
    </w:p>
    <w:p w14:paraId="3DAE029E" w14:textId="77777777" w:rsidR="005D0700" w:rsidRDefault="005D0700" w:rsidP="005D0700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5978331" w14:textId="77777777" w:rsidR="007B1FA1" w:rsidRDefault="007B1FA1" w:rsidP="007B1FA1">
      <w:pPr>
        <w:jc w:val="both"/>
        <w:rPr>
          <w:rFonts w:ascii="Arial" w:hAnsi="Arial" w:cs="Arial"/>
          <w:iCs/>
          <w:sz w:val="22"/>
          <w:szCs w:val="22"/>
        </w:rPr>
      </w:pPr>
    </w:p>
    <w:p w14:paraId="6090C2F2" w14:textId="77777777" w:rsidR="007B1FA1" w:rsidRDefault="007B1FA1" w:rsidP="007B1FA1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</w:t>
      </w:r>
      <w:r>
        <w:rPr>
          <w:rFonts w:ascii="Arial" w:hAnsi="Arial" w:cs="Arial"/>
          <w:i/>
          <w:iCs/>
          <w:sz w:val="22"/>
          <w:szCs w:val="22"/>
        </w:rPr>
        <w:tab/>
        <w:t>pokud je pozemek veden v jiné evidenci než KN, je nutné uvést tuto evidenci</w:t>
      </w:r>
    </w:p>
    <w:p w14:paraId="2C939715" w14:textId="77777777" w:rsidR="007B1FA1" w:rsidRDefault="007B1FA1" w:rsidP="007B1FA1">
      <w:pPr>
        <w:ind w:left="709" w:hanging="709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**</w:t>
      </w:r>
      <w:r>
        <w:rPr>
          <w:rFonts w:ascii="Arial" w:hAnsi="Arial" w:cs="Arial"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59E0032" w14:textId="77777777" w:rsidR="00932097" w:rsidRDefault="00932097" w:rsidP="0060643D">
      <w:pPr>
        <w:jc w:val="both"/>
        <w:rPr>
          <w:rFonts w:ascii="Arial" w:hAnsi="Arial" w:cs="Arial"/>
          <w:sz w:val="22"/>
          <w:szCs w:val="22"/>
        </w:rPr>
      </w:pPr>
    </w:p>
    <w:p w14:paraId="7205E2B8" w14:textId="74F39614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3D2317A9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82698D">
        <w:rPr>
          <w:rFonts w:ascii="Arial" w:hAnsi="Arial" w:cs="Arial"/>
          <w:sz w:val="22"/>
          <w:szCs w:val="22"/>
        </w:rPr>
        <w:t xml:space="preserve">výzvy </w:t>
      </w:r>
      <w:r w:rsidR="008F026D" w:rsidRPr="00E621E5">
        <w:rPr>
          <w:rFonts w:ascii="Arial" w:hAnsi="Arial" w:cs="Arial"/>
          <w:sz w:val="22"/>
          <w:szCs w:val="22"/>
        </w:rPr>
        <w:t>č.</w:t>
      </w:r>
      <w:r w:rsidR="00E621E5" w:rsidRPr="00E621E5">
        <w:rPr>
          <w:rFonts w:ascii="Arial" w:hAnsi="Arial" w:cs="Arial"/>
          <w:sz w:val="22"/>
          <w:szCs w:val="22"/>
        </w:rPr>
        <w:t>016/</w:t>
      </w:r>
      <w:proofErr w:type="gramStart"/>
      <w:r w:rsidR="00E621E5" w:rsidRPr="00E621E5">
        <w:rPr>
          <w:rFonts w:ascii="Arial" w:hAnsi="Arial" w:cs="Arial"/>
          <w:sz w:val="22"/>
          <w:szCs w:val="22"/>
        </w:rPr>
        <w:t>1</w:t>
      </w:r>
      <w:r w:rsidR="0082698D" w:rsidRPr="00E621E5">
        <w:rPr>
          <w:rFonts w:ascii="Arial" w:hAnsi="Arial" w:cs="Arial"/>
          <w:sz w:val="22"/>
          <w:szCs w:val="22"/>
        </w:rPr>
        <w:t xml:space="preserve"> </w:t>
      </w:r>
      <w:r w:rsidR="008F026D" w:rsidRPr="00E621E5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</w:t>
      </w:r>
      <w:proofErr w:type="gramEnd"/>
      <w:r w:rsidR="008F026D">
        <w:rPr>
          <w:rFonts w:ascii="Arial" w:hAnsi="Arial" w:cs="Arial"/>
          <w:sz w:val="22"/>
          <w:szCs w:val="22"/>
        </w:rPr>
        <w:t>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8117540" w14:textId="77777777" w:rsidR="001C0257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 w:rsidR="001C0257">
        <w:rPr>
          <w:rFonts w:ascii="Arial" w:hAnsi="Arial" w:cs="Arial"/>
          <w:sz w:val="22"/>
          <w:szCs w:val="22"/>
        </w:rPr>
        <w:t>:</w:t>
      </w:r>
    </w:p>
    <w:p w14:paraId="77144559" w14:textId="4906145C" w:rsidR="0060643D" w:rsidRPr="001C0257" w:rsidRDefault="00165FEF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6329452" w14:textId="0789C147" w:rsidR="00377E78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 w:rsidR="00E163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</w:p>
    <w:p w14:paraId="431165D4" w14:textId="46AC4348" w:rsidR="00165FEF" w:rsidRPr="00165FEF" w:rsidRDefault="00165FEF" w:rsidP="0060643D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 w:rsidR="008876F9">
        <w:rPr>
          <w:rFonts w:ascii="Arial" w:hAnsi="Arial" w:cs="Arial"/>
          <w:sz w:val="22"/>
          <w:szCs w:val="22"/>
        </w:rPr>
        <w:tab/>
      </w:r>
      <w:r w:rsidR="00E163F5"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2AC55382" w14:textId="77777777" w:rsidR="00E621E5" w:rsidRPr="00E621E5" w:rsidRDefault="00E621E5" w:rsidP="00E621E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96A54E" w14:textId="77777777" w:rsidR="00E621E5" w:rsidRPr="00E621E5" w:rsidRDefault="00E621E5" w:rsidP="00E621E5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E621E5">
        <w:rPr>
          <w:rFonts w:ascii="Arial" w:hAnsi="Arial" w:cs="Arial"/>
          <w:b/>
          <w:bCs/>
          <w:sz w:val="22"/>
          <w:szCs w:val="22"/>
        </w:rPr>
        <w:t>Čl. V. Akceptace objednávky:</w:t>
      </w:r>
    </w:p>
    <w:p w14:paraId="4B508717" w14:textId="1C77DDB3" w:rsidR="00E621E5" w:rsidRPr="00E621E5" w:rsidRDefault="00E621E5" w:rsidP="00E621E5">
      <w:pPr>
        <w:ind w:left="360"/>
        <w:jc w:val="both"/>
        <w:rPr>
          <w:rFonts w:ascii="Arial" w:hAnsi="Arial" w:cs="Arial"/>
          <w:sz w:val="22"/>
          <w:szCs w:val="22"/>
        </w:rPr>
      </w:pPr>
      <w:r w:rsidRPr="00E621E5">
        <w:rPr>
          <w:rFonts w:ascii="Arial" w:hAnsi="Arial" w:cs="Arial"/>
          <w:sz w:val="22"/>
          <w:szCs w:val="22"/>
        </w:rPr>
        <w:t xml:space="preserve">Objednávka je akceptovaná podáním nabídky. </w:t>
      </w:r>
    </w:p>
    <w:p w14:paraId="6B5B4A74" w14:textId="77777777" w:rsidR="00E621E5" w:rsidRPr="00E621E5" w:rsidRDefault="00E621E5" w:rsidP="00E621E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4440D3" w14:textId="77777777" w:rsidR="00E621E5" w:rsidRPr="00E621E5" w:rsidRDefault="00E621E5" w:rsidP="00E621E5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E621E5">
        <w:rPr>
          <w:rFonts w:ascii="Arial" w:hAnsi="Arial" w:cs="Arial"/>
          <w:b/>
          <w:bCs/>
          <w:sz w:val="22"/>
          <w:szCs w:val="22"/>
        </w:rPr>
        <w:lastRenderedPageBreak/>
        <w:t>Čl</w:t>
      </w:r>
      <w:proofErr w:type="spellEnd"/>
      <w:r w:rsidRPr="00E621E5">
        <w:rPr>
          <w:rFonts w:ascii="Arial" w:hAnsi="Arial" w:cs="Arial"/>
          <w:b/>
          <w:bCs/>
          <w:sz w:val="22"/>
          <w:szCs w:val="22"/>
        </w:rPr>
        <w:t xml:space="preserve"> VI. Termín předání:</w:t>
      </w:r>
    </w:p>
    <w:p w14:paraId="5D779BB8" w14:textId="0A4537BC" w:rsidR="00E621E5" w:rsidRPr="00E621E5" w:rsidRDefault="00E621E5" w:rsidP="00E621E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  <w:r w:rsidRPr="00E621E5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E621E5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E621E5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 </w:t>
      </w:r>
    </w:p>
    <w:p w14:paraId="509DBD1B" w14:textId="77777777" w:rsidR="00E621E5" w:rsidRPr="00E621E5" w:rsidRDefault="00E621E5" w:rsidP="00E621E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10BDFB" w14:textId="77777777" w:rsidR="00EA210A" w:rsidRDefault="00EA210A" w:rsidP="00E621E5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Pr="00B27982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108AF9B9" w14:textId="77777777" w:rsidR="00CA739E" w:rsidRDefault="00CA739E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7390AEB3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 xml:space="preserve">“). Přílohou </w:t>
      </w:r>
      <w:r w:rsidRPr="00936B10">
        <w:rPr>
          <w:rFonts w:ascii="Arial" w:hAnsi="Arial" w:cs="Arial"/>
          <w:sz w:val="22"/>
          <w:szCs w:val="22"/>
        </w:rPr>
        <w:lastRenderedPageBreak/>
        <w:t>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63F70BB9" w14:textId="77777777" w:rsidR="00CA739E" w:rsidRDefault="00CA739E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7777777" w:rsidR="00B27982" w:rsidRPr="00936B10" w:rsidRDefault="00B27982" w:rsidP="0060643D">
      <w:pPr>
        <w:jc w:val="both"/>
        <w:rPr>
          <w:rFonts w:ascii="Arial" w:hAnsi="Arial" w:cs="Arial"/>
          <w:sz w:val="22"/>
          <w:szCs w:val="22"/>
        </w:rPr>
      </w:pPr>
    </w:p>
    <w:p w14:paraId="0FD2142A" w14:textId="77777777" w:rsidR="005D0700" w:rsidRDefault="005D0700" w:rsidP="005D070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„elektronicky podepsáno“</w:t>
      </w:r>
    </w:p>
    <w:p w14:paraId="095C485B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</w:p>
    <w:p w14:paraId="34508E45" w14:textId="77777777" w:rsidR="005D0700" w:rsidRDefault="005D0700" w:rsidP="005D070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Petr Lázňovský</w:t>
      </w:r>
    </w:p>
    <w:p w14:paraId="116EC449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 Krajského pozemkového úřadu</w:t>
      </w:r>
    </w:p>
    <w:p w14:paraId="616CE87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Královéhradecký kraj</w:t>
      </w:r>
    </w:p>
    <w:p w14:paraId="2A1F86DC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Státního pozemkového úřadu</w:t>
      </w:r>
    </w:p>
    <w:p w14:paraId="1685670A" w14:textId="77777777" w:rsidR="005D0700" w:rsidRDefault="005D0700" w:rsidP="005D0700">
      <w:pPr>
        <w:rPr>
          <w:rFonts w:ascii="Arial" w:hAnsi="Arial" w:cs="Arial"/>
          <w:sz w:val="20"/>
          <w:szCs w:val="20"/>
        </w:rPr>
      </w:pPr>
    </w:p>
    <w:p w14:paraId="15D9BE06" w14:textId="2250C63F" w:rsidR="004F2B9F" w:rsidRPr="004F2B9F" w:rsidRDefault="004F2B9F" w:rsidP="005D0700">
      <w:pPr>
        <w:rPr>
          <w:rFonts w:ascii="Arial" w:hAnsi="Arial" w:cs="Arial"/>
          <w:sz w:val="22"/>
          <w:szCs w:val="22"/>
        </w:rPr>
      </w:pPr>
    </w:p>
    <w:sectPr w:rsidR="004F2B9F" w:rsidRPr="004F2B9F" w:rsidSect="007B5020">
      <w:headerReference w:type="default" r:id="rId16"/>
      <w:footerReference w:type="default" r:id="rId17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B898" w14:textId="77777777" w:rsidR="00EA1DC0" w:rsidRDefault="00EA1DC0" w:rsidP="007B5020">
      <w:r>
        <w:separator/>
      </w:r>
    </w:p>
  </w:endnote>
  <w:endnote w:type="continuationSeparator" w:id="0">
    <w:p w14:paraId="47A7CC20" w14:textId="77777777" w:rsidR="00EA1DC0" w:rsidRDefault="00EA1DC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E621E5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3A0C" w14:textId="77777777" w:rsidR="00EA1DC0" w:rsidRDefault="00EA1DC0" w:rsidP="007B5020">
      <w:r>
        <w:separator/>
      </w:r>
    </w:p>
  </w:footnote>
  <w:footnote w:type="continuationSeparator" w:id="0">
    <w:p w14:paraId="49B60264" w14:textId="77777777" w:rsidR="00EA1DC0" w:rsidRDefault="00EA1DC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604EF"/>
    <w:rsid w:val="00062129"/>
    <w:rsid w:val="000649D0"/>
    <w:rsid w:val="000702EA"/>
    <w:rsid w:val="000822AC"/>
    <w:rsid w:val="00087919"/>
    <w:rsid w:val="000C12F7"/>
    <w:rsid w:val="000E0EC7"/>
    <w:rsid w:val="000E1283"/>
    <w:rsid w:val="000E3970"/>
    <w:rsid w:val="000E456A"/>
    <w:rsid w:val="000F49B4"/>
    <w:rsid w:val="000F753A"/>
    <w:rsid w:val="001145E3"/>
    <w:rsid w:val="00114F08"/>
    <w:rsid w:val="001301F2"/>
    <w:rsid w:val="00142928"/>
    <w:rsid w:val="00143955"/>
    <w:rsid w:val="00151AFC"/>
    <w:rsid w:val="00157C5C"/>
    <w:rsid w:val="0016008D"/>
    <w:rsid w:val="00165FEF"/>
    <w:rsid w:val="0016797E"/>
    <w:rsid w:val="001C0257"/>
    <w:rsid w:val="001C23B5"/>
    <w:rsid w:val="001C7985"/>
    <w:rsid w:val="001D50F1"/>
    <w:rsid w:val="001E3928"/>
    <w:rsid w:val="001F2D69"/>
    <w:rsid w:val="001F34F2"/>
    <w:rsid w:val="001F7D96"/>
    <w:rsid w:val="00240DE6"/>
    <w:rsid w:val="00247C60"/>
    <w:rsid w:val="00252EF4"/>
    <w:rsid w:val="002536B5"/>
    <w:rsid w:val="00255B09"/>
    <w:rsid w:val="00273D55"/>
    <w:rsid w:val="00276435"/>
    <w:rsid w:val="002903B3"/>
    <w:rsid w:val="00296C9A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E0F28"/>
    <w:rsid w:val="003F40BB"/>
    <w:rsid w:val="00405CD4"/>
    <w:rsid w:val="00422DA3"/>
    <w:rsid w:val="00425BB8"/>
    <w:rsid w:val="004523DA"/>
    <w:rsid w:val="00463719"/>
    <w:rsid w:val="004A4634"/>
    <w:rsid w:val="004B4625"/>
    <w:rsid w:val="004D7214"/>
    <w:rsid w:val="004E37A0"/>
    <w:rsid w:val="004F2506"/>
    <w:rsid w:val="004F2B9F"/>
    <w:rsid w:val="00500BCB"/>
    <w:rsid w:val="0051086F"/>
    <w:rsid w:val="00513C59"/>
    <w:rsid w:val="0052104A"/>
    <w:rsid w:val="005467B1"/>
    <w:rsid w:val="00550FF9"/>
    <w:rsid w:val="0056799B"/>
    <w:rsid w:val="0057733D"/>
    <w:rsid w:val="00577E60"/>
    <w:rsid w:val="00582363"/>
    <w:rsid w:val="005A6DEC"/>
    <w:rsid w:val="005B26C0"/>
    <w:rsid w:val="005B2A69"/>
    <w:rsid w:val="005C53CC"/>
    <w:rsid w:val="005D02C2"/>
    <w:rsid w:val="005D0700"/>
    <w:rsid w:val="005D535B"/>
    <w:rsid w:val="0060643D"/>
    <w:rsid w:val="00622DF5"/>
    <w:rsid w:val="00625CD4"/>
    <w:rsid w:val="00635275"/>
    <w:rsid w:val="00670829"/>
    <w:rsid w:val="00675A63"/>
    <w:rsid w:val="00695C38"/>
    <w:rsid w:val="0069739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D13D5"/>
    <w:rsid w:val="007D3608"/>
    <w:rsid w:val="007D53B4"/>
    <w:rsid w:val="007E3688"/>
    <w:rsid w:val="00810B29"/>
    <w:rsid w:val="00812D42"/>
    <w:rsid w:val="0082434D"/>
    <w:rsid w:val="0082698D"/>
    <w:rsid w:val="00833644"/>
    <w:rsid w:val="00834C18"/>
    <w:rsid w:val="008537DF"/>
    <w:rsid w:val="008876F9"/>
    <w:rsid w:val="008A2F89"/>
    <w:rsid w:val="008B1BFF"/>
    <w:rsid w:val="008C2F86"/>
    <w:rsid w:val="008C7863"/>
    <w:rsid w:val="008E703A"/>
    <w:rsid w:val="008F026D"/>
    <w:rsid w:val="008F3520"/>
    <w:rsid w:val="008F5EC8"/>
    <w:rsid w:val="00900BEB"/>
    <w:rsid w:val="00902562"/>
    <w:rsid w:val="00926FE7"/>
    <w:rsid w:val="00932097"/>
    <w:rsid w:val="009320EA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A03C47"/>
    <w:rsid w:val="00A050D1"/>
    <w:rsid w:val="00A2115A"/>
    <w:rsid w:val="00A26537"/>
    <w:rsid w:val="00A300F2"/>
    <w:rsid w:val="00A433F7"/>
    <w:rsid w:val="00A657FA"/>
    <w:rsid w:val="00AB3A52"/>
    <w:rsid w:val="00AC2522"/>
    <w:rsid w:val="00AC7653"/>
    <w:rsid w:val="00AD7956"/>
    <w:rsid w:val="00AE19AB"/>
    <w:rsid w:val="00AE3673"/>
    <w:rsid w:val="00AE6B99"/>
    <w:rsid w:val="00AF307C"/>
    <w:rsid w:val="00AF4182"/>
    <w:rsid w:val="00B22C14"/>
    <w:rsid w:val="00B27982"/>
    <w:rsid w:val="00B3214B"/>
    <w:rsid w:val="00B45535"/>
    <w:rsid w:val="00B539C7"/>
    <w:rsid w:val="00B726A9"/>
    <w:rsid w:val="00B8086B"/>
    <w:rsid w:val="00B9151F"/>
    <w:rsid w:val="00BC0939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73BF4"/>
    <w:rsid w:val="00C75B23"/>
    <w:rsid w:val="00C81EB9"/>
    <w:rsid w:val="00C87831"/>
    <w:rsid w:val="00C955BA"/>
    <w:rsid w:val="00CA71A8"/>
    <w:rsid w:val="00CA739E"/>
    <w:rsid w:val="00CC0146"/>
    <w:rsid w:val="00CC45F3"/>
    <w:rsid w:val="00CC4C01"/>
    <w:rsid w:val="00CC5762"/>
    <w:rsid w:val="00CF6AFE"/>
    <w:rsid w:val="00D03433"/>
    <w:rsid w:val="00D046B8"/>
    <w:rsid w:val="00D170A9"/>
    <w:rsid w:val="00D173CD"/>
    <w:rsid w:val="00D23AAD"/>
    <w:rsid w:val="00D35599"/>
    <w:rsid w:val="00D4499C"/>
    <w:rsid w:val="00D55208"/>
    <w:rsid w:val="00D66B3E"/>
    <w:rsid w:val="00D8368A"/>
    <w:rsid w:val="00D85E76"/>
    <w:rsid w:val="00D8669B"/>
    <w:rsid w:val="00DA1936"/>
    <w:rsid w:val="00DA2488"/>
    <w:rsid w:val="00DA4213"/>
    <w:rsid w:val="00DA5B49"/>
    <w:rsid w:val="00DB15F2"/>
    <w:rsid w:val="00DD6BFA"/>
    <w:rsid w:val="00DE4E09"/>
    <w:rsid w:val="00DE750B"/>
    <w:rsid w:val="00E01FB0"/>
    <w:rsid w:val="00E163F5"/>
    <w:rsid w:val="00E30858"/>
    <w:rsid w:val="00E621E5"/>
    <w:rsid w:val="00E65DDB"/>
    <w:rsid w:val="00E80807"/>
    <w:rsid w:val="00EA1DC0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60F97"/>
    <w:rsid w:val="00F623E6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07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enata.berankova@spu.gov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nata.berankova@spu.gov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2048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2025-04-17T11:35:00Z</dcterms:created>
  <dcterms:modified xsi:type="dcterms:W3CDTF">2025-04-17T11:35:00Z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