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80C8B89" w:rsidR="00E0086F" w:rsidRPr="00ED6435" w:rsidRDefault="00DC451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AF3CE1">
        <w:rPr>
          <w:rFonts w:ascii="Arial" w:hAnsi="Arial"/>
          <w:szCs w:val="22"/>
        </w:rPr>
        <w:t>5</w:t>
      </w:r>
      <w:r>
        <w:rPr>
          <w:rFonts w:ascii="Arial" w:hAnsi="Arial"/>
          <w:szCs w:val="22"/>
        </w:rPr>
        <w:t xml:space="preserve"> k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8D22E04" w14:textId="01B5CF8D" w:rsidR="00997ABA" w:rsidRPr="00BF554C" w:rsidRDefault="00997ABA" w:rsidP="00997ABA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>
        <w:rPr>
          <w:rFonts w:cs="Arial"/>
          <w:sz w:val="22"/>
        </w:rPr>
        <w:t>1061-2022-514204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12.10.2022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7947449C" w14:textId="3652457A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8E879D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0E5A1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0E5A1D">
        <w:rPr>
          <w:rFonts w:ascii="Arial" w:hAnsi="Arial" w:cs="Arial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0E5A1D">
        <w:rPr>
          <w:rFonts w:ascii="Arial" w:hAnsi="Arial" w:cs="Arial"/>
          <w:snapToGrid w:val="0"/>
        </w:rPr>
        <w:t>Jiráskova 1320, 516 01 Rychnov nad Kněžnou</w:t>
      </w:r>
    </w:p>
    <w:p w14:paraId="2BB55C1B" w14:textId="63DC2C5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0E5A1D">
        <w:rPr>
          <w:rFonts w:ascii="Arial" w:hAnsi="Arial" w:cs="Arial"/>
          <w:iCs/>
        </w:rPr>
        <w:t>Mgr. Alena Rufferová,</w:t>
      </w:r>
      <w:r w:rsidRPr="00ED6435">
        <w:rPr>
          <w:rFonts w:ascii="Arial" w:hAnsi="Arial" w:cs="Arial"/>
        </w:rPr>
        <w:t xml:space="preserve"> vedoucí P</w:t>
      </w:r>
      <w:r w:rsidR="000E5A1D">
        <w:rPr>
          <w:rFonts w:ascii="Arial" w:hAnsi="Arial" w:cs="Arial"/>
        </w:rPr>
        <w:t xml:space="preserve">obočky Rychnov nad </w:t>
      </w:r>
      <w:r w:rsidRPr="00ED6435">
        <w:rPr>
          <w:rFonts w:ascii="Arial" w:hAnsi="Arial" w:cs="Arial"/>
        </w:rPr>
        <w:t>K</w:t>
      </w:r>
      <w:r w:rsidR="000E5A1D">
        <w:rPr>
          <w:rFonts w:ascii="Arial" w:hAnsi="Arial" w:cs="Arial"/>
        </w:rPr>
        <w:t>něžnou</w:t>
      </w:r>
      <w:r w:rsidRPr="00ED6435">
        <w:rPr>
          <w:rFonts w:ascii="Arial" w:hAnsi="Arial" w:cs="Arial"/>
          <w:iCs/>
        </w:rPr>
        <w:t xml:space="preserve"> </w:t>
      </w:r>
    </w:p>
    <w:p w14:paraId="581A310C" w14:textId="77777777" w:rsidR="000E5A1D" w:rsidRPr="00ED6435" w:rsidRDefault="00E0086F" w:rsidP="000E5A1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E5A1D">
        <w:rPr>
          <w:rFonts w:ascii="Arial" w:hAnsi="Arial" w:cs="Arial"/>
        </w:rPr>
        <w:t>Mgr. Alena Rufferová</w:t>
      </w:r>
      <w:r w:rsidR="000E5A1D" w:rsidRPr="00ED6435">
        <w:rPr>
          <w:rFonts w:ascii="Arial" w:hAnsi="Arial" w:cs="Arial"/>
        </w:rPr>
        <w:t xml:space="preserve">, KPÚ </w:t>
      </w:r>
      <w:r w:rsidR="000E5A1D">
        <w:rPr>
          <w:rFonts w:ascii="Arial" w:hAnsi="Arial" w:cs="Arial"/>
        </w:rPr>
        <w:t>pro 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</w:rPr>
        <w:t>Rychnov nad Kněžnou</w:t>
      </w:r>
      <w:r w:rsidR="000E5A1D" w:rsidRPr="00ED6435">
        <w:rPr>
          <w:rFonts w:ascii="Arial" w:hAnsi="Arial" w:cs="Arial"/>
        </w:rPr>
        <w:t xml:space="preserve"> </w:t>
      </w:r>
    </w:p>
    <w:p w14:paraId="68D18879" w14:textId="5D797F1A" w:rsidR="000E5A1D" w:rsidRPr="00ED6435" w:rsidRDefault="00E0086F" w:rsidP="000E5A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E5A1D">
        <w:rPr>
          <w:rFonts w:ascii="Arial" w:hAnsi="Arial" w:cs="Arial"/>
          <w:snapToGrid w:val="0"/>
        </w:rPr>
        <w:t>Ing. Karel Káda</w:t>
      </w:r>
      <w:r w:rsidR="000E5A1D" w:rsidRPr="00ED6435">
        <w:rPr>
          <w:rFonts w:ascii="Arial" w:hAnsi="Arial" w:cs="Arial"/>
        </w:rPr>
        <w:t>, KPÚ</w:t>
      </w:r>
      <w:r w:rsidR="000E5A1D">
        <w:rPr>
          <w:rFonts w:ascii="Arial" w:hAnsi="Arial" w:cs="Arial"/>
        </w:rPr>
        <w:t xml:space="preserve"> pro</w:t>
      </w:r>
      <w:r w:rsidR="000E5A1D" w:rsidRPr="00ED6435">
        <w:rPr>
          <w:rFonts w:ascii="Arial" w:hAnsi="Arial" w:cs="Arial"/>
        </w:rPr>
        <w:t xml:space="preserve"> </w:t>
      </w:r>
      <w:r w:rsidR="000E5A1D">
        <w:rPr>
          <w:rFonts w:ascii="Arial" w:hAnsi="Arial" w:cs="Arial"/>
        </w:rPr>
        <w:t>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  <w:iCs/>
        </w:rPr>
        <w:t>Rychnov nad Kněžnou</w:t>
      </w:r>
      <w:r w:rsidR="00610492">
        <w:rPr>
          <w:rFonts w:ascii="Arial" w:hAnsi="Arial" w:cs="Arial"/>
          <w:iCs/>
        </w:rPr>
        <w:t xml:space="preserve">; Ing. Ladislav Kopecký, KPÚ pro </w:t>
      </w:r>
      <w:r w:rsidR="00610492">
        <w:rPr>
          <w:rFonts w:ascii="Arial" w:hAnsi="Arial" w:cs="Arial"/>
        </w:rPr>
        <w:t>Královéhradecký kraj</w:t>
      </w:r>
      <w:r w:rsidR="00610492" w:rsidRPr="00ED6435">
        <w:rPr>
          <w:rFonts w:ascii="Arial" w:hAnsi="Arial" w:cs="Arial"/>
        </w:rPr>
        <w:t xml:space="preserve">, Pobočka </w:t>
      </w:r>
      <w:r w:rsidR="00610492">
        <w:rPr>
          <w:rFonts w:ascii="Arial" w:hAnsi="Arial" w:cs="Arial"/>
          <w:iCs/>
        </w:rPr>
        <w:t>Rychnov nad Kněžnou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0EC9CCA" w14:textId="44FC6D7B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4047E260" w14:textId="77777777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3A1CA5" w14:textId="77777777" w:rsidR="0006485B" w:rsidRPr="00ED6435" w:rsidRDefault="0006485B" w:rsidP="000648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269AF5F" w14:textId="77777777" w:rsidR="0006485B" w:rsidRPr="001268AC" w:rsidRDefault="0006485B" w:rsidP="0006485B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0B79A9A7" w14:textId="77777777" w:rsidR="0006485B" w:rsidRPr="001268AC" w:rsidRDefault="0006485B" w:rsidP="0006485B">
      <w:pPr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556E32D9" w14:textId="0B57F1CB" w:rsidR="0006485B" w:rsidRPr="002F3AA9" w:rsidRDefault="0006485B" w:rsidP="0006485B">
      <w:pPr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jednatelem,</w:t>
      </w:r>
      <w:r w:rsidR="00911E8D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7FA19E19" w14:textId="77777777" w:rsidR="0006485B" w:rsidRPr="002F3AA9" w:rsidRDefault="0006485B" w:rsidP="0006485B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r w:rsidRPr="002F3AA9">
        <w:rPr>
          <w:rFonts w:ascii="Arial" w:hAnsi="Arial" w:cs="Arial"/>
          <w:sz w:val="24"/>
          <w:szCs w:val="24"/>
        </w:rPr>
        <w:t>Tomáš Charvát</w:t>
      </w:r>
    </w:p>
    <w:p w14:paraId="763B1B2B" w14:textId="055B2633" w:rsidR="0006485B" w:rsidRPr="002F3AA9" w:rsidRDefault="0006485B" w:rsidP="0006485B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r w:rsidR="00F16EFB">
        <w:rPr>
          <w:rFonts w:ascii="Arial" w:hAnsi="Arial" w:cs="Arial"/>
          <w:sz w:val="24"/>
          <w:szCs w:val="24"/>
        </w:rPr>
        <w:t>xxxxxxxxxx</w:t>
      </w:r>
    </w:p>
    <w:p w14:paraId="548E24A6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6C20E106" w14:textId="2BBE5ED2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F16EFB">
        <w:rPr>
          <w:rFonts w:ascii="Arial" w:hAnsi="Arial" w:cs="Arial"/>
          <w:snapToGrid w:val="0"/>
        </w:rPr>
        <w:t>xxxxxxxxxx</w:t>
      </w:r>
    </w:p>
    <w:p w14:paraId="44659286" w14:textId="6B281F6E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F16EFB">
        <w:rPr>
          <w:rFonts w:ascii="Arial" w:hAnsi="Arial" w:cs="Arial"/>
          <w:snapToGrid w:val="0"/>
        </w:rPr>
        <w:t>xxxxxxxxxxxxxx</w:t>
      </w:r>
    </w:p>
    <w:p w14:paraId="07B2F586" w14:textId="77777777" w:rsidR="0006485B" w:rsidRPr="002F3AA9" w:rsidRDefault="0006485B" w:rsidP="0006485B">
      <w:pPr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7781DD29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4C0E52AC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5C867629" w14:textId="77777777" w:rsidR="0006485B" w:rsidRPr="00F45AC5" w:rsidRDefault="0006485B" w:rsidP="0006485B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2D6FEF64" w14:textId="77777777" w:rsidR="0006485B" w:rsidRPr="00F45AC5" w:rsidRDefault="0006485B" w:rsidP="0006485B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C6F862" w14:textId="77777777" w:rsidR="00DC4515" w:rsidRPr="0028347B" w:rsidRDefault="00DC4515" w:rsidP="00DC4515">
      <w:pPr>
        <w:keepNext/>
        <w:keepLines/>
        <w:numPr>
          <w:ilvl w:val="0"/>
          <w:numId w:val="57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br/>
      </w:r>
      <w:bookmarkStart w:id="1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bookmarkEnd w:id="1"/>
    <w:p w14:paraId="7D80F961" w14:textId="77777777" w:rsidR="00512BF3" w:rsidRDefault="00512BF3" w:rsidP="00997ABA">
      <w:pPr>
        <w:jc w:val="both"/>
        <w:rPr>
          <w:rFonts w:ascii="Arial" w:eastAsia="Arial" w:hAnsi="Arial" w:cs="Arial"/>
        </w:rPr>
      </w:pPr>
    </w:p>
    <w:p w14:paraId="4271AB1E" w14:textId="65DF8509" w:rsidR="002844BE" w:rsidRDefault="002844BE" w:rsidP="00997A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Dodatek se uzavírá na základě žádosti zhotovitele ze dne 28.2.2025 a jednání kontrolního dne (6.3.2025) ohledně potřeby dodatečného zahrnutí části katastrálního území Očelice a potřeby dodatečného zjišťování hranic obvodu KoPÚ. Pobočka vyhodnotila tyto práce jako nezbytné pro kvalitní návrh nového uspořádání</w:t>
      </w:r>
      <w:r w:rsidR="00E53BC9">
        <w:rPr>
          <w:rFonts w:ascii="Arial" w:eastAsia="Arial" w:hAnsi="Arial" w:cs="Arial"/>
        </w:rPr>
        <w:t xml:space="preserve">. Tyto práce budou realizovány jako dílčí část </w:t>
      </w:r>
      <w:r w:rsidR="00E53BC9" w:rsidRPr="0067154A">
        <w:rPr>
          <w:rFonts w:ascii="Arial" w:eastAsia="Arial" w:hAnsi="Arial" w:cs="Arial"/>
          <w:lang w:val="fr-FR"/>
        </w:rPr>
        <w:t>6.2.4 Zjišťování hranic obvodu KoPÚ, geometrické plány pro stanovení obvodu KoPÚ, předepsaná stabilizace dle vyhlášky č. 357/2013 Sb</w:t>
      </w:r>
      <w:r w:rsidR="00E53BC9">
        <w:rPr>
          <w:rFonts w:ascii="Arial" w:eastAsia="Arial" w:hAnsi="Arial" w:cs="Arial"/>
          <w:lang w:val="fr-FR"/>
        </w:rPr>
        <w:t>., a to s využitím bodu 17.2. smlouvy o dílo.</w:t>
      </w:r>
    </w:p>
    <w:p w14:paraId="35928C74" w14:textId="297B982F" w:rsidR="000218B4" w:rsidRDefault="00E53BC9" w:rsidP="00997ABA">
      <w:pPr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</w:rPr>
        <w:t>V souvislosti se zadáním výše uvedených prací</w:t>
      </w:r>
      <w:r w:rsidR="001649CA">
        <w:rPr>
          <w:rFonts w:ascii="Arial" w:eastAsia="Arial" w:hAnsi="Arial" w:cs="Arial"/>
        </w:rPr>
        <w:t xml:space="preserve"> </w:t>
      </w:r>
      <w:r w:rsidR="00332A39" w:rsidRPr="00332A39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nutné</w:t>
      </w:r>
      <w:r w:rsidR="00332A39" w:rsidRPr="00332A39">
        <w:rPr>
          <w:rFonts w:ascii="Arial" w:eastAsia="Arial" w:hAnsi="Arial" w:cs="Arial"/>
        </w:rPr>
        <w:t xml:space="preserve"> </w:t>
      </w:r>
      <w:bookmarkStart w:id="2" w:name="_Hlk83363231"/>
      <w:r w:rsidR="000218B4" w:rsidRPr="000218B4">
        <w:rPr>
          <w:rFonts w:ascii="Arial" w:eastAsia="Arial" w:hAnsi="Arial" w:cs="Arial"/>
          <w:lang w:val="fr-FR"/>
        </w:rPr>
        <w:t>prodloužení termínu plnění</w:t>
      </w:r>
      <w:r w:rsidR="00AA1BF6">
        <w:rPr>
          <w:rFonts w:ascii="Arial" w:eastAsia="Arial" w:hAnsi="Arial" w:cs="Arial"/>
          <w:lang w:val="fr-FR"/>
        </w:rPr>
        <w:t xml:space="preserve"> </w:t>
      </w:r>
      <w:r w:rsidR="00AA1BF6" w:rsidRPr="00AA1BF6">
        <w:rPr>
          <w:rFonts w:ascii="Arial" w:eastAsia="Arial" w:hAnsi="Arial" w:cs="Arial"/>
          <w:lang w:val="fr-FR"/>
        </w:rPr>
        <w:t>u etapy 6.3.1 Vypracování plánu společných zařízení ("PSZ")</w:t>
      </w:r>
      <w:r w:rsidR="00AA1BF6">
        <w:rPr>
          <w:rFonts w:ascii="Arial" w:eastAsia="Arial" w:hAnsi="Arial" w:cs="Arial"/>
          <w:lang w:val="fr-FR"/>
        </w:rPr>
        <w:t xml:space="preserve"> </w:t>
      </w:r>
      <w:r w:rsidR="00746416" w:rsidRPr="00746416">
        <w:rPr>
          <w:rFonts w:ascii="Arial" w:eastAsia="Arial" w:hAnsi="Arial" w:cs="Arial"/>
          <w:lang w:val="fr-FR"/>
        </w:rPr>
        <w:t>a navazující etapy 6.3.2 Vypracování návrhu nového uspořádání pozemků k jeho vystavení dle § 11 odst. 1 zákona</w:t>
      </w:r>
      <w:r w:rsidR="0067154A">
        <w:rPr>
          <w:rFonts w:ascii="Arial" w:eastAsia="Arial" w:hAnsi="Arial" w:cs="Arial"/>
          <w:lang w:val="fr-FR"/>
        </w:rPr>
        <w:t xml:space="preserve"> </w:t>
      </w:r>
    </w:p>
    <w:p w14:paraId="5B3AAD1C" w14:textId="47F8BEA6" w:rsidR="00512BF3" w:rsidRDefault="000A580B" w:rsidP="00997A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fr-FR"/>
        </w:rPr>
        <w:t xml:space="preserve">Dalším důvodem </w:t>
      </w:r>
      <w:r w:rsidR="009F5E2D">
        <w:rPr>
          <w:rFonts w:ascii="Arial" w:eastAsia="Arial" w:hAnsi="Arial" w:cs="Arial"/>
          <w:lang w:val="fr-FR"/>
        </w:rPr>
        <w:t>je snížení počtu MJ u</w:t>
      </w:r>
      <w:r w:rsidRPr="000A580B">
        <w:rPr>
          <w:rFonts w:ascii="Arial" w:eastAsia="Arial" w:hAnsi="Arial" w:cs="Arial"/>
          <w:lang w:val="fr-FR"/>
        </w:rPr>
        <w:t xml:space="preserve"> navazujících dílčích etap 6.3.1, 6.3.2 a 6.4.</w:t>
      </w:r>
    </w:p>
    <w:p w14:paraId="24D326F0" w14:textId="28079561" w:rsidR="00BC4C69" w:rsidRPr="00671436" w:rsidRDefault="00BC4C69" w:rsidP="00BC4C69">
      <w:pPr>
        <w:jc w:val="both"/>
        <w:rPr>
          <w:rFonts w:ascii="Arial" w:eastAsia="Arial" w:hAnsi="Arial" w:cs="Arial"/>
        </w:rPr>
      </w:pPr>
      <w:r w:rsidRPr="00BC4C69">
        <w:rPr>
          <w:rFonts w:ascii="Arial" w:eastAsia="Arial" w:hAnsi="Arial" w:cs="Arial"/>
        </w:rPr>
        <w:t xml:space="preserve">Dodatkem č. </w:t>
      </w:r>
      <w:r w:rsidR="00AF3CE1">
        <w:rPr>
          <w:rFonts w:ascii="Arial" w:eastAsia="Arial" w:hAnsi="Arial" w:cs="Arial"/>
        </w:rPr>
        <w:t>5</w:t>
      </w:r>
      <w:r w:rsidRPr="00BC4C69">
        <w:rPr>
          <w:rFonts w:ascii="Arial" w:eastAsia="Arial" w:hAnsi="Arial" w:cs="Arial"/>
        </w:rPr>
        <w:t xml:space="preserve"> dojde</w:t>
      </w:r>
      <w:r w:rsidR="00AF3CE1">
        <w:rPr>
          <w:rFonts w:ascii="Arial" w:eastAsia="Arial" w:hAnsi="Arial" w:cs="Arial"/>
        </w:rPr>
        <w:t xml:space="preserve"> celkově</w:t>
      </w:r>
      <w:r w:rsidRPr="00BC4C69">
        <w:rPr>
          <w:rFonts w:ascii="Arial" w:eastAsia="Arial" w:hAnsi="Arial" w:cs="Arial"/>
        </w:rPr>
        <w:t xml:space="preserve"> ke </w:t>
      </w:r>
      <w:r w:rsidR="00AF3CE1">
        <w:rPr>
          <w:rFonts w:ascii="Arial" w:eastAsia="Arial" w:hAnsi="Arial" w:cs="Arial"/>
        </w:rPr>
        <w:t>zvýš</w:t>
      </w:r>
      <w:r w:rsidRPr="00BC4C69">
        <w:rPr>
          <w:rFonts w:ascii="Arial" w:eastAsia="Arial" w:hAnsi="Arial" w:cs="Arial"/>
        </w:rPr>
        <w:t xml:space="preserve">ení ceny o </w:t>
      </w:r>
      <w:r w:rsidR="00AF3CE1">
        <w:rPr>
          <w:rFonts w:ascii="Arial" w:eastAsia="Arial" w:hAnsi="Arial" w:cs="Arial"/>
        </w:rPr>
        <w:t>900</w:t>
      </w:r>
      <w:r w:rsidR="00241189" w:rsidRPr="00241189">
        <w:rPr>
          <w:rFonts w:ascii="Arial" w:eastAsia="Arial" w:hAnsi="Arial" w:cs="Arial"/>
        </w:rPr>
        <w:t xml:space="preserve">,- </w:t>
      </w:r>
      <w:r w:rsidRPr="00BC4C69">
        <w:rPr>
          <w:rFonts w:ascii="Arial" w:eastAsia="Arial" w:hAnsi="Arial" w:cs="Arial"/>
        </w:rPr>
        <w:t xml:space="preserve">Kč bez DPH, v absolutní hodnotě jde o změnu ceny </w:t>
      </w:r>
      <w:r w:rsidRPr="00671436">
        <w:rPr>
          <w:rFonts w:ascii="Arial" w:eastAsia="Arial" w:hAnsi="Arial" w:cs="Arial"/>
        </w:rPr>
        <w:t xml:space="preserve">ve výši </w:t>
      </w:r>
      <w:r w:rsidR="00AF3CE1" w:rsidRPr="00671436">
        <w:rPr>
          <w:rFonts w:ascii="Arial" w:eastAsia="Arial" w:hAnsi="Arial" w:cs="Arial"/>
        </w:rPr>
        <w:t>2</w:t>
      </w:r>
      <w:r w:rsidR="0096481A" w:rsidRPr="00671436">
        <w:rPr>
          <w:rFonts w:ascii="Arial" w:eastAsia="Arial" w:hAnsi="Arial" w:cs="Arial"/>
        </w:rPr>
        <w:t>5</w:t>
      </w:r>
      <w:r w:rsidR="00AF3CE1" w:rsidRPr="00671436">
        <w:rPr>
          <w:rFonts w:ascii="Arial" w:eastAsia="Arial" w:hAnsi="Arial" w:cs="Arial"/>
        </w:rPr>
        <w:t xml:space="preserve"> </w:t>
      </w:r>
      <w:r w:rsidR="0096481A" w:rsidRPr="00671436">
        <w:rPr>
          <w:rFonts w:ascii="Arial" w:eastAsia="Arial" w:hAnsi="Arial" w:cs="Arial"/>
        </w:rPr>
        <w:t>100</w:t>
      </w:r>
      <w:r w:rsidR="002C541D" w:rsidRPr="00671436">
        <w:rPr>
          <w:rFonts w:ascii="Arial" w:eastAsia="Arial" w:hAnsi="Arial" w:cs="Arial"/>
        </w:rPr>
        <w:t xml:space="preserve">,00 </w:t>
      </w:r>
      <w:r w:rsidRPr="00671436">
        <w:rPr>
          <w:rFonts w:ascii="Arial" w:eastAsia="Arial" w:hAnsi="Arial" w:cs="Arial"/>
        </w:rPr>
        <w:t xml:space="preserve">Kč bez DPH, </w:t>
      </w:r>
      <w:bookmarkStart w:id="3" w:name="_Hlk190962222"/>
      <w:bookmarkStart w:id="4" w:name="_Hlk192165787"/>
      <w:r w:rsidRPr="00671436">
        <w:rPr>
          <w:rFonts w:ascii="Arial" w:eastAsia="Arial" w:hAnsi="Arial" w:cs="Arial"/>
        </w:rPr>
        <w:t xml:space="preserve">což činí změnu </w:t>
      </w:r>
      <w:r w:rsidR="005435D6" w:rsidRPr="00671436">
        <w:rPr>
          <w:rFonts w:ascii="Arial" w:eastAsia="Arial" w:hAnsi="Arial" w:cs="Arial"/>
        </w:rPr>
        <w:t>0,</w:t>
      </w:r>
      <w:r w:rsidR="00AF3CE1" w:rsidRPr="00671436">
        <w:rPr>
          <w:rFonts w:ascii="Arial" w:eastAsia="Arial" w:hAnsi="Arial" w:cs="Arial"/>
        </w:rPr>
        <w:t>6</w:t>
      </w:r>
      <w:r w:rsidR="00671436" w:rsidRPr="00671436">
        <w:rPr>
          <w:rFonts w:ascii="Arial" w:eastAsia="Arial" w:hAnsi="Arial" w:cs="Arial"/>
        </w:rPr>
        <w:t>09</w:t>
      </w:r>
      <w:r w:rsidRPr="00671436">
        <w:rPr>
          <w:rFonts w:ascii="Arial" w:eastAsia="Arial" w:hAnsi="Arial" w:cs="Arial"/>
        </w:rPr>
        <w:t xml:space="preserve"> %</w:t>
      </w:r>
      <w:r w:rsidRPr="00BC4C69">
        <w:rPr>
          <w:rFonts w:ascii="Arial" w:eastAsia="Arial" w:hAnsi="Arial" w:cs="Arial"/>
        </w:rPr>
        <w:t xml:space="preserve"> původní ceny veřejné zakázky</w:t>
      </w:r>
      <w:bookmarkEnd w:id="3"/>
      <w:r w:rsidRPr="00BC4C69">
        <w:rPr>
          <w:rFonts w:ascii="Arial" w:eastAsia="Arial" w:hAnsi="Arial" w:cs="Arial"/>
        </w:rPr>
        <w:t xml:space="preserve"> </w:t>
      </w:r>
      <w:bookmarkEnd w:id="4"/>
      <w:r w:rsidRPr="00BC4C69">
        <w:rPr>
          <w:rFonts w:ascii="Arial" w:eastAsia="Arial" w:hAnsi="Arial" w:cs="Arial"/>
        </w:rPr>
        <w:t xml:space="preserve">na KoPÚ </w:t>
      </w:r>
      <w:r w:rsidR="005435D6" w:rsidRPr="00671436">
        <w:rPr>
          <w:rFonts w:ascii="Arial" w:eastAsia="Arial" w:hAnsi="Arial" w:cs="Arial"/>
        </w:rPr>
        <w:t>Bolehošť</w:t>
      </w:r>
      <w:r w:rsidRPr="00671436">
        <w:rPr>
          <w:rFonts w:ascii="Arial" w:eastAsia="Arial" w:hAnsi="Arial" w:cs="Arial"/>
        </w:rPr>
        <w:t xml:space="preserve">. </w:t>
      </w:r>
    </w:p>
    <w:p w14:paraId="2C904094" w14:textId="0EAF9D52" w:rsidR="00AF3CE1" w:rsidRDefault="00AF3CE1" w:rsidP="00AF3CE1">
      <w:pPr>
        <w:jc w:val="both"/>
        <w:rPr>
          <w:rFonts w:ascii="Arial" w:eastAsia="Arial" w:hAnsi="Arial" w:cs="Arial"/>
        </w:rPr>
      </w:pPr>
      <w:r w:rsidRPr="00671436">
        <w:rPr>
          <w:rFonts w:ascii="Arial" w:eastAsia="Arial" w:hAnsi="Arial" w:cs="Arial"/>
        </w:rPr>
        <w:t>Z hlediska zákona č. 134/2016 Sb. o zadávání veřejných zakázek jde o nepodstatnou změnu hodnoty závazku dle § 222 odst. 4 – celkem změna hodnoty závazku v absolutní hodnotě nepřesahuje 10 % (</w:t>
      </w:r>
      <w:r w:rsidR="00D47047" w:rsidRPr="00671436">
        <w:rPr>
          <w:rFonts w:ascii="Arial" w:eastAsia="Arial" w:hAnsi="Arial" w:cs="Arial"/>
        </w:rPr>
        <w:t>0,8</w:t>
      </w:r>
      <w:r w:rsidR="00671436" w:rsidRPr="00671436">
        <w:rPr>
          <w:rFonts w:ascii="Arial" w:eastAsia="Arial" w:hAnsi="Arial" w:cs="Arial"/>
        </w:rPr>
        <w:t>3</w:t>
      </w:r>
      <w:r w:rsidR="00D47047" w:rsidRPr="00671436">
        <w:rPr>
          <w:rFonts w:ascii="Arial" w:eastAsia="Arial" w:hAnsi="Arial" w:cs="Arial"/>
        </w:rPr>
        <w:t>8</w:t>
      </w:r>
      <w:r w:rsidRPr="00671436">
        <w:rPr>
          <w:rFonts w:ascii="Arial" w:eastAsia="Arial" w:hAnsi="Arial" w:cs="Arial"/>
        </w:rPr>
        <w:t xml:space="preserve"> %) původní hodnoty závazku KoPÚ Bolehošť. Dodatkem č. 1 došlo ke změně hodnoty závazku ve výši 0,</w:t>
      </w:r>
      <w:r w:rsidR="00D47047" w:rsidRPr="00671436">
        <w:rPr>
          <w:rFonts w:ascii="Arial" w:eastAsia="Arial" w:hAnsi="Arial" w:cs="Arial"/>
        </w:rPr>
        <w:t>0</w:t>
      </w:r>
      <w:r w:rsidRPr="00671436">
        <w:rPr>
          <w:rFonts w:ascii="Arial" w:eastAsia="Arial" w:hAnsi="Arial" w:cs="Arial"/>
        </w:rPr>
        <w:t>6 % původní hodnoty závazku, dodatkem č. 4 došlo ke změně ve výši 0,1</w:t>
      </w:r>
      <w:r w:rsidR="00671436" w:rsidRPr="00671436">
        <w:rPr>
          <w:rFonts w:ascii="Arial" w:eastAsia="Arial" w:hAnsi="Arial" w:cs="Arial"/>
        </w:rPr>
        <w:t>69</w:t>
      </w:r>
      <w:r w:rsidRPr="00671436">
        <w:rPr>
          <w:rFonts w:ascii="Arial" w:eastAsia="Arial" w:hAnsi="Arial" w:cs="Arial"/>
        </w:rPr>
        <w:t>%, tímto dodatkem dojde ke změně ve výši 0,</w:t>
      </w:r>
      <w:r w:rsidR="00D47047" w:rsidRPr="00671436">
        <w:rPr>
          <w:rFonts w:ascii="Arial" w:eastAsia="Arial" w:hAnsi="Arial" w:cs="Arial"/>
        </w:rPr>
        <w:t>6</w:t>
      </w:r>
      <w:r w:rsidR="00671436" w:rsidRPr="00671436">
        <w:rPr>
          <w:rFonts w:ascii="Arial" w:eastAsia="Arial" w:hAnsi="Arial" w:cs="Arial"/>
        </w:rPr>
        <w:t>09</w:t>
      </w:r>
      <w:r w:rsidRPr="00671436">
        <w:rPr>
          <w:rFonts w:ascii="Arial" w:eastAsia="Arial" w:hAnsi="Arial" w:cs="Arial"/>
        </w:rPr>
        <w:t>%.</w:t>
      </w:r>
    </w:p>
    <w:p w14:paraId="7E050806" w14:textId="77777777" w:rsidR="00671436" w:rsidRDefault="00671436" w:rsidP="00AF3CE1">
      <w:pPr>
        <w:jc w:val="both"/>
        <w:rPr>
          <w:rFonts w:ascii="Arial" w:eastAsia="Arial" w:hAnsi="Arial" w:cs="Arial"/>
        </w:rPr>
      </w:pPr>
    </w:p>
    <w:p w14:paraId="26F72E62" w14:textId="77777777" w:rsidR="000218B4" w:rsidRDefault="000218B4" w:rsidP="00997ABA">
      <w:pPr>
        <w:jc w:val="both"/>
        <w:rPr>
          <w:rFonts w:ascii="Arial" w:eastAsia="Arial" w:hAnsi="Arial" w:cs="Arial"/>
        </w:rPr>
      </w:pPr>
    </w:p>
    <w:p w14:paraId="35ECE965" w14:textId="77777777" w:rsidR="00DC4515" w:rsidRDefault="00DC4515" w:rsidP="00DC4515">
      <w:pPr>
        <w:keepNext/>
        <w:keepLines/>
        <w:numPr>
          <w:ilvl w:val="0"/>
          <w:numId w:val="57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5" w:name="_Hlk119938321"/>
      <w:bookmarkEnd w:id="2"/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bookmarkStart w:id="6" w:name="_Hlk119938290"/>
      <w:r w:rsidRPr="0028347B">
        <w:rPr>
          <w:rFonts w:ascii="Arial" w:eastAsia="Times New Roman" w:hAnsi="Arial" w:cs="Arial"/>
          <w:sz w:val="32"/>
          <w:szCs w:val="28"/>
        </w:rPr>
        <w:t>Předmět dodatku</w:t>
      </w:r>
      <w:bookmarkEnd w:id="6"/>
    </w:p>
    <w:bookmarkEnd w:id="5"/>
    <w:p w14:paraId="05FA7CEB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39AB89F9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10EC8AC1" w14:textId="7CDA0EAE" w:rsidR="002033DD" w:rsidRDefault="002033DD" w:rsidP="002033DD">
      <w:pPr>
        <w:numPr>
          <w:ilvl w:val="1"/>
          <w:numId w:val="57"/>
        </w:numPr>
        <w:spacing w:after="0"/>
        <w:ind w:left="567" w:hanging="567"/>
        <w:contextualSpacing/>
        <w:jc w:val="both"/>
        <w:rPr>
          <w:rFonts w:ascii="Arial" w:hAnsi="Arial" w:cs="Arial"/>
        </w:rPr>
      </w:pPr>
      <w:r w:rsidRPr="00DD5D7C">
        <w:rPr>
          <w:rFonts w:ascii="Arial" w:hAnsi="Arial" w:cs="Arial"/>
        </w:rPr>
        <w:t xml:space="preserve">Tímto dodatkem se mění </w:t>
      </w:r>
      <w:r w:rsidRPr="00F32BAB">
        <w:rPr>
          <w:rFonts w:ascii="Arial" w:hAnsi="Arial" w:cs="Arial"/>
        </w:rPr>
        <w:t xml:space="preserve">počet měrných jednotek </w:t>
      </w:r>
      <w:r>
        <w:rPr>
          <w:rFonts w:ascii="Arial" w:hAnsi="Arial" w:cs="Arial"/>
        </w:rPr>
        <w:t>a termín</w:t>
      </w:r>
      <w:r w:rsidR="00D77664">
        <w:rPr>
          <w:rFonts w:ascii="Arial" w:hAnsi="Arial" w:cs="Arial"/>
        </w:rPr>
        <w:t xml:space="preserve"> plnění </w:t>
      </w:r>
      <w:r w:rsidRPr="00F32BAB">
        <w:rPr>
          <w:rFonts w:ascii="Arial" w:hAnsi="Arial" w:cs="Arial"/>
        </w:rPr>
        <w:t>u dílčích částí</w:t>
      </w:r>
      <w:r>
        <w:rPr>
          <w:rFonts w:ascii="Arial" w:hAnsi="Arial" w:cs="Arial"/>
        </w:rPr>
        <w:t xml:space="preserve"> </w:t>
      </w:r>
      <w:r w:rsidRPr="00DD5D7C">
        <w:rPr>
          <w:rFonts w:ascii="Arial" w:hAnsi="Arial" w:cs="Arial"/>
        </w:rPr>
        <w:t xml:space="preserve">uvedených v </w:t>
      </w:r>
      <w:r w:rsidRPr="00F65774">
        <w:rPr>
          <w:rFonts w:ascii="Arial" w:hAnsi="Arial" w:cs="Arial"/>
        </w:rPr>
        <w:t>Položkovém výkazu činností, který je přílohou smlouvy o dílo takto:</w:t>
      </w:r>
    </w:p>
    <w:p w14:paraId="36293C11" w14:textId="77777777" w:rsidR="002033DD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438"/>
        <w:gridCol w:w="851"/>
        <w:gridCol w:w="850"/>
        <w:gridCol w:w="1289"/>
        <w:gridCol w:w="1220"/>
        <w:gridCol w:w="1083"/>
        <w:gridCol w:w="1341"/>
      </w:tblGrid>
      <w:tr w:rsidR="003164AA" w:rsidRPr="003164AA" w14:paraId="63267719" w14:textId="77777777" w:rsidTr="00D910AF">
        <w:trPr>
          <w:trHeight w:val="169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FED8EF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D4EB85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5C049D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29EDD0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 dle Dod. Č. 4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953FF9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dle Dodatku č. 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C3ED26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dle Dodatku č. 4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6DC5C3" w14:textId="7EBD465A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Změna ceny </w:t>
            </w:r>
            <w:r w:rsidR="00E617C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 Kč </w:t>
            </w: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bez DPH 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A674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164AA" w:rsidRPr="003164AA" w14:paraId="7A88746D" w14:textId="77777777" w:rsidTr="00D910AF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B3D472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F580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1268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F0A1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29F4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4AD6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BB60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41E3A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164AA" w:rsidRPr="003164AA" w14:paraId="4FF505B6" w14:textId="77777777" w:rsidTr="00D910AF">
        <w:trPr>
          <w:trHeight w:val="136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863D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A9C0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118D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3028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3185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7DA0" w14:textId="2D93E69C" w:rsidR="003164AA" w:rsidRPr="00D23569" w:rsidRDefault="00AF3CE1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13 000</w:t>
            </w:r>
            <w:r w:rsidR="003164AA"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59CF" w14:textId="7FDB00C2" w:rsidR="003164AA" w:rsidRPr="003164AA" w:rsidRDefault="00AF3CE1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13 000,00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24F9E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30.6.2025</w:t>
            </w:r>
          </w:p>
        </w:tc>
      </w:tr>
      <w:tr w:rsidR="003164AA" w:rsidRPr="003164AA" w14:paraId="74F67732" w14:textId="77777777" w:rsidTr="00D910A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61620C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B3509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E6979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0FA36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BA663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AE35B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0F2AA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2267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164AA" w:rsidRPr="003164AA" w14:paraId="1C16EE36" w14:textId="77777777" w:rsidTr="00D910AF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8B2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7" w:name="_Hlk192236063"/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3E23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8467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4C65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655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8486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639 848,00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ED9C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634 040,00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46D9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-5 808,00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D01E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</w:tr>
      <w:bookmarkEnd w:id="7"/>
      <w:tr w:rsidR="003164AA" w:rsidRPr="003164AA" w14:paraId="5C0A7FAA" w14:textId="77777777" w:rsidTr="00D910AF">
        <w:trPr>
          <w:trHeight w:val="961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2E4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44A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E17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5EF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4C27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19 360,00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1DFB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19 360,00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E74C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052288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64AA" w:rsidRPr="003164AA" w14:paraId="70959397" w14:textId="77777777" w:rsidTr="00D910AF">
        <w:trPr>
          <w:trHeight w:val="9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88CF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D3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370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35DC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1F46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145 200,00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9EEB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145 200,00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52B8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044345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64AA" w:rsidRPr="003164AA" w14:paraId="4CDB64F8" w14:textId="77777777" w:rsidTr="00D910AF">
        <w:trPr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0CC7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1120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281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AC73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8C98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94BC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D142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2E861B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64AA" w:rsidRPr="003164AA" w14:paraId="5F07B0C0" w14:textId="77777777" w:rsidTr="00D910AF">
        <w:trPr>
          <w:trHeight w:val="99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498D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5653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9F85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8456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BAFA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60 500,00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B34F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60 500,00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90CD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9FDDAB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64AA" w:rsidRPr="003164AA" w14:paraId="0965CF7A" w14:textId="77777777" w:rsidTr="00D910AF">
        <w:trPr>
          <w:trHeight w:val="8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A877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8" w:name="_Hlk192236146"/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A97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1922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4DD" w14:textId="77777777" w:rsidR="003164AA" w:rsidRPr="00D23569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655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987B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639 848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8CD0" w14:textId="77777777" w:rsidR="003164AA" w:rsidRPr="00D23569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634 040,00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125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-5 808,00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3A28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31.10.2026</w:t>
            </w:r>
          </w:p>
        </w:tc>
      </w:tr>
      <w:tr w:rsidR="003164AA" w:rsidRPr="003164AA" w14:paraId="7F236E63" w14:textId="77777777" w:rsidTr="00D910AF">
        <w:trPr>
          <w:trHeight w:val="73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1E9D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9" w:name="_Hlk192236204"/>
            <w:bookmarkEnd w:id="8"/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35B8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8EAA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D9C9" w14:textId="77777777" w:rsidR="003164AA" w:rsidRPr="00D23569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FDDF8B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320 408,00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5A413" w14:textId="77777777" w:rsidR="003164AA" w:rsidRPr="00D23569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319 924,00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8CE" w14:textId="77777777" w:rsidR="003164AA" w:rsidRPr="003164AA" w:rsidRDefault="003164A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-484,00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10C0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bookmarkEnd w:id="9"/>
      <w:tr w:rsidR="003164AA" w:rsidRPr="003164AA" w14:paraId="4E557DEF" w14:textId="77777777" w:rsidTr="00D910AF">
        <w:trPr>
          <w:trHeight w:val="84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EC79A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celkem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4C0755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C21E0C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87DB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99B3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4A43" w14:textId="1531CC69" w:rsidR="003164AA" w:rsidRPr="003164AA" w:rsidRDefault="00AF3CE1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900</w:t>
            </w:r>
            <w:r w:rsidR="003164AA"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A4D7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164AA" w:rsidRPr="003164AA" w14:paraId="2349D974" w14:textId="77777777" w:rsidTr="00D910AF">
        <w:trPr>
          <w:trHeight w:val="675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D0BA5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celkem v absolutní hodnotě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4A045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53D0E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3E83A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BE00" w14:textId="77777777" w:rsidR="003164AA" w:rsidRPr="003164AA" w:rsidRDefault="003164AA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0A66" w14:textId="360E7A0C" w:rsidR="003164AA" w:rsidRPr="003164AA" w:rsidRDefault="0096481A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0" w:name="_Hlk192165618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25 100</w:t>
            </w:r>
            <w:r w:rsidR="003164AA"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  <w:bookmarkEnd w:id="10"/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C365" w14:textId="77777777" w:rsidR="003164AA" w:rsidRPr="003164AA" w:rsidRDefault="003164AA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75AEE707" w14:textId="77777777" w:rsidR="002033DD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p w14:paraId="60C57BEE" w14:textId="77777777" w:rsidR="002033DD" w:rsidRPr="005233A7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p w14:paraId="10B1A176" w14:textId="52659567" w:rsidR="00997ABA" w:rsidRDefault="00997ABA" w:rsidP="00997AB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Nové znění Položkového výkazu činností je nedílnou součástí tohoto </w:t>
      </w:r>
      <w:r w:rsidR="005D32D7">
        <w:rPr>
          <w:rFonts w:ascii="Arial" w:hAnsi="Arial" w:cs="Arial"/>
        </w:rPr>
        <w:t>d</w:t>
      </w:r>
      <w:r>
        <w:rPr>
          <w:rFonts w:ascii="Arial" w:hAnsi="Arial" w:cs="Arial"/>
        </w:rPr>
        <w:t>odatku.</w:t>
      </w:r>
    </w:p>
    <w:p w14:paraId="11A11F6B" w14:textId="77777777" w:rsidR="009E60FB" w:rsidRDefault="009E60FB" w:rsidP="007813E9">
      <w:pPr>
        <w:spacing w:before="120"/>
        <w:rPr>
          <w:rFonts w:ascii="Arial" w:eastAsia="Arial" w:hAnsi="Arial" w:cs="Arial"/>
          <w:lang w:val="fr-FR"/>
        </w:rPr>
      </w:pPr>
    </w:p>
    <w:p w14:paraId="717E7A7A" w14:textId="6021F42C" w:rsidR="00DC4515" w:rsidRPr="009342E5" w:rsidRDefault="00DC4515" w:rsidP="007813E9">
      <w:pPr>
        <w:spacing w:before="120"/>
        <w:rPr>
          <w:rFonts w:ascii="Arial" w:eastAsia="Arial" w:hAnsi="Arial" w:cs="Arial"/>
          <w:lang w:val="fr-FR"/>
        </w:rPr>
      </w:pPr>
      <w:r w:rsidRPr="009342E5">
        <w:rPr>
          <w:rFonts w:ascii="Arial" w:eastAsia="Arial" w:hAnsi="Arial" w:cs="Arial"/>
          <w:lang w:val="fr-FR"/>
        </w:rPr>
        <w:t>Tímto dodatkem se mění ustanovení bodu 3.1. SoD takto:</w:t>
      </w:r>
    </w:p>
    <w:p w14:paraId="5800DDCC" w14:textId="236FED24" w:rsidR="00DC4515" w:rsidRPr="00DC4515" w:rsidRDefault="00DC4515" w:rsidP="00DC4515">
      <w:pPr>
        <w:pStyle w:val="Level2"/>
        <w:numPr>
          <w:ilvl w:val="0"/>
          <w:numId w:val="0"/>
        </w:numPr>
        <w:spacing w:line="240" w:lineRule="auto"/>
        <w:ind w:left="1248" w:hanging="680"/>
        <w:jc w:val="both"/>
        <w:rPr>
          <w:rFonts w:ascii="Arial" w:hAnsi="Arial" w:cs="Arial"/>
          <w:szCs w:val="22"/>
        </w:rPr>
      </w:pPr>
      <w:bookmarkStart w:id="11" w:name="_Ref50474873"/>
      <w:r>
        <w:rPr>
          <w:rFonts w:ascii="Arial" w:hAnsi="Arial" w:cs="Arial"/>
          <w:szCs w:val="22"/>
        </w:rPr>
        <w:t>3.1.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End w:id="11"/>
    </w:p>
    <w:tbl>
      <w:tblPr>
        <w:tblW w:w="46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3397"/>
      </w:tblGrid>
      <w:tr w:rsidR="00AF3CE1" w:rsidRPr="00C62699" w14:paraId="566AFE40" w14:textId="77777777" w:rsidTr="00D91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0757" w14:textId="77777777" w:rsidR="00AF3CE1" w:rsidRPr="00C62699" w:rsidRDefault="00AF3CE1" w:rsidP="00AF3CE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6DC4" w14:textId="4DDAB3E7" w:rsidR="00AF3CE1" w:rsidRPr="00AF3CE1" w:rsidRDefault="00AF3CE1" w:rsidP="00AF3CE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AF3CE1">
              <w:rPr>
                <w:rFonts w:ascii="Arial" w:hAnsi="Arial" w:cs="Arial"/>
              </w:rPr>
              <w:t>2 199 798,00</w:t>
            </w:r>
          </w:p>
        </w:tc>
      </w:tr>
      <w:tr w:rsidR="00AF3CE1" w:rsidRPr="00C62699" w14:paraId="25942F57" w14:textId="77777777" w:rsidTr="00D91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570" w14:textId="77777777" w:rsidR="00AF3CE1" w:rsidRPr="00C62699" w:rsidRDefault="00AF3CE1" w:rsidP="00AF3CE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81E0" w14:textId="2DC4098F" w:rsidR="00AF3CE1" w:rsidRPr="00AF3CE1" w:rsidRDefault="00AF3CE1" w:rsidP="00AF3CE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AF3CE1">
              <w:rPr>
                <w:rFonts w:ascii="Arial" w:hAnsi="Arial" w:cs="Arial"/>
              </w:rPr>
              <w:t>1 595 990,00</w:t>
            </w:r>
          </w:p>
        </w:tc>
      </w:tr>
      <w:tr w:rsidR="00AF3CE1" w:rsidRPr="00C62699" w14:paraId="3CDA995B" w14:textId="77777777" w:rsidTr="00D91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297" w14:textId="77777777" w:rsidR="00AF3CE1" w:rsidRPr="00C62699" w:rsidRDefault="00AF3CE1" w:rsidP="00AF3CE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875C" w14:textId="6D40387C" w:rsidR="00AF3CE1" w:rsidRPr="00AF3CE1" w:rsidRDefault="00AF3CE1" w:rsidP="00AF3CE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AF3CE1">
              <w:rPr>
                <w:rFonts w:ascii="Arial" w:hAnsi="Arial" w:cs="Arial"/>
              </w:rPr>
              <w:t>319 924,00</w:t>
            </w:r>
          </w:p>
        </w:tc>
      </w:tr>
      <w:tr w:rsidR="00AF3CE1" w:rsidRPr="00C62699" w14:paraId="0BA49257" w14:textId="77777777" w:rsidTr="00D91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A1618" w14:textId="77777777" w:rsidR="00AF3CE1" w:rsidRPr="00C62699" w:rsidRDefault="00AF3CE1" w:rsidP="00AF3CE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E6EFC" w14:textId="1B91A31B" w:rsidR="00AF3CE1" w:rsidRPr="00AF3CE1" w:rsidRDefault="00AF3CE1" w:rsidP="00AF3CE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AF3CE1">
              <w:rPr>
                <w:rFonts w:ascii="Arial" w:hAnsi="Arial" w:cs="Arial"/>
              </w:rPr>
              <w:t>4 115 712,00</w:t>
            </w:r>
          </w:p>
        </w:tc>
      </w:tr>
      <w:tr w:rsidR="00AF3CE1" w:rsidRPr="00ED6435" w14:paraId="13F611B3" w14:textId="77777777" w:rsidTr="00D91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073" w14:textId="77777777" w:rsidR="00AF3CE1" w:rsidRPr="00C62699" w:rsidRDefault="00AF3CE1" w:rsidP="00AF3CE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9222" w14:textId="22BF4304" w:rsidR="00AF3CE1" w:rsidRPr="00AF3CE1" w:rsidRDefault="00AF3CE1" w:rsidP="00AF3CE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AF3CE1">
              <w:rPr>
                <w:rFonts w:ascii="Arial" w:hAnsi="Arial" w:cs="Arial"/>
              </w:rPr>
              <w:t>864 299,</w:t>
            </w:r>
            <w:r w:rsidR="00553AAD">
              <w:rPr>
                <w:rFonts w:ascii="Arial" w:hAnsi="Arial" w:cs="Arial"/>
              </w:rPr>
              <w:t>03</w:t>
            </w:r>
          </w:p>
        </w:tc>
      </w:tr>
      <w:tr w:rsidR="00AF3CE1" w:rsidRPr="00ED6435" w14:paraId="41F25AC0" w14:textId="77777777" w:rsidTr="00D914D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1B05B" w14:textId="77777777" w:rsidR="00AF3CE1" w:rsidRPr="00ED6435" w:rsidRDefault="00AF3CE1" w:rsidP="00AF3CE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772F7" w14:textId="76240B41" w:rsidR="00AF3CE1" w:rsidRPr="00AF3CE1" w:rsidRDefault="00AF3CE1" w:rsidP="00AF3CE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AF3CE1">
              <w:rPr>
                <w:rFonts w:ascii="Arial" w:hAnsi="Arial" w:cs="Arial"/>
              </w:rPr>
              <w:t>4 980 011,</w:t>
            </w:r>
            <w:r w:rsidR="00553AAD">
              <w:rPr>
                <w:rFonts w:ascii="Arial" w:hAnsi="Arial" w:cs="Arial"/>
              </w:rPr>
              <w:t>03</w:t>
            </w:r>
          </w:p>
        </w:tc>
      </w:tr>
    </w:tbl>
    <w:p w14:paraId="10B3F099" w14:textId="7DB5AC4D" w:rsidR="00DC4515" w:rsidRDefault="00DC4515" w:rsidP="00DC4515">
      <w:pPr>
        <w:rPr>
          <w:rFonts w:ascii="Calibri" w:eastAsia="Calibri" w:hAnsi="Calibri" w:cs="Times New Roman"/>
        </w:rPr>
      </w:pPr>
    </w:p>
    <w:p w14:paraId="3DA0128A" w14:textId="77777777" w:rsidR="00867E1C" w:rsidRDefault="00867E1C" w:rsidP="00DC4515">
      <w:pPr>
        <w:rPr>
          <w:rFonts w:ascii="Calibri" w:eastAsia="Calibri" w:hAnsi="Calibri" w:cs="Times New Roman"/>
        </w:rPr>
      </w:pPr>
    </w:p>
    <w:p w14:paraId="6221E86F" w14:textId="77777777" w:rsidR="00DC4515" w:rsidRPr="0028347B" w:rsidRDefault="00DC4515" w:rsidP="00CD2A32">
      <w:pPr>
        <w:keepNext/>
        <w:keepLines/>
        <w:numPr>
          <w:ilvl w:val="0"/>
          <w:numId w:val="57"/>
        </w:numPr>
        <w:spacing w:before="240" w:after="24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 w:cs="Times New Roman"/>
          <w:sz w:val="32"/>
          <w:szCs w:val="28"/>
        </w:rPr>
        <w:lastRenderedPageBreak/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04BBD28B" w14:textId="28BFBBB1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SoD se tímto dodatkem nemění.</w:t>
      </w:r>
    </w:p>
    <w:p w14:paraId="5E904061" w14:textId="5F02A33A" w:rsidR="00537B5F" w:rsidRDefault="00537B5F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</w:p>
    <w:p w14:paraId="3488C828" w14:textId="77777777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7E738011" w14:textId="3130FEE4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</w:t>
      </w:r>
      <w:r w:rsidR="0006709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obsahem, dále prohlašují, že dodatek nebyl sepsán v tísni ani za nápadně nevýhodných podmínek. Na důkaz své pravé a svobodné vůle připojují své podpisy.</w:t>
      </w:r>
    </w:p>
    <w:p w14:paraId="4F17588E" w14:textId="4DAD2DCE" w:rsidR="00537B5F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C31919" w14:textId="77777777" w:rsidR="00537B5F" w:rsidRPr="00ED6435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2919B0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5D14">
        <w:rPr>
          <w:rFonts w:ascii="Arial" w:eastAsia="Times New Roman" w:hAnsi="Arial" w:cs="Arial"/>
          <w:b/>
          <w:lang w:eastAsia="cs-CZ"/>
        </w:rPr>
        <w:t>INGEOS spol. s r.o.</w:t>
      </w:r>
    </w:p>
    <w:p w14:paraId="52DB552F" w14:textId="369E995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C285A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5D14">
        <w:rPr>
          <w:rFonts w:ascii="Arial" w:eastAsia="Times New Roman" w:hAnsi="Arial" w:cs="Arial"/>
          <w:bCs/>
          <w:lang w:eastAsia="cs-CZ"/>
        </w:rPr>
        <w:t>Teplice</w:t>
      </w:r>
    </w:p>
    <w:p w14:paraId="122CCDBC" w14:textId="77777777" w:rsidR="00137D2F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0143E8C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C5796">
        <w:rPr>
          <w:rFonts w:ascii="Arial" w:eastAsia="Times New Roman" w:hAnsi="Arial" w:cs="Arial"/>
          <w:bCs/>
          <w:lang w:eastAsia="cs-CZ"/>
        </w:rPr>
        <w:t>14.4.2025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C5796">
        <w:rPr>
          <w:rFonts w:ascii="Arial" w:eastAsia="Times New Roman" w:hAnsi="Arial" w:cs="Arial"/>
          <w:bCs/>
          <w:lang w:eastAsia="cs-CZ"/>
        </w:rPr>
        <w:t>14.4.2025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063A24" w14:textId="77777777" w:rsidR="00137D2F" w:rsidRPr="00ED6435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3D1725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C285A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E5D14">
        <w:rPr>
          <w:rFonts w:ascii="Arial" w:eastAsia="Times New Roman" w:hAnsi="Arial" w:cs="Arial"/>
          <w:bCs/>
          <w:lang w:eastAsia="cs-CZ"/>
        </w:rPr>
        <w:t>Tomáš Charvát</w:t>
      </w:r>
    </w:p>
    <w:p w14:paraId="7598F50C" w14:textId="762714F8" w:rsidR="00B3745E" w:rsidRPr="004A59A2" w:rsidRDefault="002B735B" w:rsidP="004A59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C285A">
        <w:rPr>
          <w:rFonts w:ascii="Arial" w:eastAsia="Times New Roman" w:hAnsi="Arial" w:cs="Arial"/>
          <w:bCs/>
          <w:lang w:eastAsia="cs-CZ"/>
        </w:rPr>
        <w:t>vedoucí Pobočky Rychnov n.Kn.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E5D14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B3745E" w:rsidRPr="004A59A2" w:rsidSect="00671436">
      <w:headerReference w:type="default" r:id="rId14"/>
      <w:footerReference w:type="default" r:id="rId15"/>
      <w:headerReference w:type="first" r:id="rId16"/>
      <w:pgSz w:w="11907" w:h="16839" w:code="9"/>
      <w:pgMar w:top="1418" w:right="992" w:bottom="1134" w:left="1077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D6DE" w14:textId="77777777" w:rsidR="005B479E" w:rsidRDefault="005B479E" w:rsidP="007936E4">
      <w:pPr>
        <w:spacing w:after="0"/>
      </w:pPr>
      <w:r>
        <w:separator/>
      </w:r>
    </w:p>
  </w:endnote>
  <w:endnote w:type="continuationSeparator" w:id="0">
    <w:p w14:paraId="1D94F5AB" w14:textId="77777777" w:rsidR="005B479E" w:rsidRDefault="005B479E" w:rsidP="007936E4">
      <w:pPr>
        <w:spacing w:after="0"/>
      </w:pPr>
      <w:r>
        <w:continuationSeparator/>
      </w:r>
    </w:p>
  </w:endnote>
  <w:endnote w:type="continuationNotice" w:id="1">
    <w:p w14:paraId="2AE02D96" w14:textId="77777777" w:rsidR="005B479E" w:rsidRDefault="005B479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806B" w14:textId="77777777" w:rsidR="005B479E" w:rsidRDefault="005B479E" w:rsidP="007936E4">
      <w:pPr>
        <w:spacing w:after="0"/>
      </w:pPr>
      <w:r>
        <w:separator/>
      </w:r>
    </w:p>
  </w:footnote>
  <w:footnote w:type="continuationSeparator" w:id="0">
    <w:p w14:paraId="012A1A84" w14:textId="77777777" w:rsidR="005B479E" w:rsidRDefault="005B479E" w:rsidP="007936E4">
      <w:pPr>
        <w:spacing w:after="0"/>
      </w:pPr>
      <w:r>
        <w:continuationSeparator/>
      </w:r>
    </w:p>
  </w:footnote>
  <w:footnote w:type="continuationNotice" w:id="1">
    <w:p w14:paraId="2B6CBDA8" w14:textId="77777777" w:rsidR="005B479E" w:rsidRDefault="005B479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457DD3" w:rsidR="00043079" w:rsidRPr="001D4BED" w:rsidRDefault="00850D1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F3CE1">
      <w:rPr>
        <w:szCs w:val="16"/>
      </w:rPr>
      <w:t>5</w:t>
    </w:r>
    <w:r>
      <w:rPr>
        <w:szCs w:val="16"/>
      </w:rPr>
      <w:t xml:space="preserve">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F40EA">
      <w:rPr>
        <w:szCs w:val="16"/>
      </w:rPr>
      <w:t>Bolehošť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6B98A60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131F8">
      <w:rPr>
        <w:rFonts w:cs="Arial"/>
        <w:szCs w:val="16"/>
        <w:lang w:val="fr-FR" w:eastAsia="cs-CZ"/>
      </w:rPr>
      <w:t>1061-2022-514204</w:t>
    </w:r>
    <w:r w:rsidR="007977F6">
      <w:rPr>
        <w:rFonts w:cs="Arial"/>
        <w:szCs w:val="16"/>
        <w:lang w:val="fr-FR" w:eastAsia="cs-CZ"/>
      </w:rPr>
      <w:t>/</w:t>
    </w:r>
    <w:r w:rsidR="00AF3CE1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129CC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234E87">
      <w:rPr>
        <w:rFonts w:cs="Arial"/>
        <w:szCs w:val="16"/>
        <w:lang w:val="fr-FR" w:eastAsia="cs-CZ"/>
      </w:rPr>
      <w:t xml:space="preserve"> </w:t>
    </w:r>
    <w:r w:rsidR="00234E87" w:rsidRPr="00234E87">
      <w:rPr>
        <w:rFonts w:cs="Arial"/>
        <w:szCs w:val="16"/>
        <w:lang w:val="fr-FR" w:eastAsia="cs-CZ"/>
      </w:rPr>
      <w:t>31/2022</w:t>
    </w:r>
    <w:r w:rsidRPr="001D4BED">
      <w:rPr>
        <w:rFonts w:cs="Arial"/>
        <w:szCs w:val="16"/>
        <w:lang w:val="fr-FR" w:eastAsia="cs-CZ"/>
      </w:rPr>
      <w:tab/>
    </w:r>
  </w:p>
  <w:p w14:paraId="6F75F815" w14:textId="4F983EF1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E5A1D">
      <w:rPr>
        <w:rFonts w:cs="Arial"/>
        <w:szCs w:val="16"/>
        <w:lang w:val="fr-FR" w:eastAsia="cs-CZ"/>
      </w:rPr>
      <w:t>Bolehošť</w:t>
    </w:r>
  </w:p>
  <w:p w14:paraId="0AC7D67B" w14:textId="229839F0" w:rsidR="00AF3CE1" w:rsidRPr="001D4BED" w:rsidRDefault="00AF3CE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UID:</w:t>
    </w:r>
    <w:r w:rsidR="004E1C3D">
      <w:rPr>
        <w:rFonts w:cs="Arial"/>
        <w:szCs w:val="16"/>
        <w:lang w:val="fr-FR" w:eastAsia="cs-CZ"/>
      </w:rPr>
      <w:t xml:space="preserve"> </w:t>
    </w:r>
    <w:r w:rsidR="004E1C3D" w:rsidRPr="004E1C3D">
      <w:rPr>
        <w:rFonts w:cs="Arial"/>
        <w:szCs w:val="16"/>
        <w:lang w:val="fr-FR" w:eastAsia="cs-CZ"/>
      </w:rPr>
      <w:t>spudms00000015451705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AEDCD3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7500">
    <w:abstractNumId w:val="31"/>
  </w:num>
  <w:num w:numId="2" w16cid:durableId="1537766721">
    <w:abstractNumId w:val="36"/>
  </w:num>
  <w:num w:numId="3" w16cid:durableId="1370689745">
    <w:abstractNumId w:val="18"/>
  </w:num>
  <w:num w:numId="4" w16cid:durableId="1183975525">
    <w:abstractNumId w:val="22"/>
  </w:num>
  <w:num w:numId="5" w16cid:durableId="2102217852">
    <w:abstractNumId w:val="33"/>
  </w:num>
  <w:num w:numId="6" w16cid:durableId="257837101">
    <w:abstractNumId w:val="9"/>
  </w:num>
  <w:num w:numId="7" w16cid:durableId="182059185">
    <w:abstractNumId w:val="25"/>
  </w:num>
  <w:num w:numId="8" w16cid:durableId="1486628011">
    <w:abstractNumId w:val="4"/>
  </w:num>
  <w:num w:numId="9" w16cid:durableId="2093770307">
    <w:abstractNumId w:val="0"/>
  </w:num>
  <w:num w:numId="10" w16cid:durableId="2015105010">
    <w:abstractNumId w:val="5"/>
  </w:num>
  <w:num w:numId="11" w16cid:durableId="1188177019">
    <w:abstractNumId w:val="39"/>
  </w:num>
  <w:num w:numId="12" w16cid:durableId="802846328">
    <w:abstractNumId w:val="19"/>
  </w:num>
  <w:num w:numId="13" w16cid:durableId="1134058246">
    <w:abstractNumId w:val="38"/>
  </w:num>
  <w:num w:numId="14" w16cid:durableId="442112246">
    <w:abstractNumId w:val="30"/>
  </w:num>
  <w:num w:numId="15" w16cid:durableId="853809254">
    <w:abstractNumId w:val="12"/>
  </w:num>
  <w:num w:numId="16" w16cid:durableId="6367874">
    <w:abstractNumId w:val="26"/>
  </w:num>
  <w:num w:numId="17" w16cid:durableId="2136947316">
    <w:abstractNumId w:val="12"/>
    <w:lvlOverride w:ilvl="0">
      <w:startOverride w:val="1"/>
    </w:lvlOverride>
  </w:num>
  <w:num w:numId="18" w16cid:durableId="1663853473">
    <w:abstractNumId w:val="21"/>
  </w:num>
  <w:num w:numId="19" w16cid:durableId="304629811">
    <w:abstractNumId w:val="35"/>
  </w:num>
  <w:num w:numId="20" w16cid:durableId="780761529">
    <w:abstractNumId w:val="28"/>
  </w:num>
  <w:num w:numId="21" w16cid:durableId="352847373">
    <w:abstractNumId w:val="11"/>
  </w:num>
  <w:num w:numId="22" w16cid:durableId="1739862298">
    <w:abstractNumId w:val="36"/>
  </w:num>
  <w:num w:numId="23" w16cid:durableId="8432068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53530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947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538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0831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10827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88537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89283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4731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1213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6572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93742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81240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3259339">
    <w:abstractNumId w:val="16"/>
  </w:num>
  <w:num w:numId="37" w16cid:durableId="2099598240">
    <w:abstractNumId w:val="6"/>
  </w:num>
  <w:num w:numId="38" w16cid:durableId="671756066">
    <w:abstractNumId w:val="20"/>
  </w:num>
  <w:num w:numId="39" w16cid:durableId="414322889">
    <w:abstractNumId w:val="15"/>
  </w:num>
  <w:num w:numId="40" w16cid:durableId="165632644">
    <w:abstractNumId w:val="23"/>
  </w:num>
  <w:num w:numId="41" w16cid:durableId="1388796443">
    <w:abstractNumId w:val="2"/>
  </w:num>
  <w:num w:numId="42" w16cid:durableId="423384130">
    <w:abstractNumId w:val="14"/>
  </w:num>
  <w:num w:numId="43" w16cid:durableId="1921676104">
    <w:abstractNumId w:val="13"/>
  </w:num>
  <w:num w:numId="44" w16cid:durableId="396634056">
    <w:abstractNumId w:val="1"/>
  </w:num>
  <w:num w:numId="45" w16cid:durableId="889651207">
    <w:abstractNumId w:val="29"/>
  </w:num>
  <w:num w:numId="46" w16cid:durableId="1966697718">
    <w:abstractNumId w:val="27"/>
  </w:num>
  <w:num w:numId="47" w16cid:durableId="1509297515">
    <w:abstractNumId w:val="3"/>
  </w:num>
  <w:num w:numId="48" w16cid:durableId="1206411245">
    <w:abstractNumId w:val="7"/>
  </w:num>
  <w:num w:numId="49" w16cid:durableId="12932914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5783958">
    <w:abstractNumId w:val="34"/>
  </w:num>
  <w:num w:numId="51" w16cid:durableId="1473713448">
    <w:abstractNumId w:val="24"/>
  </w:num>
  <w:num w:numId="52" w16cid:durableId="976881092">
    <w:abstractNumId w:val="32"/>
  </w:num>
  <w:num w:numId="53" w16cid:durableId="1576738311">
    <w:abstractNumId w:val="8"/>
  </w:num>
  <w:num w:numId="54" w16cid:durableId="723796342">
    <w:abstractNumId w:val="10"/>
  </w:num>
  <w:num w:numId="55" w16cid:durableId="1586769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8105512">
    <w:abstractNumId w:val="33"/>
  </w:num>
  <w:num w:numId="57" w16cid:durableId="1157259362">
    <w:abstractNumId w:val="17"/>
  </w:num>
  <w:num w:numId="58" w16cid:durableId="10654890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7401845">
    <w:abstractNumId w:val="3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28388708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8B4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011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85B"/>
    <w:rsid w:val="0006560F"/>
    <w:rsid w:val="00065B61"/>
    <w:rsid w:val="000669FB"/>
    <w:rsid w:val="0006709B"/>
    <w:rsid w:val="0007122E"/>
    <w:rsid w:val="00071467"/>
    <w:rsid w:val="00071ADD"/>
    <w:rsid w:val="00072457"/>
    <w:rsid w:val="000725EF"/>
    <w:rsid w:val="00072804"/>
    <w:rsid w:val="00073465"/>
    <w:rsid w:val="000739F6"/>
    <w:rsid w:val="00073A55"/>
    <w:rsid w:val="00073E29"/>
    <w:rsid w:val="00074B2D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80B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64B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A1D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023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0BA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4B7"/>
    <w:rsid w:val="0013226B"/>
    <w:rsid w:val="00132DD9"/>
    <w:rsid w:val="00133D07"/>
    <w:rsid w:val="00134D05"/>
    <w:rsid w:val="00134FCF"/>
    <w:rsid w:val="00135400"/>
    <w:rsid w:val="00136F16"/>
    <w:rsid w:val="00137D2F"/>
    <w:rsid w:val="001405B8"/>
    <w:rsid w:val="001412D0"/>
    <w:rsid w:val="00141820"/>
    <w:rsid w:val="00141CD5"/>
    <w:rsid w:val="00142303"/>
    <w:rsid w:val="0014312A"/>
    <w:rsid w:val="00143369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9CA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391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2E0"/>
    <w:rsid w:val="001A08EF"/>
    <w:rsid w:val="001A09B7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0EA"/>
    <w:rsid w:val="001F47F5"/>
    <w:rsid w:val="001F4E64"/>
    <w:rsid w:val="001F4F49"/>
    <w:rsid w:val="001F55AF"/>
    <w:rsid w:val="001F5AF2"/>
    <w:rsid w:val="001F6A26"/>
    <w:rsid w:val="001F76DA"/>
    <w:rsid w:val="00202FB8"/>
    <w:rsid w:val="002033D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4E87"/>
    <w:rsid w:val="0023503B"/>
    <w:rsid w:val="00235CE5"/>
    <w:rsid w:val="00237BE0"/>
    <w:rsid w:val="00240461"/>
    <w:rsid w:val="00240B25"/>
    <w:rsid w:val="00240BD6"/>
    <w:rsid w:val="00240BFF"/>
    <w:rsid w:val="00241189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44BE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41D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4AA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A39"/>
    <w:rsid w:val="00332B1C"/>
    <w:rsid w:val="0033379C"/>
    <w:rsid w:val="00333F24"/>
    <w:rsid w:val="00334361"/>
    <w:rsid w:val="00334CBC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98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69D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85A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757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8EA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1F8"/>
    <w:rsid w:val="00413339"/>
    <w:rsid w:val="00414998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641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A2"/>
    <w:rsid w:val="004A5D7F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1C3D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BF3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B5F"/>
    <w:rsid w:val="00537D03"/>
    <w:rsid w:val="00537D34"/>
    <w:rsid w:val="0054016B"/>
    <w:rsid w:val="00540AE4"/>
    <w:rsid w:val="005418D8"/>
    <w:rsid w:val="005426BB"/>
    <w:rsid w:val="005435D6"/>
    <w:rsid w:val="00545F54"/>
    <w:rsid w:val="005464E3"/>
    <w:rsid w:val="00546F23"/>
    <w:rsid w:val="00547AF4"/>
    <w:rsid w:val="00547FD3"/>
    <w:rsid w:val="005502C0"/>
    <w:rsid w:val="00553621"/>
    <w:rsid w:val="00553AAD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97A"/>
    <w:rsid w:val="00566B8B"/>
    <w:rsid w:val="00566CAF"/>
    <w:rsid w:val="00567122"/>
    <w:rsid w:val="00567813"/>
    <w:rsid w:val="00567D8D"/>
    <w:rsid w:val="00571B92"/>
    <w:rsid w:val="0057397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E33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9C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79E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2D7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00F"/>
    <w:rsid w:val="005F36C5"/>
    <w:rsid w:val="005F3750"/>
    <w:rsid w:val="005F432A"/>
    <w:rsid w:val="005F4706"/>
    <w:rsid w:val="005F4BFA"/>
    <w:rsid w:val="005F51FC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492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36"/>
    <w:rsid w:val="0067154A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27D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796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94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0DA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416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3E9"/>
    <w:rsid w:val="0078253D"/>
    <w:rsid w:val="007828B4"/>
    <w:rsid w:val="00783826"/>
    <w:rsid w:val="00783FBB"/>
    <w:rsid w:val="007846E1"/>
    <w:rsid w:val="00784C3F"/>
    <w:rsid w:val="00784FB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77F6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63F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EC2"/>
    <w:rsid w:val="00843526"/>
    <w:rsid w:val="008440EE"/>
    <w:rsid w:val="008445BE"/>
    <w:rsid w:val="008461A0"/>
    <w:rsid w:val="00846774"/>
    <w:rsid w:val="00850D19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AD"/>
    <w:rsid w:val="00864F8D"/>
    <w:rsid w:val="008658B9"/>
    <w:rsid w:val="008658DE"/>
    <w:rsid w:val="00865BD1"/>
    <w:rsid w:val="00865F0C"/>
    <w:rsid w:val="00867C63"/>
    <w:rsid w:val="00867E1C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1E8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2E5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1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81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ABA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BDB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0F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E2D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BF3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428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1BF6"/>
    <w:rsid w:val="00AA2C47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CE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C69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D14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BCE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3DB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1399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286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A3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F33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569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047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2B9E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66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21C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12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515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3BC9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CC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C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EFB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5A2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EF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16EF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16EF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2046fdb6-fa60-49a6-a635-1115ab0d2074"/>
    <ds:schemaRef ds:uri="ada3fa48-c231-4f9d-a491-19361e04fcb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2025-04-04T10:37:00Z</cp:lastPrinted>
  <dcterms:created xsi:type="dcterms:W3CDTF">2025-04-14T13:34:00Z</dcterms:created>
  <dcterms:modified xsi:type="dcterms:W3CDTF">2025-04-14T13:35:00Z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