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FB2C2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298B81F1" w14:textId="77777777" w:rsidR="00480B9E" w:rsidRPr="00FB2C21" w:rsidRDefault="00480B9E" w:rsidP="00480B9E">
      <w:pPr>
        <w:tabs>
          <w:tab w:val="left" w:pos="4253"/>
        </w:tabs>
        <w:jc w:val="both"/>
        <w:rPr>
          <w:rFonts w:ascii="Arial" w:hAnsi="Arial" w:cs="Arial"/>
          <w:b/>
          <w:sz w:val="22"/>
          <w:szCs w:val="22"/>
        </w:rPr>
      </w:pPr>
      <w:r w:rsidRPr="00FB2C21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FB2C21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FB2C21">
        <w:rPr>
          <w:rFonts w:ascii="Arial" w:hAnsi="Arial" w:cs="Arial"/>
          <w:b/>
          <w:sz w:val="22"/>
          <w:szCs w:val="22"/>
        </w:rPr>
        <w:t xml:space="preserve"> pozemkový úřad</w:t>
      </w:r>
    </w:p>
    <w:p w14:paraId="6804D403" w14:textId="77777777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FB2C21">
        <w:rPr>
          <w:rFonts w:ascii="Arial" w:hAnsi="Arial" w:cs="Arial"/>
          <w:sz w:val="22"/>
          <w:szCs w:val="22"/>
        </w:rPr>
        <w:t>11a</w:t>
      </w:r>
      <w:proofErr w:type="gramEnd"/>
      <w:r w:rsidRPr="00FB2C21">
        <w:rPr>
          <w:rFonts w:ascii="Arial" w:hAnsi="Arial" w:cs="Arial"/>
          <w:sz w:val="22"/>
          <w:szCs w:val="22"/>
        </w:rPr>
        <w:t xml:space="preserve">, 130 00 Praha 3  </w:t>
      </w:r>
    </w:p>
    <w:p w14:paraId="1C4672A6" w14:textId="77777777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  <w:lang w:val="en-US"/>
        </w:rPr>
      </w:pPr>
      <w:r w:rsidRPr="00FB2C21">
        <w:rPr>
          <w:rFonts w:ascii="Arial" w:hAnsi="Arial" w:cs="Arial"/>
          <w:sz w:val="22"/>
          <w:szCs w:val="22"/>
        </w:rPr>
        <w:t>Krajský pozemkový úřad pro Středočeský kraj a hl. m. Praha</w:t>
      </w:r>
      <w:r w:rsidRPr="00FB2C21">
        <w:rPr>
          <w:rFonts w:ascii="Arial" w:hAnsi="Arial" w:cs="Arial"/>
          <w:snapToGrid w:val="0"/>
          <w:sz w:val="22"/>
          <w:szCs w:val="22"/>
          <w:lang w:val="en-US"/>
        </w:rPr>
        <w:t xml:space="preserve">, </w:t>
      </w:r>
      <w:r w:rsidRPr="00FB2C21">
        <w:rPr>
          <w:rFonts w:ascii="Arial" w:hAnsi="Arial" w:cs="Arial"/>
          <w:sz w:val="22"/>
          <w:szCs w:val="22"/>
        </w:rPr>
        <w:t>Pobočka Kladno</w:t>
      </w:r>
    </w:p>
    <w:p w14:paraId="55A911EF" w14:textId="77777777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>Adresa: náměstí 17. listopadu 2840, 272 01 Kladno</w:t>
      </w:r>
    </w:p>
    <w:p w14:paraId="5221F08A" w14:textId="77777777" w:rsidR="00480B9E" w:rsidRPr="00FB2C21" w:rsidRDefault="00480B9E" w:rsidP="00480B9E">
      <w:pPr>
        <w:pStyle w:val="Bezmezer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B2C21">
        <w:rPr>
          <w:rFonts w:ascii="Arial" w:hAnsi="Arial" w:cs="Arial"/>
          <w:sz w:val="22"/>
          <w:szCs w:val="22"/>
        </w:rPr>
        <w:t>Zastoupený: Ing. Dagmar Maňasovou, vedoucí Pobočky Kladno</w:t>
      </w:r>
    </w:p>
    <w:p w14:paraId="7B15BB7D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0BC6B70E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ve smluvních záležitostech oprávněn jednat:</w:t>
      </w:r>
    </w:p>
    <w:p w14:paraId="61694550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ab/>
      </w:r>
    </w:p>
    <w:p w14:paraId="1E94F4DE" w14:textId="77777777" w:rsidR="00480B9E" w:rsidRPr="000065BB" w:rsidRDefault="00480B9E" w:rsidP="00480B9E">
      <w:pPr>
        <w:pStyle w:val="Bezmezer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Ing. Dagmar Maňasová</w:t>
      </w:r>
    </w:p>
    <w:p w14:paraId="5382A437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55E2BB54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v </w:t>
      </w:r>
      <w:r w:rsidRPr="000065BB">
        <w:rPr>
          <w:rFonts w:ascii="Arial" w:hAnsi="Arial" w:cs="Arial"/>
          <w:snapToGrid w:val="0"/>
          <w:sz w:val="22"/>
          <w:szCs w:val="22"/>
        </w:rPr>
        <w:t>technických záležitostech,</w:t>
      </w:r>
      <w:r w:rsidRPr="000065BB">
        <w:rPr>
          <w:rFonts w:ascii="Arial" w:hAnsi="Arial" w:cs="Arial"/>
          <w:sz w:val="22"/>
          <w:szCs w:val="22"/>
        </w:rPr>
        <w:t xml:space="preserve"> </w:t>
      </w:r>
      <w:r w:rsidRPr="000065BB">
        <w:rPr>
          <w:rFonts w:ascii="Arial" w:hAnsi="Arial" w:cs="Arial"/>
          <w:snapToGrid w:val="0"/>
          <w:sz w:val="22"/>
          <w:szCs w:val="22"/>
        </w:rPr>
        <w:t xml:space="preserve">které nemají dopad na jednotlivá ustanovení </w:t>
      </w:r>
      <w:proofErr w:type="spellStart"/>
      <w:r w:rsidRPr="000065BB">
        <w:rPr>
          <w:rFonts w:ascii="Arial" w:hAnsi="Arial" w:cs="Arial"/>
          <w:snapToGrid w:val="0"/>
          <w:sz w:val="22"/>
          <w:szCs w:val="22"/>
        </w:rPr>
        <w:t>SoD</w:t>
      </w:r>
      <w:proofErr w:type="spellEnd"/>
      <w:r w:rsidRPr="000065BB">
        <w:rPr>
          <w:rFonts w:ascii="Arial" w:hAnsi="Arial" w:cs="Arial"/>
          <w:snapToGrid w:val="0"/>
          <w:sz w:val="22"/>
          <w:szCs w:val="22"/>
        </w:rPr>
        <w:t xml:space="preserve"> včetně  </w:t>
      </w:r>
    </w:p>
    <w:p w14:paraId="76396E30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0065BB">
        <w:rPr>
          <w:rFonts w:ascii="Arial" w:hAnsi="Arial" w:cs="Arial"/>
          <w:snapToGrid w:val="0"/>
          <w:sz w:val="22"/>
          <w:szCs w:val="22"/>
        </w:rPr>
        <w:t xml:space="preserve">     obsahu příloh je oprávněn jednat:</w:t>
      </w:r>
    </w:p>
    <w:p w14:paraId="14451E20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</w:t>
      </w:r>
      <w:r w:rsidRPr="000065BB">
        <w:rPr>
          <w:rFonts w:ascii="Arial" w:hAnsi="Arial" w:cs="Arial"/>
          <w:sz w:val="22"/>
          <w:szCs w:val="22"/>
        </w:rPr>
        <w:tab/>
        <w:t xml:space="preserve">                     </w:t>
      </w:r>
    </w:p>
    <w:p w14:paraId="3AA180AD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Ing. Dagmar Maňasová</w:t>
      </w:r>
    </w:p>
    <w:p w14:paraId="60D23886" w14:textId="4EC6D739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e-mail: </w:t>
      </w:r>
      <w:r w:rsidR="00531E6F">
        <w:rPr>
          <w:rFonts w:ascii="Arial" w:hAnsi="Arial" w:cs="Arial"/>
          <w:sz w:val="22"/>
          <w:szCs w:val="22"/>
        </w:rPr>
        <w:t>dagmar.manasova</w:t>
      </w:r>
      <w:r w:rsidRPr="000065BB">
        <w:rPr>
          <w:rFonts w:ascii="Arial" w:hAnsi="Arial" w:cs="Arial"/>
          <w:sz w:val="22"/>
          <w:szCs w:val="22"/>
        </w:rPr>
        <w:t>@spu</w:t>
      </w:r>
      <w:r w:rsidR="00531E6F">
        <w:rPr>
          <w:rFonts w:ascii="Arial" w:hAnsi="Arial" w:cs="Arial"/>
          <w:sz w:val="22"/>
          <w:szCs w:val="22"/>
        </w:rPr>
        <w:t>.gov</w:t>
      </w:r>
      <w:r w:rsidRPr="000065BB">
        <w:rPr>
          <w:rFonts w:ascii="Arial" w:hAnsi="Arial" w:cs="Arial"/>
          <w:sz w:val="22"/>
          <w:szCs w:val="22"/>
        </w:rPr>
        <w:t>.cz</w:t>
      </w:r>
    </w:p>
    <w:p w14:paraId="7BCF580C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tel.: +420 725 346 139</w:t>
      </w:r>
    </w:p>
    <w:p w14:paraId="5C71CFB9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153AE6B8" w14:textId="3BC8989C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bookmarkStart w:id="0" w:name="_Hlk177395948"/>
      <w:r w:rsidRPr="000065BB">
        <w:rPr>
          <w:rFonts w:ascii="Arial" w:hAnsi="Arial" w:cs="Arial"/>
          <w:sz w:val="22"/>
          <w:szCs w:val="22"/>
        </w:rPr>
        <w:t xml:space="preserve">   Ing. </w:t>
      </w:r>
      <w:r w:rsidR="00531E6F">
        <w:rPr>
          <w:rFonts w:ascii="Arial" w:hAnsi="Arial" w:cs="Arial"/>
          <w:sz w:val="22"/>
          <w:szCs w:val="22"/>
        </w:rPr>
        <w:t>Radek Vyskočil</w:t>
      </w:r>
      <w:r w:rsidRPr="000065BB">
        <w:rPr>
          <w:rFonts w:ascii="Arial" w:hAnsi="Arial" w:cs="Arial"/>
          <w:sz w:val="22"/>
          <w:szCs w:val="22"/>
        </w:rPr>
        <w:tab/>
      </w:r>
      <w:r w:rsidRPr="000065BB">
        <w:rPr>
          <w:rFonts w:ascii="Arial" w:hAnsi="Arial" w:cs="Arial"/>
          <w:sz w:val="22"/>
          <w:szCs w:val="22"/>
        </w:rPr>
        <w:tab/>
        <w:t xml:space="preserve">  </w:t>
      </w:r>
      <w:r w:rsidRPr="000065BB">
        <w:rPr>
          <w:rFonts w:ascii="Arial" w:hAnsi="Arial" w:cs="Arial"/>
          <w:sz w:val="22"/>
          <w:szCs w:val="22"/>
        </w:rPr>
        <w:tab/>
      </w:r>
    </w:p>
    <w:p w14:paraId="0FB1D3A6" w14:textId="156A7834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e-mail: </w:t>
      </w:r>
      <w:r w:rsidR="00531E6F">
        <w:rPr>
          <w:rFonts w:ascii="Arial" w:hAnsi="Arial" w:cs="Arial"/>
          <w:sz w:val="22"/>
          <w:szCs w:val="22"/>
        </w:rPr>
        <w:t>radek.vyskocil</w:t>
      </w:r>
      <w:r w:rsidRPr="000065BB">
        <w:rPr>
          <w:rFonts w:ascii="Arial" w:hAnsi="Arial" w:cs="Arial"/>
          <w:sz w:val="22"/>
          <w:szCs w:val="22"/>
        </w:rPr>
        <w:t>@s</w:t>
      </w:r>
      <w:r w:rsidR="00531E6F">
        <w:rPr>
          <w:rFonts w:ascii="Arial" w:hAnsi="Arial" w:cs="Arial"/>
          <w:sz w:val="22"/>
          <w:szCs w:val="22"/>
        </w:rPr>
        <w:t>pu.gov</w:t>
      </w:r>
      <w:r w:rsidRPr="000065BB">
        <w:rPr>
          <w:rFonts w:ascii="Arial" w:hAnsi="Arial" w:cs="Arial"/>
          <w:sz w:val="22"/>
          <w:szCs w:val="22"/>
        </w:rPr>
        <w:t>.cz</w:t>
      </w:r>
    </w:p>
    <w:p w14:paraId="341140A0" w14:textId="467061C2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                                                    tel.: +420</w:t>
      </w:r>
      <w:r w:rsidR="00891BC7">
        <w:rPr>
          <w:rFonts w:ascii="Arial" w:hAnsi="Arial" w:cs="Arial"/>
          <w:sz w:val="22"/>
          <w:szCs w:val="22"/>
        </w:rPr>
        <w:t> </w:t>
      </w:r>
      <w:r w:rsidR="00891BC7" w:rsidRPr="00891BC7">
        <w:rPr>
          <w:rFonts w:ascii="Arial" w:hAnsi="Arial" w:cs="Arial"/>
          <w:sz w:val="22"/>
          <w:szCs w:val="22"/>
        </w:rPr>
        <w:t>725</w:t>
      </w:r>
      <w:r w:rsidR="00891BC7">
        <w:rPr>
          <w:rFonts w:ascii="Arial" w:hAnsi="Arial" w:cs="Arial"/>
          <w:sz w:val="22"/>
          <w:szCs w:val="22"/>
        </w:rPr>
        <w:t> </w:t>
      </w:r>
      <w:r w:rsidR="00891BC7" w:rsidRPr="00891BC7">
        <w:rPr>
          <w:rFonts w:ascii="Arial" w:hAnsi="Arial" w:cs="Arial"/>
          <w:sz w:val="22"/>
          <w:szCs w:val="22"/>
        </w:rPr>
        <w:t>949</w:t>
      </w:r>
      <w:r w:rsidR="00891BC7">
        <w:rPr>
          <w:rFonts w:ascii="Arial" w:hAnsi="Arial" w:cs="Arial"/>
          <w:sz w:val="22"/>
          <w:szCs w:val="22"/>
        </w:rPr>
        <w:t xml:space="preserve"> </w:t>
      </w:r>
      <w:r w:rsidR="00891BC7" w:rsidRPr="00891BC7">
        <w:rPr>
          <w:rFonts w:ascii="Arial" w:hAnsi="Arial" w:cs="Arial"/>
          <w:sz w:val="22"/>
          <w:szCs w:val="22"/>
        </w:rPr>
        <w:t>983</w:t>
      </w:r>
    </w:p>
    <w:bookmarkEnd w:id="0"/>
    <w:p w14:paraId="14E9123E" w14:textId="77777777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4C6D9F60" w14:textId="77777777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ID DS: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>z49per3</w:t>
      </w:r>
    </w:p>
    <w:p w14:paraId="24881153" w14:textId="77777777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Bankovní spojení: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 xml:space="preserve">ČNB </w:t>
      </w:r>
      <w:r w:rsidRPr="00FB2C21">
        <w:rPr>
          <w:rFonts w:ascii="Arial" w:hAnsi="Arial" w:cs="Arial"/>
          <w:sz w:val="22"/>
          <w:szCs w:val="22"/>
        </w:rPr>
        <w:tab/>
      </w:r>
    </w:p>
    <w:p w14:paraId="130D62C4" w14:textId="77777777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Číslo účtu: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>3723001/0710</w:t>
      </w:r>
    </w:p>
    <w:p w14:paraId="0392A2DE" w14:textId="77777777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IČO: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 xml:space="preserve">01312774                                                                 </w:t>
      </w:r>
    </w:p>
    <w:p w14:paraId="2B7ED1D3" w14:textId="77777777" w:rsidR="00480B9E" w:rsidRPr="00FB2C21" w:rsidRDefault="00480B9E" w:rsidP="00480B9E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FB2C21">
        <w:rPr>
          <w:rFonts w:ascii="Arial" w:eastAsia="Lucida Sans Unicode" w:hAnsi="Arial" w:cs="Arial"/>
          <w:sz w:val="22"/>
          <w:szCs w:val="22"/>
        </w:rPr>
        <w:t xml:space="preserve">      DIČ:</w:t>
      </w:r>
      <w:r w:rsidRPr="00FB2C21">
        <w:rPr>
          <w:rFonts w:ascii="Arial" w:eastAsia="Lucida Sans Unicode" w:hAnsi="Arial" w:cs="Arial"/>
          <w:sz w:val="22"/>
          <w:szCs w:val="22"/>
        </w:rPr>
        <w:tab/>
      </w:r>
      <w:r w:rsidRPr="00FB2C21">
        <w:rPr>
          <w:rFonts w:ascii="Arial" w:eastAsia="Lucida Sans Unicode" w:hAnsi="Arial" w:cs="Arial"/>
          <w:sz w:val="22"/>
          <w:szCs w:val="22"/>
        </w:rPr>
        <w:tab/>
      </w:r>
      <w:r w:rsidRPr="00FB2C21">
        <w:rPr>
          <w:rFonts w:ascii="Arial" w:eastAsia="Lucida Sans Unicode" w:hAnsi="Arial" w:cs="Arial"/>
          <w:sz w:val="22"/>
          <w:szCs w:val="22"/>
        </w:rPr>
        <w:tab/>
        <w:t>CZ01312774 není plátcem DPH</w:t>
      </w:r>
    </w:p>
    <w:p w14:paraId="23230025" w14:textId="77777777" w:rsidR="00FB2C21" w:rsidRDefault="00FB2C21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7777777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66B910CF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3C1E99" w:rsidRPr="003C1E99">
        <w:rPr>
          <w:rStyle w:val="Siln"/>
          <w:rFonts w:ascii="Arial" w:hAnsi="Arial" w:cs="Arial"/>
          <w:b w:val="0"/>
          <w:sz w:val="22"/>
          <w:szCs w:val="22"/>
        </w:rPr>
        <w:t xml:space="preserve">SPU 506898/2024  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r w:rsidR="00A43959" w:rsidRPr="00A43959">
        <w:rPr>
          <w:rStyle w:val="Siln"/>
          <w:rFonts w:ascii="Arial" w:hAnsi="Arial" w:cs="Arial"/>
          <w:sz w:val="22"/>
          <w:szCs w:val="22"/>
        </w:rPr>
        <w:t xml:space="preserve">Předběžný geotechnický průzkum pro </w:t>
      </w:r>
      <w:proofErr w:type="spellStart"/>
      <w:r w:rsidR="00A43959" w:rsidRPr="00A43959">
        <w:rPr>
          <w:rStyle w:val="Siln"/>
          <w:rFonts w:ascii="Arial" w:hAnsi="Arial" w:cs="Arial"/>
          <w:sz w:val="22"/>
          <w:szCs w:val="22"/>
        </w:rPr>
        <w:t>KoPÚ</w:t>
      </w:r>
      <w:proofErr w:type="spellEnd"/>
      <w:r w:rsidR="00A43959" w:rsidRPr="00A43959">
        <w:rPr>
          <w:rStyle w:val="Siln"/>
          <w:rFonts w:ascii="Arial" w:hAnsi="Arial" w:cs="Arial"/>
          <w:sz w:val="22"/>
          <w:szCs w:val="22"/>
        </w:rPr>
        <w:t xml:space="preserve"> </w:t>
      </w:r>
      <w:r w:rsidR="0047737F">
        <w:rPr>
          <w:rStyle w:val="Siln"/>
          <w:rFonts w:ascii="Arial" w:hAnsi="Arial" w:cs="Arial"/>
          <w:sz w:val="22"/>
          <w:szCs w:val="22"/>
        </w:rPr>
        <w:t>Pozdeň a Hřešice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2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>) v rámci zpracování</w:t>
      </w:r>
      <w:r w:rsidR="004A65FF">
        <w:rPr>
          <w:rFonts w:ascii="Arial" w:hAnsi="Arial" w:cs="Arial"/>
          <w:sz w:val="22"/>
          <w:szCs w:val="22"/>
        </w:rPr>
        <w:t>/aktualizace</w:t>
      </w:r>
      <w:r w:rsidR="00B13043" w:rsidRPr="00E93F51">
        <w:rPr>
          <w:rFonts w:ascii="Arial" w:hAnsi="Arial" w:cs="Arial"/>
          <w:sz w:val="22"/>
          <w:szCs w:val="22"/>
        </w:rPr>
        <w:t xml:space="preserve">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</w:t>
      </w:r>
      <w:r w:rsidR="004A65FF">
        <w:rPr>
          <w:rFonts w:ascii="Arial" w:hAnsi="Arial" w:cs="Arial"/>
          <w:sz w:val="22"/>
          <w:szCs w:val="22"/>
        </w:rPr>
        <w:t>ch</w:t>
      </w:r>
      <w:r w:rsidR="00914EF8" w:rsidRPr="00E93F51">
        <w:rPr>
          <w:rFonts w:ascii="Arial" w:hAnsi="Arial" w:cs="Arial"/>
          <w:sz w:val="22"/>
          <w:szCs w:val="22"/>
        </w:rPr>
        <w:t xml:space="preserve"> pozemkov</w:t>
      </w:r>
      <w:r w:rsidR="004A65FF">
        <w:rPr>
          <w:rFonts w:ascii="Arial" w:hAnsi="Arial" w:cs="Arial"/>
          <w:sz w:val="22"/>
          <w:szCs w:val="22"/>
        </w:rPr>
        <w:t>ých</w:t>
      </w:r>
      <w:r w:rsidR="00914EF8" w:rsidRPr="00E93F51">
        <w:rPr>
          <w:rFonts w:ascii="Arial" w:hAnsi="Arial" w:cs="Arial"/>
          <w:sz w:val="22"/>
          <w:szCs w:val="22"/>
        </w:rPr>
        <w:t xml:space="preserve"> úprav</w:t>
      </w:r>
      <w:r w:rsidR="004A65FF">
        <w:rPr>
          <w:rFonts w:ascii="Arial" w:hAnsi="Arial" w:cs="Arial"/>
          <w:sz w:val="22"/>
          <w:szCs w:val="22"/>
        </w:rPr>
        <w:t>ách</w:t>
      </w:r>
      <w:r w:rsidR="00914EF8" w:rsidRPr="00E93F51">
        <w:rPr>
          <w:rFonts w:ascii="Arial" w:hAnsi="Arial" w:cs="Arial"/>
          <w:sz w:val="22"/>
          <w:szCs w:val="22"/>
        </w:rPr>
        <w:t xml:space="preserve"> v k.</w:t>
      </w:r>
      <w:r w:rsidR="004A65F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14EF8" w:rsidRPr="00E93F51">
        <w:rPr>
          <w:rFonts w:ascii="Arial" w:hAnsi="Arial" w:cs="Arial"/>
          <w:sz w:val="22"/>
          <w:szCs w:val="22"/>
        </w:rPr>
        <w:t>ú.</w:t>
      </w:r>
      <w:proofErr w:type="spellEnd"/>
      <w:r w:rsidR="008D50B0">
        <w:rPr>
          <w:rFonts w:ascii="Arial" w:hAnsi="Arial" w:cs="Arial"/>
          <w:sz w:val="22"/>
          <w:szCs w:val="22"/>
        </w:rPr>
        <w:t xml:space="preserve"> </w:t>
      </w:r>
      <w:r w:rsidR="004A65FF">
        <w:rPr>
          <w:rFonts w:ascii="Arial" w:hAnsi="Arial" w:cs="Arial"/>
          <w:sz w:val="22"/>
          <w:szCs w:val="22"/>
        </w:rPr>
        <w:t>Pozdeň a Hřešice.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F32EA6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</w:rPr>
      </w:pPr>
    </w:p>
    <w:p w14:paraId="3C604B28" w14:textId="45A93925" w:rsidR="008325A1" w:rsidRPr="00F32EA6" w:rsidRDefault="008325A1" w:rsidP="001B6A3B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F32EA6">
        <w:rPr>
          <w:rStyle w:val="Siln"/>
          <w:rFonts w:ascii="Arial" w:hAnsi="Arial" w:cs="Arial"/>
          <w:b w:val="0"/>
          <w:sz w:val="22"/>
          <w:szCs w:val="22"/>
        </w:rPr>
        <w:t>GTP bude proveden dle požadavků objednatele jako předběžný</w:t>
      </w:r>
      <w:r w:rsidR="00DC55FB" w:rsidRPr="00F32EA6">
        <w:rPr>
          <w:rStyle w:val="Siln"/>
          <w:rFonts w:ascii="Arial" w:hAnsi="Arial" w:cs="Arial"/>
          <w:b w:val="0"/>
          <w:sz w:val="22"/>
          <w:szCs w:val="22"/>
        </w:rPr>
        <w:t xml:space="preserve"> pro</w:t>
      </w:r>
      <w:r w:rsidR="001B6A3B" w:rsidRPr="00F32EA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83CB1">
        <w:rPr>
          <w:rStyle w:val="Siln"/>
          <w:rFonts w:ascii="Arial" w:hAnsi="Arial" w:cs="Arial"/>
          <w:b w:val="0"/>
          <w:sz w:val="22"/>
          <w:szCs w:val="22"/>
        </w:rPr>
        <w:t xml:space="preserve">objekty: </w:t>
      </w:r>
      <w:r w:rsidR="001D0726">
        <w:rPr>
          <w:rStyle w:val="Siln"/>
          <w:rFonts w:ascii="Arial" w:hAnsi="Arial" w:cs="Arial"/>
          <w:b w:val="0"/>
          <w:sz w:val="22"/>
          <w:szCs w:val="22"/>
        </w:rPr>
        <w:t>suchá</w:t>
      </w:r>
      <w:r w:rsidR="001B6A3B" w:rsidRPr="00F32EA6">
        <w:rPr>
          <w:rStyle w:val="Siln"/>
          <w:rFonts w:ascii="Arial" w:hAnsi="Arial" w:cs="Arial"/>
          <w:b w:val="0"/>
          <w:sz w:val="22"/>
          <w:szCs w:val="22"/>
        </w:rPr>
        <w:t xml:space="preserve"> nádrž,</w:t>
      </w:r>
      <w:r w:rsidR="00885721" w:rsidRPr="00F32EA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83CB1">
        <w:rPr>
          <w:rStyle w:val="Siln"/>
          <w:rFonts w:ascii="Arial" w:hAnsi="Arial" w:cs="Arial"/>
          <w:b w:val="0"/>
          <w:sz w:val="22"/>
          <w:szCs w:val="22"/>
        </w:rPr>
        <w:t>zasakovací příkop</w:t>
      </w:r>
      <w:r w:rsidR="00885721" w:rsidRPr="00F32EA6">
        <w:rPr>
          <w:rStyle w:val="Siln"/>
          <w:rFonts w:ascii="Arial" w:hAnsi="Arial" w:cs="Arial"/>
          <w:b w:val="0"/>
          <w:sz w:val="22"/>
          <w:szCs w:val="22"/>
        </w:rPr>
        <w:t xml:space="preserve"> a tůně</w:t>
      </w:r>
      <w:r w:rsidR="00A85C66" w:rsidRPr="00F32EA6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AC58BD" w:rsidRPr="00F32EA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F32EA6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F32EA6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F32EA6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F32EA6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F32EA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F32EA6">
        <w:rPr>
          <w:rStyle w:val="Siln"/>
          <w:rFonts w:ascii="Arial" w:hAnsi="Arial" w:cs="Arial"/>
          <w:b w:val="0"/>
          <w:sz w:val="22"/>
          <w:szCs w:val="22"/>
        </w:rPr>
        <w:lastRenderedPageBreak/>
        <w:t>(dále jen „</w:t>
      </w:r>
      <w:r w:rsidR="000675F3" w:rsidRPr="00F32EA6">
        <w:rPr>
          <w:rStyle w:val="Siln"/>
          <w:rFonts w:ascii="Arial" w:hAnsi="Arial" w:cs="Arial"/>
          <w:sz w:val="22"/>
          <w:szCs w:val="22"/>
        </w:rPr>
        <w:t>Dílo</w:t>
      </w:r>
      <w:r w:rsidRPr="00F32EA6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2EA5AD67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10DD3">
        <w:rPr>
          <w:rStyle w:val="Siln"/>
          <w:rFonts w:ascii="Arial" w:hAnsi="Arial" w:cs="Arial"/>
          <w:bCs w:val="0"/>
          <w:sz w:val="22"/>
          <w:szCs w:val="22"/>
        </w:rPr>
        <w:t>13</w:t>
      </w:r>
      <w:r w:rsidR="00487BFD" w:rsidRPr="004203BE">
        <w:rPr>
          <w:rStyle w:val="Siln"/>
          <w:rFonts w:ascii="Arial" w:hAnsi="Arial" w:cs="Arial"/>
          <w:bCs w:val="0"/>
          <w:sz w:val="22"/>
          <w:szCs w:val="22"/>
        </w:rPr>
        <w:t xml:space="preserve">. </w:t>
      </w:r>
      <w:r w:rsidR="00210DD3">
        <w:rPr>
          <w:rStyle w:val="Siln"/>
          <w:rFonts w:ascii="Arial" w:hAnsi="Arial" w:cs="Arial"/>
          <w:bCs w:val="0"/>
          <w:sz w:val="22"/>
          <w:szCs w:val="22"/>
        </w:rPr>
        <w:t>6</w:t>
      </w:r>
      <w:r w:rsidR="00487BFD" w:rsidRPr="004203BE">
        <w:rPr>
          <w:rStyle w:val="Siln"/>
          <w:rFonts w:ascii="Arial" w:hAnsi="Arial" w:cs="Arial"/>
          <w:bCs w:val="0"/>
          <w:sz w:val="22"/>
          <w:szCs w:val="22"/>
        </w:rPr>
        <w:t>. 2025</w:t>
      </w:r>
      <w:r w:rsidR="00487BFD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43E3A5C3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495632">
        <w:rPr>
          <w:rStyle w:val="Siln"/>
          <w:rFonts w:ascii="Arial" w:hAnsi="Arial" w:cs="Arial"/>
          <w:b w:val="0"/>
          <w:sz w:val="22"/>
          <w:szCs w:val="22"/>
        </w:rPr>
        <w:t xml:space="preserve">Středočeský kraj, okres </w:t>
      </w:r>
      <w:r w:rsidR="00B05AD3">
        <w:rPr>
          <w:rStyle w:val="Siln"/>
          <w:rFonts w:ascii="Arial" w:hAnsi="Arial" w:cs="Arial"/>
          <w:b w:val="0"/>
          <w:sz w:val="22"/>
          <w:szCs w:val="22"/>
        </w:rPr>
        <w:t>Kladno</w:t>
      </w:r>
      <w:r w:rsidR="00495632">
        <w:rPr>
          <w:rStyle w:val="Siln"/>
          <w:rFonts w:ascii="Arial" w:hAnsi="Arial" w:cs="Arial"/>
          <w:b w:val="0"/>
          <w:sz w:val="22"/>
          <w:szCs w:val="22"/>
        </w:rPr>
        <w:t xml:space="preserve">, k. </w:t>
      </w:r>
      <w:proofErr w:type="spellStart"/>
      <w:r w:rsidR="00495632">
        <w:rPr>
          <w:rStyle w:val="Siln"/>
          <w:rFonts w:ascii="Arial" w:hAnsi="Arial" w:cs="Arial"/>
          <w:b w:val="0"/>
          <w:sz w:val="22"/>
          <w:szCs w:val="22"/>
        </w:rPr>
        <w:t>ú.</w:t>
      </w:r>
      <w:proofErr w:type="spellEnd"/>
      <w:r w:rsidR="00495632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05AD3">
        <w:rPr>
          <w:rStyle w:val="Siln"/>
          <w:rFonts w:ascii="Arial" w:hAnsi="Arial" w:cs="Arial"/>
          <w:b w:val="0"/>
          <w:sz w:val="22"/>
          <w:szCs w:val="22"/>
        </w:rPr>
        <w:t>Pozdeň a Hřešice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bookmarkStart w:id="3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4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4"/>
    </w:p>
    <w:p w14:paraId="4F806BB6" w14:textId="24050F1C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521819">
        <w:rPr>
          <w:rFonts w:ascii="Arial" w:hAnsi="Arial" w:cs="Arial"/>
          <w:b w:val="0"/>
          <w:i w:val="0"/>
          <w:sz w:val="22"/>
          <w:szCs w:val="22"/>
        </w:rPr>
        <w:t>13</w:t>
      </w:r>
      <w:r w:rsidR="00581BB6">
        <w:rPr>
          <w:rFonts w:ascii="Arial" w:hAnsi="Arial" w:cs="Arial"/>
          <w:b w:val="0"/>
          <w:i w:val="0"/>
          <w:sz w:val="22"/>
          <w:szCs w:val="22"/>
        </w:rPr>
        <w:t xml:space="preserve">. </w:t>
      </w:r>
      <w:r w:rsidR="00521819">
        <w:rPr>
          <w:rFonts w:ascii="Arial" w:hAnsi="Arial" w:cs="Arial"/>
          <w:b w:val="0"/>
          <w:i w:val="0"/>
          <w:sz w:val="22"/>
          <w:szCs w:val="22"/>
        </w:rPr>
        <w:t>6</w:t>
      </w:r>
      <w:r w:rsidR="00581BB6">
        <w:rPr>
          <w:rFonts w:ascii="Arial" w:hAnsi="Arial" w:cs="Arial"/>
          <w:b w:val="0"/>
          <w:i w:val="0"/>
          <w:sz w:val="22"/>
          <w:szCs w:val="22"/>
        </w:rPr>
        <w:t>. 2025.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bookmarkEnd w:id="5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063269E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77D24410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měsíců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36E8DFBA" w:rsidR="00384B09" w:rsidRPr="001E5E53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</w:t>
      </w:r>
      <w:r w:rsidRPr="001E5E53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povinností zhotovitele vyplývajících z ustanovení této smlouvy se sjednává smluvní pokuta ve výši </w:t>
      </w:r>
      <w:r w:rsidR="004568DC" w:rsidRPr="001E5E53">
        <w:rPr>
          <w:rFonts w:ascii="Arial" w:hAnsi="Arial" w:cs="Arial"/>
          <w:bCs/>
          <w:sz w:val="22"/>
          <w:szCs w:val="22"/>
          <w:lang w:val="en-US"/>
        </w:rPr>
        <w:t xml:space="preserve">2 500 </w:t>
      </w:r>
      <w:proofErr w:type="spellStart"/>
      <w:r w:rsidR="004568DC" w:rsidRPr="001E5E53">
        <w:rPr>
          <w:rFonts w:ascii="Arial" w:hAnsi="Arial" w:cs="Arial"/>
          <w:bCs/>
          <w:sz w:val="22"/>
          <w:szCs w:val="22"/>
          <w:lang w:val="en-US"/>
        </w:rPr>
        <w:t>Kč</w:t>
      </w:r>
      <w:proofErr w:type="spellEnd"/>
      <w:r w:rsidR="004568DC" w:rsidRPr="001E5E53">
        <w:rPr>
          <w:rFonts w:ascii="Arial" w:hAnsi="Arial" w:cs="Arial"/>
          <w:b/>
          <w:sz w:val="22"/>
          <w:szCs w:val="22"/>
        </w:rPr>
        <w:t xml:space="preserve"> </w:t>
      </w:r>
      <w:r w:rsidRPr="001E5E53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porušení povinnosti zhotovitele. Toto ustanovení o smluvní pokutě </w:t>
      </w:r>
      <w:proofErr w:type="gramStart"/>
      <w:r w:rsidRPr="001E5E53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1E5E53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1E5E53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 w:rsidRPr="001E5E53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1E5E53">
        <w:rPr>
          <w:rStyle w:val="Siln"/>
          <w:rFonts w:ascii="Arial" w:hAnsi="Arial" w:cs="Arial"/>
          <w:b w:val="0"/>
          <w:sz w:val="22"/>
          <w:szCs w:val="22"/>
        </w:rPr>
        <w:t>. den ode dne doručení písemné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4074D7E4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</w:t>
      </w:r>
      <w:r w:rsidR="00665E07">
        <w:rPr>
          <w:rFonts w:ascii="Arial" w:hAnsi="Arial" w:cs="Arial"/>
          <w:bCs/>
          <w:sz w:val="22"/>
          <w:szCs w:val="22"/>
        </w:rPr>
        <w:t xml:space="preserve">nejméně </w:t>
      </w:r>
      <w:r w:rsidR="00665E07" w:rsidRPr="00665E07">
        <w:rPr>
          <w:rFonts w:ascii="Arial" w:hAnsi="Arial" w:cs="Arial"/>
          <w:b/>
          <w:sz w:val="22"/>
          <w:szCs w:val="22"/>
        </w:rPr>
        <w:t>334 000 Kč</w:t>
      </w:r>
      <w:r w:rsidRPr="00743BE9">
        <w:rPr>
          <w:rFonts w:ascii="Arial" w:hAnsi="Arial" w:cs="Arial"/>
          <w:bCs/>
          <w:sz w:val="22"/>
          <w:szCs w:val="22"/>
        </w:rPr>
        <w:t xml:space="preserve">. 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</w:t>
      </w:r>
      <w:r w:rsidRPr="00743BE9">
        <w:rPr>
          <w:rFonts w:ascii="Arial" w:hAnsi="Arial" w:cs="Arial"/>
          <w:bCs/>
          <w:sz w:val="22"/>
          <w:szCs w:val="22"/>
        </w:rPr>
        <w:lastRenderedPageBreak/>
        <w:t xml:space="preserve">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Stane-li se některé ustanovení této smlouvy neplatné či neúčinné, nedotýká se to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0E2E0B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0E2E0B" w14:paraId="4622AD9D" w14:textId="77777777" w:rsidTr="0044285B">
        <w:tc>
          <w:tcPr>
            <w:tcW w:w="4606" w:type="dxa"/>
            <w:shd w:val="clear" w:color="auto" w:fill="auto"/>
          </w:tcPr>
          <w:p w14:paraId="251E6703" w14:textId="67BAEC2F" w:rsidR="0029141F" w:rsidRPr="000E2E0B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V</w:t>
            </w:r>
            <w:r w:rsidR="002F0C02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 Kladně</w:t>
            </w:r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 xml:space="preserve"> dne</w:t>
            </w:r>
            <w:r w:rsidR="005E6F82"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 xml:space="preserve"> </w:t>
            </w:r>
            <w:r w:rsidR="002F0C02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……………………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0E2E0B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 xml:space="preserve">V </w:t>
            </w:r>
            <w:r w:rsidR="0027085E"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……</w:t>
            </w:r>
            <w:proofErr w:type="gramStart"/>
            <w:r w:rsidR="0027085E"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…….</w:t>
            </w:r>
            <w:proofErr w:type="gramEnd"/>
            <w:r w:rsidR="0027085E"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.</w:t>
            </w:r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 xml:space="preserve"> dne</w:t>
            </w:r>
            <w:r w:rsidR="0027085E"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 xml:space="preserve"> ……………</w:t>
            </w:r>
            <w:r w:rsidR="002B0933" w:rsidRPr="000E2E0B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0E2E0B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50E5E01D" w14:textId="77777777" w:rsidR="0029141F" w:rsidRPr="000E2E0B" w:rsidRDefault="000E2E0B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</w:pPr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Ing. Dagmar Maňasová</w:t>
            </w:r>
          </w:p>
          <w:p w14:paraId="59E2018F" w14:textId="77777777" w:rsidR="000E2E0B" w:rsidRPr="000E2E0B" w:rsidRDefault="000E2E0B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</w:pPr>
            <w:proofErr w:type="spellStart"/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vedoucí</w:t>
            </w:r>
            <w:proofErr w:type="spellEnd"/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Pobočky</w:t>
            </w:r>
            <w:proofErr w:type="spellEnd"/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 xml:space="preserve"> Kladno</w:t>
            </w:r>
          </w:p>
          <w:p w14:paraId="3FFD21F9" w14:textId="4BCBBD1A" w:rsidR="000E2E0B" w:rsidRPr="00E93F51" w:rsidRDefault="000E2E0B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proofErr w:type="spellStart"/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Státní</w:t>
            </w:r>
            <w:proofErr w:type="spellEnd"/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pozemkový</w:t>
            </w:r>
            <w:proofErr w:type="spellEnd"/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úřad</w:t>
            </w:r>
            <w:proofErr w:type="spellEnd"/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1F73454" w14:textId="652873FA" w:rsidR="00A85C66" w:rsidRPr="00E93F51" w:rsidRDefault="00AF35CF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2BD4B743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proofErr w:type="gram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>ČSN</w:t>
      </w:r>
      <w:proofErr w:type="gramEnd"/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6990BA8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gram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</w:t>
            </w:r>
            <w:proofErr w:type="gramEnd"/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EN 206 +A2 (732403)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nebo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dle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aktuálně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platné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3E06AB62" w14:textId="643C1F0C" w:rsidR="00DA1ACB" w:rsidRPr="00E93F51" w:rsidRDefault="00DA1ACB" w:rsidP="00A07F6D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0E0E7" w14:textId="77777777" w:rsidR="00242AB5" w:rsidRDefault="00242AB5">
      <w:r>
        <w:separator/>
      </w:r>
    </w:p>
  </w:endnote>
  <w:endnote w:type="continuationSeparator" w:id="0">
    <w:p w14:paraId="7174A4DA" w14:textId="77777777" w:rsidR="00242AB5" w:rsidRDefault="00242AB5">
      <w:r>
        <w:continuationSeparator/>
      </w:r>
    </w:p>
  </w:endnote>
  <w:endnote w:type="continuationNotice" w:id="1">
    <w:p w14:paraId="4F1A253F" w14:textId="77777777" w:rsidR="00242AB5" w:rsidRDefault="00242A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42D08" w14:textId="77777777" w:rsidR="00242AB5" w:rsidRDefault="00242AB5">
      <w:r>
        <w:separator/>
      </w:r>
    </w:p>
  </w:footnote>
  <w:footnote w:type="continuationSeparator" w:id="0">
    <w:p w14:paraId="01139928" w14:textId="77777777" w:rsidR="00242AB5" w:rsidRDefault="00242AB5">
      <w:r>
        <w:continuationSeparator/>
      </w:r>
    </w:p>
  </w:footnote>
  <w:footnote w:type="continuationNotice" w:id="1">
    <w:p w14:paraId="2D2BF9F4" w14:textId="77777777" w:rsidR="00242AB5" w:rsidRDefault="00242A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2E0B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6A3B"/>
    <w:rsid w:val="001B7847"/>
    <w:rsid w:val="001C2A32"/>
    <w:rsid w:val="001C4016"/>
    <w:rsid w:val="001C4A62"/>
    <w:rsid w:val="001C6458"/>
    <w:rsid w:val="001D0155"/>
    <w:rsid w:val="001D0726"/>
    <w:rsid w:val="001D0B1C"/>
    <w:rsid w:val="001D1A5B"/>
    <w:rsid w:val="001D2547"/>
    <w:rsid w:val="001D4ABE"/>
    <w:rsid w:val="001D6CFB"/>
    <w:rsid w:val="001D7785"/>
    <w:rsid w:val="001E1765"/>
    <w:rsid w:val="001E3595"/>
    <w:rsid w:val="001E5E53"/>
    <w:rsid w:val="001F742F"/>
    <w:rsid w:val="00200A21"/>
    <w:rsid w:val="00201CDD"/>
    <w:rsid w:val="00204F0B"/>
    <w:rsid w:val="00210DD3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2AB5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0C02"/>
    <w:rsid w:val="002F1237"/>
    <w:rsid w:val="002F12C1"/>
    <w:rsid w:val="002F1C3E"/>
    <w:rsid w:val="002F2110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188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1E99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03BE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37F"/>
    <w:rsid w:val="00477C83"/>
    <w:rsid w:val="00480B9E"/>
    <w:rsid w:val="00481774"/>
    <w:rsid w:val="00481CF6"/>
    <w:rsid w:val="00482118"/>
    <w:rsid w:val="00483FE8"/>
    <w:rsid w:val="00485376"/>
    <w:rsid w:val="00487BFD"/>
    <w:rsid w:val="004916CA"/>
    <w:rsid w:val="00492685"/>
    <w:rsid w:val="00495632"/>
    <w:rsid w:val="00497EEC"/>
    <w:rsid w:val="004A12AD"/>
    <w:rsid w:val="004A3833"/>
    <w:rsid w:val="004A61AB"/>
    <w:rsid w:val="004A65FF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819"/>
    <w:rsid w:val="00521FB8"/>
    <w:rsid w:val="00522A75"/>
    <w:rsid w:val="00523637"/>
    <w:rsid w:val="00526DB0"/>
    <w:rsid w:val="00526F36"/>
    <w:rsid w:val="00531E6F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1BB6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E6F82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65E07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85721"/>
    <w:rsid w:val="00890731"/>
    <w:rsid w:val="00890AEC"/>
    <w:rsid w:val="008915A7"/>
    <w:rsid w:val="00891BC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0B0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85B48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07F6D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3959"/>
    <w:rsid w:val="00A45515"/>
    <w:rsid w:val="00A53422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5AD3"/>
    <w:rsid w:val="00B0649D"/>
    <w:rsid w:val="00B06EA8"/>
    <w:rsid w:val="00B07476"/>
    <w:rsid w:val="00B12387"/>
    <w:rsid w:val="00B13043"/>
    <w:rsid w:val="00B13375"/>
    <w:rsid w:val="00B13EEE"/>
    <w:rsid w:val="00B15472"/>
    <w:rsid w:val="00B20CF6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508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83CB1"/>
    <w:rsid w:val="00B866AD"/>
    <w:rsid w:val="00B965AA"/>
    <w:rsid w:val="00B9705D"/>
    <w:rsid w:val="00BA7054"/>
    <w:rsid w:val="00BA7A24"/>
    <w:rsid w:val="00BA7EF2"/>
    <w:rsid w:val="00BB144C"/>
    <w:rsid w:val="00BB196E"/>
    <w:rsid w:val="00BB74DB"/>
    <w:rsid w:val="00BC063E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940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2EA6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4D93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B2C21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LongProperties xmlns="http://schemas.microsoft.com/office/2006/metadata/longProperties"/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Props1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12</Pages>
  <Words>4351</Words>
  <Characters>25674</Characters>
  <Application>Microsoft Office Word</Application>
  <DocSecurity>0</DocSecurity>
  <Lines>213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Nožička Ondřej Ing.</cp:lastModifiedBy>
  <cp:revision>40</cp:revision>
  <cp:lastPrinted>2017-03-30T06:05:00Z</cp:lastPrinted>
  <dcterms:created xsi:type="dcterms:W3CDTF">2023-08-02T13:59:00Z</dcterms:created>
  <dcterms:modified xsi:type="dcterms:W3CDTF">2025-03-06T08:46:00Z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