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506F33B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37934CF" w14:textId="77777777" w:rsidR="00483266" w:rsidRPr="00272FA9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EBCEF3" w14:textId="77777777" w:rsidR="00483266" w:rsidRPr="00272FA9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483266" w:rsidRPr="0081751D" w14:paraId="79B3BD6B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520D66A" w14:textId="77777777" w:rsidR="00483266" w:rsidRPr="00272FA9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7CE8AE7" w14:textId="77777777" w:rsidR="00483266" w:rsidRPr="00272FA9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7B9FACB8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F76BB96" w14:textId="77777777" w:rsidR="00483266" w:rsidRPr="00272FA9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07644E" w14:textId="77777777" w:rsidR="00483266" w:rsidRPr="00272FA9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03DB4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7B20B60" w14:textId="77777777" w:rsidR="00EA6236" w:rsidRPr="00272FA9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272FA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6B3785" w14:textId="77777777" w:rsidR="00EA6236" w:rsidRPr="00272FA9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2FA9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2817937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3E60AE" w14:textId="77777777" w:rsidR="00EA6236" w:rsidRPr="00272FA9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FD2D3" w14:textId="7792D6C7" w:rsidR="00FD7FB3" w:rsidRPr="00272FA9" w:rsidRDefault="00000000" w:rsidP="004969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8" w:history="1">
              <w:r w:rsidR="00FD7FB3" w:rsidRPr="0098480F">
                <w:rPr>
                  <w:rStyle w:val="Hypertextovodkaz"/>
                  <w:rFonts w:ascii="Arial" w:hAnsi="Arial" w:cs="Arial"/>
                  <w:sz w:val="22"/>
                  <w:szCs w:val="22"/>
                </w:rPr>
                <w:t xml:space="preserve"> https://zakazky.spucr.cz/contract_display_4</w:t>
              </w:r>
              <w:r w:rsidR="00FD7FB3" w:rsidRPr="0098480F">
                <w:rPr>
                  <w:rStyle w:val="Hypertextovodkaz"/>
                  <w:rFonts w:ascii="Arial" w:hAnsi="Arial" w:cs="Arial"/>
                </w:rPr>
                <w:t>5002</w:t>
              </w:r>
              <w:r w:rsidR="00FD7FB3" w:rsidRPr="0098480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.html</w:t>
              </w:r>
            </w:hyperlink>
          </w:p>
        </w:tc>
      </w:tr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272FA9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09E3F427" w:rsidR="00EA6236" w:rsidRPr="00272FA9" w:rsidRDefault="005D024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sz w:val="22"/>
                <w:szCs w:val="22"/>
              </w:rPr>
              <w:t xml:space="preserve">JPÚ pro odstranění parcel ZE v k. </w:t>
            </w:r>
            <w:proofErr w:type="spellStart"/>
            <w:r w:rsidRPr="00272FA9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272FA9">
              <w:rPr>
                <w:rFonts w:ascii="Arial" w:hAnsi="Arial" w:cs="Arial"/>
                <w:b/>
                <w:sz w:val="22"/>
                <w:szCs w:val="22"/>
              </w:rPr>
              <w:t xml:space="preserve"> Drnholec a v k. </w:t>
            </w:r>
            <w:proofErr w:type="spellStart"/>
            <w:r w:rsidRPr="00272FA9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272FA9">
              <w:rPr>
                <w:rFonts w:ascii="Arial" w:hAnsi="Arial" w:cs="Arial"/>
                <w:b/>
                <w:sz w:val="22"/>
                <w:szCs w:val="22"/>
              </w:rPr>
              <w:t xml:space="preserve"> Novosedly na Moravě</w:t>
            </w:r>
          </w:p>
        </w:tc>
      </w:tr>
      <w:tr w:rsidR="00EA6236" w:rsidRPr="0081751D" w14:paraId="68BA058D" w14:textId="77777777" w:rsidTr="00172B5A">
        <w:trPr>
          <w:trHeight w:val="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272FA9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72FA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3A7128FE" w:rsidR="00EA6236" w:rsidRPr="00272FA9" w:rsidRDefault="00ED75E4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2FA9">
              <w:rPr>
                <w:rFonts w:ascii="Arial" w:hAnsi="Arial" w:cs="Arial"/>
                <w:sz w:val="22"/>
                <w:szCs w:val="22"/>
              </w:rPr>
              <w:t>SP10694/2023-523101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066E1FD0" w:rsidR="00704061" w:rsidRPr="004D7E1E" w:rsidRDefault="004D7E1E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Cs/>
          <w:kern w:val="28"/>
          <w:sz w:val="22"/>
          <w:szCs w:val="22"/>
        </w:rPr>
      </w:pPr>
      <w:r w:rsidRPr="004D7E1E">
        <w:rPr>
          <w:rFonts w:ascii="Arial" w:hAnsi="Arial" w:cs="Arial"/>
          <w:bCs/>
          <w:iCs/>
          <w:kern w:val="28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14:paraId="76B05F73" w14:textId="77777777" w:rsidR="004D7E1E" w:rsidRPr="0081751D" w:rsidRDefault="004D7E1E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31CBE4E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proofErr w:type="gramStart"/>
      <w:r w:rsidR="00AA75AF">
        <w:rPr>
          <w:rFonts w:ascii="Arial" w:hAnsi="Arial" w:cs="Arial"/>
          <w:b/>
          <w:bCs/>
        </w:rPr>
        <w:t xml:space="preserve">zákona </w:t>
      </w:r>
      <w:r w:rsidR="00AA75AF">
        <w:rPr>
          <w:rFonts w:ascii="Arial" w:hAnsi="Arial" w:cs="Arial"/>
        </w:rPr>
        <w:t>- obor</w:t>
      </w:r>
      <w:proofErr w:type="gramEnd"/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3715EB6" w14:textId="77777777" w:rsidR="00686BB1" w:rsidRDefault="00686BB1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2E1D41C8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9"/>
      <w:footerReference w:type="default" r:id="rId10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A0940" w14:textId="77777777" w:rsidR="003F1889" w:rsidRDefault="003F1889" w:rsidP="008E4AD5">
      <w:r>
        <w:separator/>
      </w:r>
    </w:p>
  </w:endnote>
  <w:endnote w:type="continuationSeparator" w:id="0">
    <w:p w14:paraId="5BACD970" w14:textId="77777777" w:rsidR="003F1889" w:rsidRDefault="003F18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6E64" w14:textId="77777777" w:rsidR="003F1889" w:rsidRDefault="003F1889" w:rsidP="008E4AD5">
      <w:r>
        <w:separator/>
      </w:r>
    </w:p>
  </w:footnote>
  <w:footnote w:type="continuationSeparator" w:id="0">
    <w:p w14:paraId="7EEC0F83" w14:textId="77777777" w:rsidR="003F1889" w:rsidRDefault="003F18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796856">
    <w:abstractNumId w:val="5"/>
  </w:num>
  <w:num w:numId="2" w16cid:durableId="495147594">
    <w:abstractNumId w:val="3"/>
  </w:num>
  <w:num w:numId="3" w16cid:durableId="634071106">
    <w:abstractNumId w:val="0"/>
  </w:num>
  <w:num w:numId="4" w16cid:durableId="1600672262">
    <w:abstractNumId w:val="8"/>
  </w:num>
  <w:num w:numId="5" w16cid:durableId="1819883246">
    <w:abstractNumId w:val="7"/>
  </w:num>
  <w:num w:numId="6" w16cid:durableId="120266593">
    <w:abstractNumId w:val="9"/>
  </w:num>
  <w:num w:numId="7" w16cid:durableId="930167239">
    <w:abstractNumId w:val="2"/>
  </w:num>
  <w:num w:numId="8" w16cid:durableId="225918142">
    <w:abstractNumId w:val="1"/>
  </w:num>
  <w:num w:numId="9" w16cid:durableId="1665864553">
    <w:abstractNumId w:val="6"/>
  </w:num>
  <w:num w:numId="10" w16cid:durableId="84609300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36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B5A"/>
    <w:rsid w:val="00175EBD"/>
    <w:rsid w:val="00177094"/>
    <w:rsid w:val="00181EDD"/>
    <w:rsid w:val="001823F4"/>
    <w:rsid w:val="00186BB0"/>
    <w:rsid w:val="00191A96"/>
    <w:rsid w:val="001A0002"/>
    <w:rsid w:val="001B133C"/>
    <w:rsid w:val="001B34C9"/>
    <w:rsid w:val="001B76F6"/>
    <w:rsid w:val="001C17A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609"/>
    <w:rsid w:val="0026476F"/>
    <w:rsid w:val="00266691"/>
    <w:rsid w:val="002723EB"/>
    <w:rsid w:val="00272FA9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B41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57C6"/>
    <w:rsid w:val="003A34D8"/>
    <w:rsid w:val="003B2852"/>
    <w:rsid w:val="003B30D8"/>
    <w:rsid w:val="003B3F83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188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37E0"/>
    <w:rsid w:val="00495515"/>
    <w:rsid w:val="00495EBA"/>
    <w:rsid w:val="0049699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1E"/>
    <w:rsid w:val="004D7E62"/>
    <w:rsid w:val="004E1FD5"/>
    <w:rsid w:val="004E73F2"/>
    <w:rsid w:val="004F0AC8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62D"/>
    <w:rsid w:val="00547AF4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0751"/>
    <w:rsid w:val="005B1C81"/>
    <w:rsid w:val="005C4C72"/>
    <w:rsid w:val="005D0246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364E5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3258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BB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162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6F86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0CA6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8C1"/>
    <w:rsid w:val="00995C3D"/>
    <w:rsid w:val="00997300"/>
    <w:rsid w:val="009A2665"/>
    <w:rsid w:val="009A3564"/>
    <w:rsid w:val="009A3DF4"/>
    <w:rsid w:val="009A5564"/>
    <w:rsid w:val="009B2FB2"/>
    <w:rsid w:val="009B36EF"/>
    <w:rsid w:val="009B7822"/>
    <w:rsid w:val="009C7E54"/>
    <w:rsid w:val="009D5468"/>
    <w:rsid w:val="009D7542"/>
    <w:rsid w:val="009E01AE"/>
    <w:rsid w:val="009E1D5A"/>
    <w:rsid w:val="009E2334"/>
    <w:rsid w:val="009E3936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1839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10A9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9ED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E4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D7FB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9B2FB2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2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zakazky.spucr.cz/contract_display_4500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730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62</cp:revision>
  <cp:lastPrinted>2019-07-17T05:10:00Z</cp:lastPrinted>
  <dcterms:created xsi:type="dcterms:W3CDTF">2016-10-06T05:49:00Z</dcterms:created>
  <dcterms:modified xsi:type="dcterms:W3CDTF">2023-12-11T11:38:00Z</dcterms:modified>
</cp:coreProperties>
</file>