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BC2D" w14:textId="77777777" w:rsidR="00980B25" w:rsidRDefault="00980B25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6C00C094" w14:textId="56849C5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78E0EDFE" w14:textId="77777777" w:rsidR="0010056D" w:rsidRPr="00E93F51" w:rsidRDefault="0010056D" w:rsidP="0010056D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8172B92" w14:textId="77777777" w:rsidR="0010056D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5BEF7B72" w14:textId="77777777" w:rsidR="0010056D" w:rsidRPr="00E93F51" w:rsidRDefault="0010056D" w:rsidP="0010056D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0D5FA47A" w14:textId="77777777" w:rsidR="0010056D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město Praha, Pobočka Nymburk</w:t>
      </w:r>
      <w:r w:rsidRPr="00E93F51">
        <w:rPr>
          <w:rFonts w:ascii="Arial" w:hAnsi="Arial" w:cs="Arial"/>
          <w:i w:val="0"/>
          <w:sz w:val="22"/>
          <w:szCs w:val="22"/>
        </w:rPr>
        <w:t xml:space="preserve"> </w:t>
      </w:r>
    </w:p>
    <w:p w14:paraId="29358A8E" w14:textId="77777777" w:rsidR="0010056D" w:rsidRPr="00E93F51" w:rsidRDefault="0010056D" w:rsidP="0010056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Adresa: Soudní 17/3, 288 02 Nymburk </w:t>
      </w:r>
    </w:p>
    <w:p w14:paraId="06111FD6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9FF1BB3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Zdeňkem Jahnem CSc.</w:t>
      </w:r>
    </w:p>
    <w:p w14:paraId="2AD67C64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vedoucím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016EE4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Ing. </w:t>
      </w:r>
      <w:r>
        <w:rPr>
          <w:rFonts w:ascii="Arial" w:hAnsi="Arial" w:cs="Arial"/>
          <w:color w:val="000000" w:themeColor="text1"/>
          <w:sz w:val="22"/>
          <w:szCs w:val="22"/>
        </w:rPr>
        <w:t>Zdeněk Jahn CSc.</w:t>
      </w:r>
    </w:p>
    <w:p w14:paraId="163D996B" w14:textId="77777777" w:rsidR="0010056D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 xml:space="preserve">vedoucí Pobočky </w:t>
      </w:r>
      <w:r>
        <w:rPr>
          <w:rFonts w:ascii="Arial" w:hAnsi="Arial" w:cs="Arial"/>
          <w:color w:val="000000" w:themeColor="text1"/>
          <w:sz w:val="22"/>
          <w:szCs w:val="22"/>
        </w:rPr>
        <w:t>Nymburk</w:t>
      </w:r>
    </w:p>
    <w:p w14:paraId="5433485B" w14:textId="56B89792" w:rsidR="0010056D" w:rsidRPr="00E93F51" w:rsidRDefault="0010056D" w:rsidP="0010056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 xml:space="preserve">Ing. </w:t>
      </w:r>
      <w:r w:rsidR="00F276CB">
        <w:rPr>
          <w:rFonts w:ascii="Arial" w:hAnsi="Arial" w:cs="Arial"/>
          <w:snapToGrid w:val="0"/>
          <w:sz w:val="22"/>
          <w:szCs w:val="22"/>
        </w:rPr>
        <w:t>J</w:t>
      </w:r>
      <w:r w:rsidR="00980B25">
        <w:rPr>
          <w:rFonts w:ascii="Arial" w:hAnsi="Arial" w:cs="Arial"/>
          <w:snapToGrid w:val="0"/>
          <w:sz w:val="22"/>
          <w:szCs w:val="22"/>
        </w:rPr>
        <w:t>aroslav Poděbradský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4E6BB006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Adresa: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Soudní 17, 288 02 Nymburk</w:t>
      </w:r>
    </w:p>
    <w:p w14:paraId="144CB9FD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z w:val="22"/>
          <w:szCs w:val="22"/>
        </w:rPr>
        <w:tab/>
        <w:t xml:space="preserve">+420 </w:t>
      </w:r>
      <w:r>
        <w:rPr>
          <w:rFonts w:ascii="Arial" w:hAnsi="Arial" w:cs="Arial"/>
          <w:color w:val="000000" w:themeColor="text1"/>
          <w:sz w:val="22"/>
          <w:szCs w:val="22"/>
        </w:rPr>
        <w:t>724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067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 </w:t>
      </w:r>
      <w:r>
        <w:rPr>
          <w:rFonts w:ascii="Arial" w:hAnsi="Arial" w:cs="Arial"/>
          <w:color w:val="000000" w:themeColor="text1"/>
          <w:sz w:val="22"/>
          <w:szCs w:val="22"/>
        </w:rPr>
        <w:t>74</w:t>
      </w:r>
      <w:r w:rsidRPr="00BF2A6C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5E87D049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>z.jahn</w:t>
      </w:r>
      <w:r w:rsidRPr="00866826">
        <w:rPr>
          <w:rFonts w:ascii="Arial" w:hAnsi="Arial" w:cs="Arial"/>
          <w:color w:val="000000" w:themeColor="text1"/>
          <w:sz w:val="22"/>
          <w:szCs w:val="22"/>
        </w:rPr>
        <w:t>@spucr.cz</w:t>
      </w:r>
    </w:p>
    <w:p w14:paraId="1B4E7543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ID DS:</w:t>
      </w:r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2BF53EAB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  <w:t>ČNB</w:t>
      </w:r>
    </w:p>
    <w:p w14:paraId="7A71E9DA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7F255830" w14:textId="77777777" w:rsidR="0010056D" w:rsidRPr="00E93F51" w:rsidRDefault="0010056D" w:rsidP="0010056D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56B51D5A" w14:textId="77777777" w:rsidR="0010056D" w:rsidRPr="00784FB2" w:rsidRDefault="0010056D" w:rsidP="0010056D">
      <w:pPr>
        <w:pStyle w:val="Bezmezer"/>
        <w:tabs>
          <w:tab w:val="left" w:pos="4536"/>
        </w:tabs>
        <w:spacing w:after="240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D33DF88" w14:textId="77777777" w:rsidR="0010056D" w:rsidRPr="00E93F51" w:rsidRDefault="0010056D" w:rsidP="0010056D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4ACAD59" w14:textId="4DF92CB5" w:rsidR="007C3E40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</w:t>
      </w:r>
      <w:r w:rsidR="007C3E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C3E4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70528741" w14:textId="2C956E24" w:rsidR="00ED61CA" w:rsidRPr="00E93F51" w:rsidRDefault="007C3E40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ED61CA" w:rsidRPr="00E93F51">
        <w:rPr>
          <w:rFonts w:ascii="Arial" w:hAnsi="Arial" w:cs="Arial"/>
          <w:sz w:val="22"/>
          <w:szCs w:val="22"/>
        </w:rPr>
        <w:t xml:space="preserve"> tel./</w:t>
      </w:r>
      <w:proofErr w:type="gramStart"/>
      <w:r w:rsidR="00ED61CA"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="00ED61CA"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sz w:val="22"/>
          <w:szCs w:val="22"/>
        </w:rPr>
        <w:tab/>
      </w:r>
    </w:p>
    <w:p w14:paraId="043D8AEA" w14:textId="080BFD31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>e-mail:</w:t>
      </w:r>
      <w:r w:rsidR="007C3E40">
        <w:rPr>
          <w:rFonts w:ascii="Arial" w:hAnsi="Arial" w:cs="Arial"/>
          <w:sz w:val="22"/>
          <w:szCs w:val="22"/>
        </w:rPr>
        <w:t xml:space="preserve">   </w:t>
      </w:r>
      <w:proofErr w:type="gramEnd"/>
      <w:r w:rsidR="007C3E40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7C3E40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6423B02E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0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0"/>
    </w:p>
    <w:p w14:paraId="6306303B" w14:textId="2A64247C" w:rsidR="00B04130" w:rsidRPr="0032662B" w:rsidRDefault="007F5AFE" w:rsidP="00383B15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32662B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7C0D4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32662B">
        <w:rPr>
          <w:bCs/>
        </w:rPr>
        <w:t xml:space="preserve">č.j. </w:t>
      </w:r>
      <w:r w:rsidR="0010056D" w:rsidRPr="0032662B">
        <w:rPr>
          <w:rFonts w:ascii="Arial" w:hAnsi="Arial" w:cs="Arial"/>
          <w:sz w:val="22"/>
          <w:szCs w:val="22"/>
        </w:rPr>
        <w:t xml:space="preserve">SPU </w:t>
      </w:r>
      <w:r w:rsidR="00E2035F">
        <w:rPr>
          <w:rFonts w:ascii="Arial" w:hAnsi="Arial" w:cs="Arial"/>
          <w:sz w:val="22"/>
          <w:szCs w:val="22"/>
        </w:rPr>
        <w:t>478918/</w:t>
      </w:r>
      <w:r w:rsidR="007C3E40">
        <w:rPr>
          <w:rFonts w:ascii="Arial" w:hAnsi="Arial" w:cs="Arial"/>
          <w:sz w:val="22"/>
          <w:szCs w:val="22"/>
        </w:rPr>
        <w:t>2023</w:t>
      </w:r>
      <w:r w:rsidR="0010056D" w:rsidRPr="0032662B">
        <w:rPr>
          <w:rFonts w:ascii="Arial" w:hAnsi="Arial" w:cs="Arial"/>
          <w:sz w:val="22"/>
          <w:szCs w:val="22"/>
        </w:rPr>
        <w:t xml:space="preserve"> s</w:t>
      </w:r>
      <w:r w:rsidR="00265531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„</w:t>
      </w:r>
      <w:bookmarkStart w:id="1" w:name="_Hlk16152047"/>
      <w:r w:rsidR="0010056D" w:rsidRPr="0032662B">
        <w:rPr>
          <w:rStyle w:val="Siln"/>
          <w:rFonts w:ascii="Arial" w:hAnsi="Arial" w:cs="Arial"/>
          <w:sz w:val="22"/>
          <w:szCs w:val="22"/>
        </w:rPr>
        <w:t>G</w:t>
      </w:r>
      <w:r w:rsidR="001A32A5" w:rsidRPr="0032662B">
        <w:rPr>
          <w:rStyle w:val="Siln"/>
          <w:rFonts w:ascii="Arial" w:hAnsi="Arial" w:cs="Arial"/>
          <w:sz w:val="22"/>
          <w:szCs w:val="22"/>
        </w:rPr>
        <w:t>eotechnick</w:t>
      </w:r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ý </w:t>
      </w:r>
      <w:r w:rsidR="001A32A5" w:rsidRPr="0032662B">
        <w:rPr>
          <w:rStyle w:val="Siln"/>
          <w:rFonts w:ascii="Arial" w:hAnsi="Arial" w:cs="Arial"/>
          <w:sz w:val="22"/>
          <w:szCs w:val="22"/>
        </w:rPr>
        <w:t xml:space="preserve">průzkum </w:t>
      </w:r>
      <w:bookmarkEnd w:id="1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pro PSZ </w:t>
      </w:r>
      <w:proofErr w:type="spellStart"/>
      <w:r w:rsidR="0010056D" w:rsidRPr="0032662B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10056D" w:rsidRPr="0032662B">
        <w:rPr>
          <w:rStyle w:val="Siln"/>
          <w:rFonts w:ascii="Arial" w:hAnsi="Arial" w:cs="Arial"/>
          <w:sz w:val="22"/>
          <w:szCs w:val="22"/>
        </w:rPr>
        <w:t xml:space="preserve"> </w:t>
      </w:r>
      <w:r w:rsidR="00980B25">
        <w:rPr>
          <w:rStyle w:val="Siln"/>
          <w:rFonts w:ascii="Arial" w:hAnsi="Arial" w:cs="Arial"/>
          <w:sz w:val="22"/>
          <w:szCs w:val="22"/>
        </w:rPr>
        <w:t>Budiměřice</w:t>
      </w:r>
      <w:r w:rsidR="00265531" w:rsidRPr="0032662B">
        <w:rPr>
          <w:rStyle w:val="Siln"/>
          <w:rFonts w:ascii="Arial" w:hAnsi="Arial" w:cs="Arial"/>
          <w:sz w:val="22"/>
          <w:szCs w:val="22"/>
        </w:rPr>
        <w:t>“</w:t>
      </w:r>
      <w:r w:rsidR="00B70E97" w:rsidRPr="0032662B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32662B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32662B">
        <w:rPr>
          <w:rFonts w:ascii="Arial" w:hAnsi="Arial" w:cs="Arial"/>
          <w:sz w:val="22"/>
          <w:szCs w:val="22"/>
        </w:rPr>
        <w:t>G</w:t>
      </w:r>
      <w:r w:rsidR="00DC55FB" w:rsidRPr="0032662B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DC55FB" w:rsidRPr="0032662B">
        <w:rPr>
          <w:rFonts w:ascii="Arial" w:hAnsi="Arial" w:cs="Arial"/>
          <w:sz w:val="22"/>
          <w:szCs w:val="22"/>
        </w:rPr>
        <w:t>GTP</w:t>
      </w:r>
      <w:r w:rsidR="00812ED3" w:rsidRPr="0032662B">
        <w:rPr>
          <w:rFonts w:ascii="Arial" w:hAnsi="Arial" w:cs="Arial"/>
          <w:sz w:val="22"/>
          <w:szCs w:val="22"/>
        </w:rPr>
        <w:t>“</w:t>
      </w:r>
      <w:r w:rsidR="00DC55FB" w:rsidRPr="0032662B">
        <w:rPr>
          <w:rFonts w:ascii="Arial" w:hAnsi="Arial" w:cs="Arial"/>
          <w:sz w:val="22"/>
          <w:szCs w:val="22"/>
        </w:rPr>
        <w:t>)</w:t>
      </w:r>
      <w:r w:rsidR="00CF30A6" w:rsidRPr="0032662B">
        <w:rPr>
          <w:rFonts w:ascii="Arial" w:hAnsi="Arial" w:cs="Arial"/>
          <w:sz w:val="22"/>
          <w:szCs w:val="22"/>
        </w:rPr>
        <w:t xml:space="preserve"> </w:t>
      </w:r>
      <w:r w:rsidR="00B04130" w:rsidRPr="0032662B">
        <w:rPr>
          <w:rFonts w:ascii="Arial" w:hAnsi="Arial" w:cs="Arial"/>
          <w:sz w:val="22"/>
          <w:szCs w:val="22"/>
        </w:rPr>
        <w:t>bude prováděn na vybraných lokalitách</w:t>
      </w:r>
      <w:r w:rsidR="000A0467">
        <w:rPr>
          <w:rFonts w:ascii="Arial" w:hAnsi="Arial" w:cs="Arial"/>
          <w:sz w:val="22"/>
          <w:szCs w:val="22"/>
        </w:rPr>
        <w:t>,</w:t>
      </w:r>
      <w:r w:rsidR="00B04130" w:rsidRPr="0032662B">
        <w:rPr>
          <w:rFonts w:ascii="Arial" w:hAnsi="Arial" w:cs="Arial"/>
          <w:sz w:val="22"/>
          <w:szCs w:val="22"/>
        </w:rPr>
        <w:t xml:space="preserve"> kde </w:t>
      </w:r>
      <w:r w:rsidR="00A557DF" w:rsidRPr="0032662B">
        <w:rPr>
          <w:rFonts w:ascii="Arial" w:hAnsi="Arial" w:cs="Arial"/>
          <w:sz w:val="22"/>
          <w:szCs w:val="22"/>
        </w:rPr>
        <w:t xml:space="preserve">vyhodnotí </w:t>
      </w:r>
      <w:r w:rsidR="001A32A5" w:rsidRPr="0032662B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32662B">
        <w:rPr>
          <w:rFonts w:ascii="Arial" w:hAnsi="Arial" w:cs="Arial"/>
          <w:sz w:val="22"/>
          <w:szCs w:val="22"/>
        </w:rPr>
        <w:t>a</w:t>
      </w:r>
      <w:r w:rsidR="00914EF8" w:rsidRPr="0032662B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32662B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32662B">
        <w:rPr>
          <w:rFonts w:ascii="Arial" w:hAnsi="Arial" w:cs="Arial"/>
          <w:sz w:val="22"/>
          <w:szCs w:val="22"/>
        </w:rPr>
        <w:t>„</w:t>
      </w:r>
      <w:r w:rsidR="00B13043" w:rsidRPr="0032662B">
        <w:rPr>
          <w:rFonts w:ascii="Arial" w:hAnsi="Arial" w:cs="Arial"/>
          <w:sz w:val="22"/>
          <w:szCs w:val="22"/>
        </w:rPr>
        <w:t>DTR</w:t>
      </w:r>
      <w:r w:rsidR="00347565" w:rsidRPr="0032662B">
        <w:rPr>
          <w:rFonts w:ascii="Arial" w:hAnsi="Arial" w:cs="Arial"/>
          <w:sz w:val="22"/>
          <w:szCs w:val="22"/>
        </w:rPr>
        <w:t>“</w:t>
      </w:r>
      <w:r w:rsidR="00B13043" w:rsidRPr="0032662B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32662B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32662B">
        <w:rPr>
          <w:rFonts w:ascii="Arial" w:hAnsi="Arial" w:cs="Arial"/>
          <w:sz w:val="22"/>
          <w:szCs w:val="22"/>
        </w:rPr>
        <w:t xml:space="preserve">při </w:t>
      </w:r>
      <w:r w:rsidR="00914EF8" w:rsidRPr="0032662B">
        <w:rPr>
          <w:rFonts w:ascii="Arial" w:hAnsi="Arial" w:cs="Arial"/>
          <w:sz w:val="22"/>
          <w:szCs w:val="22"/>
        </w:rPr>
        <w:t>komplexní</w:t>
      </w:r>
      <w:r w:rsidR="0080639F">
        <w:rPr>
          <w:rFonts w:ascii="Arial" w:hAnsi="Arial" w:cs="Arial"/>
          <w:sz w:val="22"/>
          <w:szCs w:val="22"/>
        </w:rPr>
        <w:t>ch</w:t>
      </w:r>
      <w:r w:rsidR="00914EF8" w:rsidRPr="0032662B">
        <w:rPr>
          <w:rFonts w:ascii="Arial" w:hAnsi="Arial" w:cs="Arial"/>
          <w:sz w:val="22"/>
          <w:szCs w:val="22"/>
        </w:rPr>
        <w:t xml:space="preserve"> pozemkov</w:t>
      </w:r>
      <w:r w:rsidR="0080639F">
        <w:rPr>
          <w:rFonts w:ascii="Arial" w:hAnsi="Arial" w:cs="Arial"/>
          <w:sz w:val="22"/>
          <w:szCs w:val="22"/>
        </w:rPr>
        <w:t xml:space="preserve">ých </w:t>
      </w:r>
      <w:r w:rsidR="00914EF8" w:rsidRPr="0032662B">
        <w:rPr>
          <w:rFonts w:ascii="Arial" w:hAnsi="Arial" w:cs="Arial"/>
          <w:sz w:val="22"/>
          <w:szCs w:val="22"/>
        </w:rPr>
        <w:t>úprav</w:t>
      </w:r>
      <w:r w:rsidR="0080639F">
        <w:rPr>
          <w:rFonts w:ascii="Arial" w:hAnsi="Arial" w:cs="Arial"/>
          <w:sz w:val="22"/>
          <w:szCs w:val="22"/>
        </w:rPr>
        <w:t xml:space="preserve">ách </w:t>
      </w:r>
      <w:r w:rsidR="000A0467">
        <w:rPr>
          <w:rFonts w:ascii="Arial" w:hAnsi="Arial" w:cs="Arial"/>
          <w:sz w:val="22"/>
          <w:szCs w:val="22"/>
        </w:rPr>
        <w:t>Vin</w:t>
      </w:r>
      <w:r w:rsidR="0080639F">
        <w:rPr>
          <w:rFonts w:ascii="Arial" w:hAnsi="Arial" w:cs="Arial"/>
          <w:sz w:val="22"/>
          <w:szCs w:val="22"/>
        </w:rPr>
        <w:t>ice</w:t>
      </w:r>
      <w:r w:rsidR="0032662B">
        <w:rPr>
          <w:rFonts w:ascii="Arial" w:hAnsi="Arial" w:cs="Arial"/>
          <w:sz w:val="22"/>
          <w:szCs w:val="22"/>
        </w:rPr>
        <w:t>.</w:t>
      </w:r>
      <w:r w:rsidR="00364403" w:rsidRPr="0032662B">
        <w:rPr>
          <w:rFonts w:ascii="Arial" w:hAnsi="Arial" w:cs="Arial"/>
          <w:sz w:val="22"/>
          <w:szCs w:val="22"/>
        </w:rPr>
        <w:t xml:space="preserve"> </w:t>
      </w:r>
      <w:r w:rsidR="00B62D72" w:rsidRPr="0032662B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3897BD4" w14:textId="18EE1679" w:rsidR="00BC1D8F" w:rsidRPr="0032662B" w:rsidRDefault="008325A1" w:rsidP="00E2035F">
      <w:pPr>
        <w:pStyle w:val="Bezmezer"/>
        <w:spacing w:line="276" w:lineRule="auto"/>
        <w:ind w:left="709"/>
        <w:jc w:val="both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32662B">
        <w:rPr>
          <w:rFonts w:ascii="Arial" w:hAnsi="Arial" w:cs="Arial"/>
          <w:b/>
          <w:bCs/>
          <w:i/>
          <w:sz w:val="22"/>
          <w:szCs w:val="22"/>
          <w:lang w:val="x-none"/>
        </w:rPr>
        <w:t>:</w:t>
      </w:r>
    </w:p>
    <w:p w14:paraId="3C604B28" w14:textId="0C3C6F29" w:rsidR="008325A1" w:rsidRPr="00E93F51" w:rsidRDefault="008325A1" w:rsidP="00E2035F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662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polní cesty, </w:t>
      </w:r>
      <w:r w:rsidR="00DC55FB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předběžný pro vodní nádrže a poldry, podrobný </w:t>
      </w:r>
      <w:r w:rsidR="00BC1D8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pro vodní nádrže a poldry, </w:t>
      </w:r>
      <w:r w:rsidR="00AF35CF" w:rsidRPr="0032662B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32662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662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E2035F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0A0467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0A0467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- 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ab/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Základní mapu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>1:5</w:t>
      </w:r>
      <w:r w:rsidR="000A07F1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000 nebo </w:t>
      </w:r>
      <w:r w:rsidR="001F742F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1:10 000 </w:t>
      </w:r>
    </w:p>
    <w:p w14:paraId="1264E7A1" w14:textId="691D7AEB" w:rsidR="001F742F" w:rsidRPr="000A0467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Data výškopisu</w:t>
      </w:r>
      <w:r w:rsidR="00B9705D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a polohopisu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2B0933" w:rsidRPr="000A0467">
        <w:rPr>
          <w:rStyle w:val="Siln"/>
          <w:rFonts w:ascii="Arial" w:hAnsi="Arial" w:cs="Arial"/>
          <w:b w:val="0"/>
          <w:sz w:val="22"/>
          <w:szCs w:val="22"/>
        </w:rPr>
        <w:t xml:space="preserve">zaměření skutečného stavu, </w:t>
      </w:r>
      <w:r w:rsidR="002B4EE2" w:rsidRPr="000A0467">
        <w:rPr>
          <w:rStyle w:val="Siln"/>
          <w:rFonts w:ascii="Arial" w:hAnsi="Arial" w:cs="Arial"/>
          <w:b w:val="0"/>
          <w:sz w:val="22"/>
          <w:szCs w:val="22"/>
        </w:rPr>
        <w:t>ZABAGED</w:t>
      </w:r>
      <w:r w:rsidRPr="000A0467">
        <w:rPr>
          <w:rStyle w:val="Siln"/>
          <w:rFonts w:ascii="Arial" w:hAnsi="Arial" w:cs="Arial"/>
          <w:b w:val="0"/>
          <w:sz w:val="22"/>
          <w:szCs w:val="22"/>
        </w:rPr>
        <w:t>, DMR)</w:t>
      </w:r>
    </w:p>
    <w:p w14:paraId="4416B42D" w14:textId="77777777" w:rsidR="00A5572F" w:rsidRPr="000A0467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A0467">
        <w:rPr>
          <w:rStyle w:val="Siln"/>
          <w:rFonts w:ascii="Arial" w:hAnsi="Arial" w:cs="Arial"/>
          <w:b w:val="0"/>
          <w:sz w:val="22"/>
          <w:szCs w:val="22"/>
        </w:rPr>
        <w:t>Situaci předpokládaného umístění stavby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EC0C132" w:rsidR="00F87A5F" w:rsidRPr="0080639F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80639F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EB1D9B" w:rsidRPr="0080639F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980B25">
        <w:rPr>
          <w:rStyle w:val="Siln"/>
          <w:rFonts w:ascii="Arial" w:hAnsi="Arial" w:cs="Arial"/>
          <w:bCs w:val="0"/>
          <w:sz w:val="22"/>
          <w:szCs w:val="22"/>
        </w:rPr>
        <w:t>19.1.</w:t>
      </w:r>
      <w:r w:rsidR="00EB1D9B" w:rsidRPr="0080639F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980B25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80639F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>zavazuje započít s prováděním Díla</w:t>
      </w:r>
      <w:r w:rsidR="00CC54C5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80639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80639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60BAA50" w:rsidR="003473A4" w:rsidRPr="0080639F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80639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0639F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proofErr w:type="spellStart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32662B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980B25">
        <w:rPr>
          <w:rStyle w:val="Siln"/>
          <w:rFonts w:ascii="Arial" w:hAnsi="Arial" w:cs="Arial"/>
          <w:b w:val="0"/>
          <w:sz w:val="22"/>
          <w:szCs w:val="22"/>
        </w:rPr>
        <w:t xml:space="preserve">Budiměřice, </w:t>
      </w:r>
      <w:bookmarkStart w:id="3" w:name="_Ref368936589"/>
      <w:r w:rsidR="00B20EC4" w:rsidRPr="0080639F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80639F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80639F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80639F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466ACBBE" w14:textId="77777777" w:rsidR="00F87A5F" w:rsidRPr="007C3E40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4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4"/>
    </w:p>
    <w:p w14:paraId="4F806BB6" w14:textId="0D51B243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980B25" w:rsidRPr="00980B25">
        <w:rPr>
          <w:rFonts w:ascii="Arial" w:hAnsi="Arial" w:cs="Arial"/>
          <w:bCs/>
          <w:i w:val="0"/>
          <w:sz w:val="22"/>
          <w:szCs w:val="22"/>
        </w:rPr>
        <w:t>19.1.2024</w:t>
      </w:r>
      <w:r w:rsidR="001C4016" w:rsidRPr="00445362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Ref368985193"/>
      <w:bookmarkStart w:id="6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5"/>
      <w:bookmarkEnd w:id="6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7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7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Pr="00E93F51">
        <w:rPr>
          <w:rFonts w:cs="Arial"/>
          <w:szCs w:val="22"/>
          <w:u w:val="none"/>
        </w:rPr>
        <w:t>Cena</w:t>
      </w:r>
      <w:bookmarkEnd w:id="8"/>
      <w:bookmarkEnd w:id="9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0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0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1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2"/>
    </w:p>
    <w:p w14:paraId="1929EE95" w14:textId="348002F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3266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3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548F7DF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32662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4E6B18D4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DA45E6B" w14:textId="77777777" w:rsidR="007C3E40" w:rsidRPr="00E93F51" w:rsidRDefault="007C3E4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CC132C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 xml:space="preserve">souvislosti s výkonem jeho činnosti, ve výši nejméně </w:t>
      </w:r>
      <w:r w:rsidR="0032662B">
        <w:rPr>
          <w:rFonts w:ascii="Arial" w:hAnsi="Arial" w:cs="Arial"/>
          <w:bCs/>
          <w:sz w:val="22"/>
          <w:szCs w:val="22"/>
        </w:rPr>
        <w:t xml:space="preserve">100 000,-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4" w:name="_Ref368989260"/>
      <w:r w:rsidRPr="00E93F51">
        <w:rPr>
          <w:rFonts w:cs="Arial"/>
          <w:szCs w:val="22"/>
          <w:u w:val="none"/>
        </w:rPr>
        <w:t>Ostatní ujednání</w:t>
      </w:r>
      <w:bookmarkEnd w:id="14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5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6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Veškeré změny a doplňky budou uskutečněny po vzájemné dohodě smluvních stran formou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2DFF08F0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32662B" w14:paraId="4622AD9D" w14:textId="77777777" w:rsidTr="0044285B">
        <w:tc>
          <w:tcPr>
            <w:tcW w:w="4606" w:type="dxa"/>
            <w:shd w:val="clear" w:color="auto" w:fill="auto"/>
          </w:tcPr>
          <w:p w14:paraId="251E6703" w14:textId="06B1F45C" w:rsidR="0029141F" w:rsidRPr="0032662B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32662B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 Nymburce 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32662B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3266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32662B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32662B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501AC76D" w14:textId="77777777" w:rsidR="0029141F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</w:pPr>
            <w:r w:rsidRPr="0032662B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</w:t>
            </w:r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ng. Zdeněk Jahn, CSc.</w:t>
            </w:r>
          </w:p>
          <w:p w14:paraId="3FFD21F9" w14:textId="7AD436DA" w:rsidR="0032662B" w:rsidRPr="0032662B" w:rsidRDefault="0032662B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 w:rsidRPr="0032662B">
              <w:rPr>
                <w:rFonts w:ascii="Arial" w:hAnsi="Arial" w:cs="Arial"/>
                <w:b w:val="0"/>
                <w:i w:val="0"/>
                <w:sz w:val="22"/>
                <w:szCs w:val="22"/>
                <w:lang w:val="en-US"/>
              </w:rPr>
              <w:t xml:space="preserve"> Nymburk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3CF39859" w14:textId="7777777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05FCBA94" w14:textId="07667D55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>2. Zadání a požadavky na podrobný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geotechnický</w:t>
      </w:r>
      <w:r w:rsidRPr="00E93F51">
        <w:rPr>
          <w:rFonts w:ascii="Arial" w:eastAsiaTheme="minorHAnsi" w:hAnsi="Arial" w:cs="Arial"/>
          <w:b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t>průzkum pro polní cesty (DSP a DZS)</w:t>
      </w:r>
    </w:p>
    <w:p w14:paraId="4B8E7FFB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34D08D36" w14:textId="77777777" w:rsidR="00AF35CF" w:rsidRPr="00E93F51" w:rsidRDefault="00AF35CF" w:rsidP="00AF35CF">
      <w:pPr>
        <w:widowControl w:val="0"/>
        <w:spacing w:before="37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3FC61FF7" w14:textId="77777777" w:rsidR="00AF35CF" w:rsidRPr="00E93F51" w:rsidRDefault="00AF35CF" w:rsidP="00AF35CF">
      <w:pPr>
        <w:widowControl w:val="0"/>
        <w:spacing w:before="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2EC52E48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4D5C438F" w14:textId="77777777" w:rsidTr="00AF35C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D5B0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A9B8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079B16F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8986B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C280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932C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D844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9B54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514BC473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CDCD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11F83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2C4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EE8E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99C3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0E3A02AA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C460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70A4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225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9120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578D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4C3BF7E8" w14:textId="77777777" w:rsidTr="0086031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4E176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A646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B8D67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8028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D7345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2A2BDE8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250F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87A07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E5321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80B1B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ED6C9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  <w:tr w:rsidR="00AF35CF" w:rsidRPr="00E93F51" w14:paraId="18B86080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C1B7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56D55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037F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FA94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5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E5C5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1:1000</w:t>
            </w:r>
          </w:p>
        </w:tc>
      </w:tr>
    </w:tbl>
    <w:p w14:paraId="745AD681" w14:textId="77777777" w:rsidR="00AF35CF" w:rsidRPr="00E93F51" w:rsidRDefault="00AF35CF" w:rsidP="00AF35CF">
      <w:pPr>
        <w:widowControl w:val="0"/>
        <w:spacing w:before="1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BE4020E" w14:textId="41C56652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552FC234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243A2D0B" w14:textId="0A0D27F3" w:rsidR="00AF35CF" w:rsidRPr="00E93F51" w:rsidRDefault="00AC58BD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5405D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="00AF35CF"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66DEC4E7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9355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3103"/>
        <w:gridCol w:w="3072"/>
        <w:gridCol w:w="3180"/>
      </w:tblGrid>
      <w:tr w:rsidR="00AF35CF" w:rsidRPr="00E93F51" w14:paraId="0162C3FC" w14:textId="77777777" w:rsidTr="005405DF">
        <w:trPr>
          <w:trHeight w:hRule="exact" w:val="278"/>
        </w:trPr>
        <w:tc>
          <w:tcPr>
            <w:tcW w:w="935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4BDD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51A3859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551D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A741" w14:textId="77777777" w:rsidR="00AF35CF" w:rsidRPr="00E93F51" w:rsidRDefault="00AF35CF" w:rsidP="00AF35CF">
            <w:pPr>
              <w:spacing w:line="267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A6179" w14:textId="77777777" w:rsidR="00AF35CF" w:rsidRPr="00E93F51" w:rsidRDefault="00AF35CF" w:rsidP="00AF35CF">
            <w:pPr>
              <w:spacing w:line="267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5F51B507" w14:textId="77777777" w:rsidTr="005405DF">
        <w:trPr>
          <w:trHeight w:hRule="exact" w:val="281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07C8F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–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745B5" w14:textId="77777777" w:rsidR="00AF35CF" w:rsidRPr="00E93F51" w:rsidRDefault="00AF35CF" w:rsidP="00AF35CF">
            <w:pPr>
              <w:spacing w:line="267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9D65F" w14:textId="77777777" w:rsidR="00AF35CF" w:rsidRPr="00E93F51" w:rsidRDefault="00AF35CF" w:rsidP="00AF35CF">
            <w:pPr>
              <w:spacing w:line="267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343339EF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AC86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D33E" w14:textId="77777777" w:rsidR="00AF35CF" w:rsidRPr="00E93F51" w:rsidRDefault="00AF35CF" w:rsidP="00AF35CF">
            <w:pPr>
              <w:spacing w:line="264" w:lineRule="exact"/>
              <w:ind w:left="79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250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FBC99" w14:textId="77777777" w:rsidR="00AF35CF" w:rsidRPr="00E93F51" w:rsidRDefault="00AF35CF" w:rsidP="00AF35CF">
            <w:pPr>
              <w:spacing w:line="264" w:lineRule="exact"/>
              <w:ind w:left="848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125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609459BC" w14:textId="77777777" w:rsidTr="005405DF">
        <w:trPr>
          <w:trHeight w:hRule="exact" w:val="278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265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D0459" w14:textId="77777777" w:rsidR="00AF35CF" w:rsidRPr="00E93F51" w:rsidRDefault="00AF35CF" w:rsidP="00AF35CF">
            <w:pPr>
              <w:spacing w:line="264" w:lineRule="exact"/>
              <w:ind w:left="38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C6ED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niveletu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*</w:t>
            </w:r>
          </w:p>
        </w:tc>
      </w:tr>
      <w:tr w:rsidR="00AF35CF" w:rsidRPr="00E93F51" w14:paraId="64AE2C5A" w14:textId="77777777" w:rsidTr="00096F04">
        <w:trPr>
          <w:trHeight w:hRule="exact" w:val="52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36D4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3C017" w14:textId="77777777" w:rsidR="00AF35CF" w:rsidRPr="00E93F51" w:rsidRDefault="00AF35CF" w:rsidP="00096F04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Min. 1,5 m 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D0BE6" w14:textId="77777777" w:rsidR="00AF35CF" w:rsidRPr="00E93F51" w:rsidRDefault="00AF35CF" w:rsidP="00AF35CF">
            <w:pPr>
              <w:spacing w:line="264" w:lineRule="exact"/>
              <w:ind w:left="22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1,5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bázi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násypu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**</w:t>
            </w:r>
          </w:p>
        </w:tc>
      </w:tr>
      <w:tr w:rsidR="00AF35CF" w:rsidRPr="00E93F51" w14:paraId="37E7EBAB" w14:textId="77777777" w:rsidTr="00096F04">
        <w:trPr>
          <w:trHeight w:hRule="exact" w:val="687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8629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A47C4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 2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0040B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min.2-3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</w:t>
            </w:r>
            <w:proofErr w:type="spellEnd"/>
          </w:p>
        </w:tc>
      </w:tr>
      <w:tr w:rsidR="00AF35CF" w:rsidRPr="00E93F51" w14:paraId="3B11C730" w14:textId="77777777" w:rsidTr="00096F04">
        <w:trPr>
          <w:trHeight w:hRule="exact" w:val="583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8D88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6E7D1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808AE" w14:textId="77777777" w:rsidR="00AF35CF" w:rsidRPr="00E93F51" w:rsidRDefault="00AF35CF" w:rsidP="00096F04">
            <w:pPr>
              <w:spacing w:line="264" w:lineRule="exact"/>
              <w:ind w:left="10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skalního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podkladu</w:t>
            </w:r>
            <w:proofErr w:type="spellEnd"/>
          </w:p>
        </w:tc>
      </w:tr>
    </w:tbl>
    <w:p w14:paraId="34135D52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65EFE74E" w14:textId="77777777" w:rsidR="00AF35CF" w:rsidRPr="00E93F51" w:rsidRDefault="00AF35CF" w:rsidP="00AF35CF">
      <w:pPr>
        <w:widowControl w:val="0"/>
        <w:spacing w:line="259" w:lineRule="exact"/>
        <w:ind w:left="39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Poznámka:</w:t>
      </w:r>
    </w:p>
    <w:p w14:paraId="3F899758" w14:textId="7B6A110F" w:rsidR="00AF35CF" w:rsidRPr="00E93F51" w:rsidRDefault="00AF35CF" w:rsidP="00AF35CF">
      <w:pPr>
        <w:widowControl w:val="0"/>
        <w:tabs>
          <w:tab w:val="left" w:pos="1477"/>
        </w:tabs>
        <w:spacing w:before="41" w:line="273" w:lineRule="auto"/>
        <w:ind w:left="1116" w:right="57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="0086031A"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6031A" w:rsidRPr="00E93F51">
        <w:rPr>
          <w:rFonts w:ascii="Arial" w:eastAsia="Calibri" w:hAnsi="Arial" w:cs="Arial"/>
          <w:spacing w:val="8"/>
          <w:sz w:val="22"/>
          <w:szCs w:val="22"/>
          <w:lang w:eastAsia="en-US"/>
        </w:rPr>
        <w:t>při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hloubky sondy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zohlednit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hloubku budoucího odvodňovacího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zařízení</w:t>
      </w:r>
    </w:p>
    <w:p w14:paraId="1C7FD60D" w14:textId="77777777" w:rsidR="00AF35CF" w:rsidRPr="00E93F51" w:rsidRDefault="00AF35CF" w:rsidP="00AF35CF">
      <w:pPr>
        <w:widowControl w:val="0"/>
        <w:tabs>
          <w:tab w:val="left" w:pos="1477"/>
        </w:tabs>
        <w:spacing w:before="4"/>
        <w:ind w:left="111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dále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třeba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vzít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úvahu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únosnost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stlačitelnost</w:t>
      </w:r>
      <w:r w:rsidRPr="00E93F51">
        <w:rPr>
          <w:rFonts w:ascii="Arial" w:eastAsia="Calibri" w:hAnsi="Arial" w:cs="Arial"/>
          <w:spacing w:val="-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násypu</w:t>
      </w:r>
    </w:p>
    <w:p w14:paraId="70D839EE" w14:textId="77777777" w:rsidR="005405DF" w:rsidRPr="00E93F51" w:rsidRDefault="005405DF" w:rsidP="005405D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076D89F2" w14:textId="76E4F34C" w:rsidR="00AF35CF" w:rsidRPr="00E93F51" w:rsidRDefault="005405DF" w:rsidP="005405DF">
      <w:pPr>
        <w:widowContro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C. Požadavky</w:t>
      </w:r>
      <w:r w:rsidR="00AF35CF"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="00AF35CF"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="00AF35CF"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35CF"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51B3B4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41" w:line="275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předcházejících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etap</w:t>
      </w:r>
      <w:r w:rsidRPr="00E93F51">
        <w:rPr>
          <w:rFonts w:ascii="Arial" w:eastAsia="Calibri" w:hAnsi="Arial" w:cs="Arial"/>
          <w:spacing w:val="29"/>
          <w:sz w:val="22"/>
          <w:szCs w:val="22"/>
          <w:u w:val="single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u w:val="single"/>
          <w:lang w:eastAsia="en-US"/>
        </w:rPr>
        <w:t>průzkumu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zemního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tělesa</w:t>
      </w:r>
      <w:r w:rsidRPr="00E93F51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místa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nepřístupná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vrtným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soupravám</w:t>
      </w:r>
    </w:p>
    <w:p w14:paraId="2967A901" w14:textId="2698F81F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1" w:line="276" w:lineRule="auto"/>
        <w:ind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rozšířeném</w:t>
      </w:r>
      <w:r w:rsidRPr="00E93F51">
        <w:rPr>
          <w:rFonts w:ascii="Arial" w:eastAsia="Calibri" w:hAnsi="Arial" w:cs="Arial"/>
          <w:spacing w:val="2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než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="00E411CD"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průzkumu,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to</w:t>
      </w:r>
      <w:r w:rsidRPr="00E93F51">
        <w:rPr>
          <w:rFonts w:ascii="Arial" w:eastAsia="Calibri" w:hAnsi="Arial" w:cs="Arial"/>
          <w:spacing w:val="3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3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6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klasifikačních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systémů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norem</w:t>
      </w:r>
      <w:r w:rsidRPr="00E93F51">
        <w:rPr>
          <w:rFonts w:ascii="Arial" w:eastAsia="Calibri" w:hAnsi="Arial" w:cs="Arial"/>
          <w:spacing w:val="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736133,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75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 konkrétně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pak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08CB5014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line="274" w:lineRule="exact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ACBB207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do násypů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ve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 ČSN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7379C188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7"/>
        </w:tabs>
        <w:spacing w:before="3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6133</w:t>
      </w:r>
    </w:p>
    <w:p w14:paraId="21027C83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4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vhodnost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 pro úpravu pojivy ve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smyslu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 73 6133</w:t>
      </w:r>
    </w:p>
    <w:p w14:paraId="776F7C09" w14:textId="77777777" w:rsidR="00AF35CF" w:rsidRPr="00E93F51" w:rsidRDefault="00AF35CF" w:rsidP="00AF35CF">
      <w:pPr>
        <w:widowControl w:val="0"/>
        <w:numPr>
          <w:ilvl w:val="1"/>
          <w:numId w:val="39"/>
        </w:numPr>
        <w:tabs>
          <w:tab w:val="left" w:pos="1836"/>
        </w:tabs>
        <w:spacing w:before="31"/>
        <w:ind w:left="1835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</w:p>
    <w:p w14:paraId="0AF66C4B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  <w:sectPr w:rsidR="00AF35CF" w:rsidRPr="00E93F51" w:rsidSect="00C94BBA">
          <w:headerReference w:type="default" r:id="rId15"/>
          <w:pgSz w:w="11910" w:h="16840"/>
          <w:pgMar w:top="1134" w:right="1162" w:bottom="851" w:left="1021" w:header="709" w:footer="709" w:gutter="0"/>
          <w:cols w:space="708"/>
        </w:sectPr>
      </w:pPr>
    </w:p>
    <w:p w14:paraId="2AA53903" w14:textId="77777777" w:rsidR="00AF35CF" w:rsidRPr="00E93F51" w:rsidRDefault="00AF35CF" w:rsidP="00AF35CF">
      <w:pPr>
        <w:widowControl w:val="0"/>
        <w:numPr>
          <w:ilvl w:val="0"/>
          <w:numId w:val="39"/>
        </w:numPr>
        <w:tabs>
          <w:tab w:val="left" w:pos="1116"/>
        </w:tabs>
        <w:spacing w:before="34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4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je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(pokud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nejsou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již</w:t>
      </w:r>
      <w:r w:rsidRPr="00E93F51">
        <w:rPr>
          <w:rFonts w:ascii="Arial" w:eastAsia="Calibri" w:hAnsi="Arial" w:cs="Arial"/>
          <w:spacing w:val="6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předcházející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etapě)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prostředí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beton</w:t>
      </w:r>
      <w:r w:rsidRPr="00E93F51">
        <w:rPr>
          <w:rFonts w:ascii="Arial" w:eastAsia="Calibri" w:hAnsi="Arial" w:cs="Arial"/>
          <w:spacing w:val="5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F88F1AC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5BB60477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C1532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0BB2CFCC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6393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F14EE" w14:textId="77777777" w:rsidR="00AF35CF" w:rsidRPr="00E93F51" w:rsidRDefault="00AF35CF" w:rsidP="00AF35CF">
            <w:pPr>
              <w:ind w:left="102" w:right="28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Shromáždění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co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nejúplnějších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poměrech</w:t>
            </w:r>
            <w:proofErr w:type="spellEnd"/>
            <w:r w:rsidRPr="00E93F51">
              <w:rPr>
                <w:rFonts w:ascii="Arial" w:hAnsi="Arial" w:cs="Arial"/>
                <w:spacing w:val="5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AF35CF" w:rsidRPr="00E93F51" w14:paraId="3A6DA16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A76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90767" w14:textId="77777777" w:rsidR="00AF35CF" w:rsidRPr="00E93F51" w:rsidRDefault="00AF35CF" w:rsidP="00AF35CF">
            <w:pPr>
              <w:ind w:left="102" w:right="14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ověřených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geomechanických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</w:p>
        </w:tc>
      </w:tr>
      <w:tr w:rsidR="00AF35CF" w:rsidRPr="00E93F51" w14:paraId="13233737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4F177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012EE" w14:textId="77777777" w:rsidR="00AF35CF" w:rsidRPr="00E93F51" w:rsidRDefault="00AF35CF" w:rsidP="00AF35CF">
            <w:pPr>
              <w:ind w:left="102" w:right="45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že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nebyly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předcházející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etapě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(ČSN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206-1)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provést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</w:p>
        </w:tc>
      </w:tr>
      <w:tr w:rsidR="00AF35CF" w:rsidRPr="00E93F51" w14:paraId="758923B4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9EB1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5882" w14:textId="2F1D5FEA" w:rsidR="00AF35CF" w:rsidRPr="00E93F51" w:rsidRDefault="00AF35CF" w:rsidP="00AF35CF">
            <w:pPr>
              <w:ind w:left="102" w:right="29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technologických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vlastnostech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kterou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je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využít</w:t>
            </w:r>
            <w:proofErr w:type="spellEnd"/>
            <w:r w:rsidRPr="00E93F51">
              <w:rPr>
                <w:rFonts w:ascii="Arial" w:hAnsi="Arial" w:cs="Arial"/>
                <w:spacing w:val="7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ČSN 736133)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konsolidační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1A8CD4C0" w14:textId="77777777" w:rsidTr="00096F04">
        <w:trPr>
          <w:trHeight w:hRule="exact" w:val="8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B9E3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48BB" w14:textId="77777777" w:rsidR="00AF35CF" w:rsidRPr="00E93F51" w:rsidRDefault="00AF35CF" w:rsidP="00AF35CF">
            <w:pPr>
              <w:ind w:left="102" w:right="3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Doplnění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upřesnění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údajů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navrhnout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opatření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snížení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kapilární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vzlínavosti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vozovky</w:t>
            </w:r>
            <w:proofErr w:type="spellEnd"/>
          </w:p>
        </w:tc>
      </w:tr>
      <w:tr w:rsidR="00AF35CF" w:rsidRPr="00E93F51" w14:paraId="419A4123" w14:textId="77777777" w:rsidTr="00096F04">
        <w:trPr>
          <w:trHeight w:hRule="exact" w:val="113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80A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25CC" w14:textId="77777777" w:rsidR="00AF35CF" w:rsidRPr="00E93F51" w:rsidRDefault="00AF35CF" w:rsidP="00096F04">
            <w:pPr>
              <w:ind w:left="102" w:right="345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hydrogeologické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části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by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měli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být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:</w:t>
            </w:r>
          </w:p>
          <w:p w14:paraId="7331B861" w14:textId="388AE34B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přítoků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do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zářezů</w:t>
            </w:r>
            <w:proofErr w:type="spellEnd"/>
          </w:p>
          <w:p w14:paraId="557B670F" w14:textId="4F16A940" w:rsidR="00AF35CF" w:rsidRPr="00E93F51" w:rsidRDefault="00AF35CF" w:rsidP="00096F04">
            <w:pPr>
              <w:pStyle w:val="Odstavecseseznamem"/>
              <w:numPr>
                <w:ilvl w:val="0"/>
                <w:numId w:val="38"/>
              </w:numPr>
              <w:ind w:right="345"/>
              <w:rPr>
                <w:rFonts w:ascii="Arial" w:eastAsiaTheme="minorHAnsi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Vliv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hladinu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eastAsiaTheme="minorHAnsi" w:hAnsi="Arial" w:cs="Arial"/>
                <w:spacing w:val="-1"/>
                <w:sz w:val="22"/>
                <w:szCs w:val="22"/>
              </w:rPr>
              <w:t>vody</w:t>
            </w:r>
            <w:proofErr w:type="spellEnd"/>
          </w:p>
          <w:p w14:paraId="7A2D942B" w14:textId="77777777" w:rsidR="00AF35CF" w:rsidRPr="00E93F51" w:rsidRDefault="00AF35CF" w:rsidP="00AF35CF">
            <w:pPr>
              <w:numPr>
                <w:ilvl w:val="0"/>
                <w:numId w:val="38"/>
              </w:numPr>
              <w:tabs>
                <w:tab w:val="left" w:pos="823"/>
              </w:tabs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obyvatelstvo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ovlivnění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stavbou</w:t>
            </w:r>
            <w:proofErr w:type="spellEnd"/>
          </w:p>
        </w:tc>
      </w:tr>
      <w:tr w:rsidR="006053C4" w:rsidRPr="00E93F51" w14:paraId="27B6431F" w14:textId="77777777" w:rsidTr="00555E92">
        <w:trPr>
          <w:trHeight w:hRule="exact" w:val="58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1BDF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0CBC7" w14:textId="77777777" w:rsidR="006053C4" w:rsidRPr="00E93F51" w:rsidRDefault="006053C4" w:rsidP="00555E92">
            <w:pPr>
              <w:spacing w:line="264" w:lineRule="exact"/>
              <w:ind w:right="343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55B8DCF6" w14:textId="0166ED60" w:rsidR="00DA1ACB" w:rsidRPr="00E93F51" w:rsidRDefault="00DA1ACB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64AD3CB0" w14:textId="77777777" w:rsidR="00DA1ACB" w:rsidRPr="00E93F51" w:rsidRDefault="00DA1ACB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659E3512" w14:textId="77777777" w:rsidR="00AF35CF" w:rsidRPr="00E93F51" w:rsidRDefault="00AF35CF" w:rsidP="00F94E6C">
      <w:pPr>
        <w:widowControl w:val="0"/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21F73454" w14:textId="649E4D4D" w:rsidR="00A85C66" w:rsidRPr="00E93F51" w:rsidRDefault="001C645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3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77777777" w:rsidR="00DA1ACB" w:rsidRPr="00E93F51" w:rsidRDefault="00DA1ACB">
      <w:pPr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5E7E4D3A" w14:textId="25A820FF" w:rsidR="00A85C66" w:rsidRPr="00E93F51" w:rsidRDefault="00A85C66" w:rsidP="00065B13">
      <w:pPr>
        <w:spacing w:before="126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lastRenderedPageBreak/>
        <w:t xml:space="preserve">3.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požadavky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 na podrobný geotechnický</w:t>
      </w:r>
      <w:r w:rsidR="00AF35CF" w:rsidRPr="00E93F51">
        <w:rPr>
          <w:rFonts w:ascii="Arial" w:eastAsiaTheme="minorHAnsi" w:hAnsi="Arial" w:cs="Arial"/>
          <w:b/>
          <w:spacing w:val="-3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průzkum pro</w:t>
      </w:r>
      <w:r w:rsidR="00AF35CF" w:rsidRPr="00E93F51">
        <w:rPr>
          <w:rFonts w:ascii="Arial" w:eastAsiaTheme="minorHAnsi" w:hAnsi="Arial" w:cs="Arial"/>
          <w:b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vodní</w:t>
      </w:r>
      <w:r w:rsidRPr="00E93F51">
        <w:rPr>
          <w:rFonts w:ascii="Arial" w:eastAsiaTheme="minorHAnsi" w:hAnsi="Arial" w:cs="Arial"/>
          <w:b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 xml:space="preserve">nádrže </w:t>
      </w:r>
      <w:r w:rsidR="00AF35CF" w:rsidRPr="00E93F51">
        <w:rPr>
          <w:rFonts w:ascii="Arial" w:eastAsiaTheme="minorHAnsi" w:hAnsi="Arial" w:cs="Arial"/>
          <w:b/>
          <w:sz w:val="22"/>
          <w:szCs w:val="22"/>
          <w:u w:val="single" w:color="000000"/>
        </w:rPr>
        <w:t xml:space="preserve">a </w:t>
      </w:r>
      <w:r w:rsidR="00AF35CF"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</w:rPr>
        <w:t>poldry</w:t>
      </w:r>
    </w:p>
    <w:p w14:paraId="5956C3E0" w14:textId="77777777" w:rsidR="00A85C66" w:rsidRPr="00E93F51" w:rsidRDefault="00A85C66" w:rsidP="00065B13">
      <w:pPr>
        <w:spacing w:before="37"/>
        <w:ind w:left="360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</w:p>
    <w:p w14:paraId="1317847B" w14:textId="77777777" w:rsidR="00AF35CF" w:rsidRPr="00E93F51" w:rsidRDefault="00AF35CF" w:rsidP="0086031A">
      <w:pPr>
        <w:widowControl w:val="0"/>
        <w:spacing w:before="3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Theme="minorHAnsi" w:hAnsi="Arial" w:cs="Arial"/>
          <w:spacing w:val="-1"/>
          <w:sz w:val="22"/>
          <w:szCs w:val="22"/>
          <w:u w:val="single" w:color="000000"/>
          <w:lang w:eastAsia="en-US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842302A" w14:textId="77777777" w:rsidR="00AF35CF" w:rsidRPr="00E93F51" w:rsidRDefault="00AF35CF" w:rsidP="00AF35CF">
      <w:pPr>
        <w:widowControl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E3E67B0" w14:textId="77777777" w:rsidR="00AF35CF" w:rsidRPr="00E93F51" w:rsidRDefault="00AF35CF" w:rsidP="00AF35CF">
      <w:pPr>
        <w:widowControl w:val="0"/>
        <w:spacing w:before="56" w:line="276" w:lineRule="auto"/>
        <w:ind w:left="396" w:right="735"/>
        <w:rPr>
          <w:rFonts w:ascii="Arial" w:eastAsia="Calibri" w:hAnsi="Arial" w:cs="Arial"/>
          <w:strike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AF35CF" w:rsidRPr="00E93F51" w14:paraId="490368C3" w14:textId="77777777" w:rsidTr="00AF35CF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CC01F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1A1A9F6D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6D24A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E255F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61B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E5A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38AEF66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2EA93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B1F1" w14:textId="77777777" w:rsidR="00AF35CF" w:rsidRPr="00E93F51" w:rsidRDefault="00AF35CF" w:rsidP="00AF35CF">
            <w:pPr>
              <w:spacing w:line="264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0284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69280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7A0A5771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F358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4E4F7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0B3A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97C1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1000</w:t>
            </w:r>
          </w:p>
        </w:tc>
      </w:tr>
      <w:tr w:rsidR="00AF35CF" w:rsidRPr="00E93F51" w14:paraId="2FF8201F" w14:textId="77777777" w:rsidTr="00AF35CF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98920" w14:textId="77777777" w:rsidR="00AF35CF" w:rsidRPr="00E93F51" w:rsidRDefault="00AF35CF" w:rsidP="00AF35CF">
            <w:pPr>
              <w:spacing w:line="264" w:lineRule="exact"/>
              <w:ind w:left="82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příčný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E93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2E2A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CE3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21F7F79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513D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7CD84" w14:textId="77777777" w:rsidR="00AF35CF" w:rsidRPr="00E93F51" w:rsidRDefault="00AF35CF" w:rsidP="00AF35CF">
            <w:pPr>
              <w:spacing w:line="267" w:lineRule="exact"/>
              <w:ind w:left="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1EB0" w14:textId="77777777" w:rsidR="00AF35CF" w:rsidRPr="00E93F51" w:rsidRDefault="00AF35CF" w:rsidP="00AF35CF">
            <w:pPr>
              <w:spacing w:line="267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A28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0D1A2510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1A41C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19A9E" w14:textId="77777777" w:rsidR="00AF35CF" w:rsidRPr="00E93F51" w:rsidRDefault="00AF35CF" w:rsidP="00AF35CF">
            <w:pPr>
              <w:spacing w:line="264" w:lineRule="exact"/>
              <w:ind w:left="1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56E1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C9E1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0C9394" w14:textId="77777777" w:rsidR="00AF35CF" w:rsidRPr="00E93F51" w:rsidRDefault="00AF35CF" w:rsidP="00AF35CF">
      <w:pPr>
        <w:widowControl w:val="0"/>
        <w:spacing w:before="5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0867A84" w14:textId="10B64B67" w:rsidR="00AF35CF" w:rsidRPr="00E93F51" w:rsidRDefault="00AF35CF" w:rsidP="00AF35CF">
      <w:pPr>
        <w:widowControl w:val="0"/>
        <w:tabs>
          <w:tab w:val="left" w:pos="1811"/>
        </w:tabs>
        <w:spacing w:before="56" w:line="276" w:lineRule="auto"/>
        <w:ind w:left="395" w:right="42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podkladech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musí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zakresleny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všechny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inženýrské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sítě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 úplnost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potvrdí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objednatel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podpisem.</w:t>
      </w:r>
    </w:p>
    <w:p w14:paraId="22170D6B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sz w:val="22"/>
          <w:szCs w:val="22"/>
          <w:lang w:eastAsia="en-US"/>
        </w:rPr>
      </w:pPr>
    </w:p>
    <w:p w14:paraId="696A9830" w14:textId="77777777" w:rsidR="00AF35CF" w:rsidRPr="00E93F51" w:rsidRDefault="00AF35CF" w:rsidP="00AF35CF">
      <w:pPr>
        <w:widowControl w:val="0"/>
        <w:ind w:left="395" w:hanging="3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B.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technické</w:t>
      </w:r>
      <w:r w:rsidRPr="00E93F51">
        <w:rPr>
          <w:rFonts w:ascii="Arial" w:eastAsia="Calibri" w:hAnsi="Arial" w:cs="Arial"/>
          <w:b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práce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podklady:</w:t>
      </w:r>
    </w:p>
    <w:p w14:paraId="395D4CDE" w14:textId="77777777" w:rsidR="00AF35CF" w:rsidRPr="00E93F51" w:rsidRDefault="00AF35CF" w:rsidP="00AF35CF">
      <w:pPr>
        <w:widowControl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AF35CF" w:rsidRPr="00E93F51" w14:paraId="72E7BC9F" w14:textId="77777777" w:rsidTr="00AF35CF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ABBE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Požadované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průzkumných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podrobný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GTP</w:t>
            </w:r>
          </w:p>
        </w:tc>
      </w:tr>
      <w:tr w:rsidR="00AF35CF" w:rsidRPr="00E93F51" w14:paraId="1EDB5DF4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1DF1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57BE6" w14:textId="77777777" w:rsidR="00AF35CF" w:rsidRPr="00E93F51" w:rsidRDefault="00AF35CF" w:rsidP="00AF35CF">
            <w:pPr>
              <w:spacing w:line="264" w:lineRule="exact"/>
              <w:ind w:left="99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ED5C2" w14:textId="77777777" w:rsidR="00AF35CF" w:rsidRPr="00E93F51" w:rsidRDefault="00AF35CF" w:rsidP="00AF35CF">
            <w:pPr>
              <w:spacing w:line="264" w:lineRule="exact"/>
              <w:ind w:left="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Složité</w:t>
            </w:r>
            <w:proofErr w:type="spellEnd"/>
          </w:p>
        </w:tc>
      </w:tr>
      <w:tr w:rsidR="00AF35CF" w:rsidRPr="00E93F51" w14:paraId="30D0EFAD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01FC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včetně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FC95E" w14:textId="77777777" w:rsidR="00AF35CF" w:rsidRPr="00E93F51" w:rsidRDefault="00AF35CF" w:rsidP="00AF35CF">
            <w:pPr>
              <w:spacing w:line="264" w:lineRule="exact"/>
              <w:ind w:left="85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50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CFE34" w14:textId="77777777" w:rsidR="00AF35CF" w:rsidRPr="00E93F51" w:rsidRDefault="00AF35CF" w:rsidP="00AF35CF">
            <w:pPr>
              <w:spacing w:line="264" w:lineRule="exact"/>
              <w:ind w:left="69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25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35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  <w:tr w:rsidR="00AF35CF" w:rsidRPr="00E93F51" w14:paraId="7BACB4B7" w14:textId="77777777" w:rsidTr="00AF35CF">
        <w:trPr>
          <w:trHeight w:hRule="exact" w:val="54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79112" w14:textId="77777777" w:rsidR="00AF35CF" w:rsidRPr="00E93F51" w:rsidRDefault="00AF35CF" w:rsidP="00AF35CF">
            <w:pPr>
              <w:ind w:left="102" w:right="566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přelivu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5357C" w14:textId="77777777" w:rsidR="00AF35CF" w:rsidRPr="00E93F51" w:rsidRDefault="00AF35CF" w:rsidP="00AF35CF">
            <w:pPr>
              <w:spacing w:line="264" w:lineRule="exact"/>
              <w:ind w:left="951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196A3" w14:textId="77777777" w:rsidR="00AF35CF" w:rsidRPr="00E93F51" w:rsidRDefault="00AF35CF" w:rsidP="00AF35CF">
            <w:pPr>
              <w:spacing w:line="264" w:lineRule="exact"/>
              <w:ind w:left="100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sondy</w:t>
            </w:r>
            <w:proofErr w:type="spellEnd"/>
          </w:p>
        </w:tc>
      </w:tr>
      <w:tr w:rsidR="00AF35CF" w:rsidRPr="00E93F51" w14:paraId="6F726AAF" w14:textId="77777777" w:rsidTr="00096F04">
        <w:trPr>
          <w:trHeight w:hRule="exact" w:val="12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DD7F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26EB3" w14:textId="77777777" w:rsidR="00AF35CF" w:rsidRPr="00E93F51" w:rsidRDefault="00AF35CF" w:rsidP="00AF35CF">
            <w:pPr>
              <w:ind w:left="241" w:right="23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DB8AB" w14:textId="77777777" w:rsidR="00AF35CF" w:rsidRPr="00E93F51" w:rsidRDefault="00AF35CF" w:rsidP="00AF35CF">
            <w:pPr>
              <w:ind w:left="294" w:right="292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výšky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složitosti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624B8C65" w14:textId="77777777" w:rsidTr="00096F04">
        <w:trPr>
          <w:trHeight w:hRule="exact" w:val="128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3B171" w14:textId="77777777" w:rsidR="00AF35CF" w:rsidRPr="00E93F51" w:rsidRDefault="00AF35CF" w:rsidP="00AF35CF">
            <w:pPr>
              <w:ind w:left="102" w:right="70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2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apod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E3" w14:textId="77777777" w:rsidR="00AF35CF" w:rsidRPr="00E93F51" w:rsidRDefault="00AF35CF" w:rsidP="00AF35CF">
            <w:pPr>
              <w:ind w:left="145" w:right="141" w:firstLine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2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2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B215" w14:textId="77777777" w:rsidR="00AF35CF" w:rsidRPr="00E93F51" w:rsidRDefault="00AF35CF" w:rsidP="00AF35CF">
            <w:pPr>
              <w:ind w:left="102" w:right="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až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4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pod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projektovanou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základovou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spárou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vždy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ukončeno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dostatečně</w:t>
            </w:r>
            <w:proofErr w:type="spellEnd"/>
            <w:r w:rsidRPr="00E93F51">
              <w:rPr>
                <w:rFonts w:ascii="Arial" w:hAnsi="Arial" w:cs="Arial"/>
                <w:spacing w:val="2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únosných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vrstvách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AF35CF" w:rsidRPr="00E93F51" w14:paraId="7082867E" w14:textId="77777777" w:rsidTr="00AF35C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5E47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Počet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B685" w14:textId="77777777" w:rsidR="00AF35CF" w:rsidRPr="00E93F51" w:rsidRDefault="00AF35CF" w:rsidP="00AF35CF">
            <w:pPr>
              <w:spacing w:line="267" w:lineRule="exact"/>
              <w:ind w:left="89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BBC46" w14:textId="77777777" w:rsidR="00AF35CF" w:rsidRPr="00E93F51" w:rsidRDefault="00AF35CF" w:rsidP="00AF35CF">
            <w:pPr>
              <w:spacing w:line="267" w:lineRule="exact"/>
              <w:ind w:left="946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Min.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ha</w:t>
            </w:r>
          </w:p>
        </w:tc>
      </w:tr>
      <w:tr w:rsidR="00AF35CF" w:rsidRPr="00E93F51" w14:paraId="7916231D" w14:textId="77777777" w:rsidTr="00096F04">
        <w:trPr>
          <w:trHeight w:hRule="exact" w:val="113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E9166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Hloubka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sond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CD92F" w14:textId="77777777" w:rsidR="00AF35CF" w:rsidRPr="00E93F51" w:rsidRDefault="00AF35CF" w:rsidP="00AF35CF">
            <w:pPr>
              <w:spacing w:line="239" w:lineRule="auto"/>
              <w:ind w:left="210" w:right="201" w:hanging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C5D3" w14:textId="77777777" w:rsidR="00AF35CF" w:rsidRPr="00E93F51" w:rsidRDefault="00AF35CF" w:rsidP="00AF35CF">
            <w:pPr>
              <w:spacing w:line="239" w:lineRule="auto"/>
              <w:ind w:left="260" w:right="25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30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2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konzistence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měkké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kašovité</w:t>
            </w:r>
            <w:proofErr w:type="spellEnd"/>
          </w:p>
        </w:tc>
      </w:tr>
    </w:tbl>
    <w:p w14:paraId="614E0C4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sz w:val="22"/>
          <w:szCs w:val="22"/>
          <w:lang w:eastAsia="en-US"/>
        </w:rPr>
      </w:pPr>
    </w:p>
    <w:p w14:paraId="0DE56B05" w14:textId="77777777" w:rsidR="001425F7" w:rsidRPr="00E93F51" w:rsidRDefault="001425F7" w:rsidP="00AF35CF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</w:p>
    <w:p w14:paraId="44D4B100" w14:textId="77777777" w:rsidR="001425F7" w:rsidRPr="00E93F51" w:rsidRDefault="001425F7">
      <w:pPr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br w:type="page"/>
      </w:r>
    </w:p>
    <w:p w14:paraId="2B898277" w14:textId="46DC8FF6" w:rsidR="00C60B08" w:rsidRPr="00E93F51" w:rsidRDefault="00AF35CF" w:rsidP="006369DD">
      <w:pPr>
        <w:widowControl w:val="0"/>
        <w:spacing w:before="56"/>
        <w:ind w:left="395" w:hanging="360"/>
        <w:rPr>
          <w:rFonts w:ascii="Arial" w:eastAsia="Calibri" w:hAnsi="Arial" w:cs="Arial"/>
          <w:b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lastRenderedPageBreak/>
        <w:t>C. Požadavky</w:t>
      </w:r>
      <w:r w:rsidRPr="00E93F51">
        <w:rPr>
          <w:rFonts w:ascii="Arial" w:eastAsia="Calibri" w:hAnsi="Arial" w:cs="Arial"/>
          <w:b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terénní</w:t>
      </w:r>
      <w:r w:rsidRPr="00E93F51">
        <w:rPr>
          <w:rFonts w:ascii="Arial" w:eastAsia="Calibri" w:hAnsi="Arial" w:cs="Arial"/>
          <w:b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měření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a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spacing w:val="-1"/>
          <w:sz w:val="22"/>
          <w:szCs w:val="22"/>
          <w:lang w:eastAsia="en-US"/>
        </w:rPr>
        <w:t>zkoušky:</w:t>
      </w:r>
    </w:p>
    <w:p w14:paraId="10B34489" w14:textId="4DAC3DA2" w:rsidR="00C60B08" w:rsidRPr="00E93F51" w:rsidRDefault="00AF35CF" w:rsidP="006369DD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645632D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59E9D04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9E9048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B5F4764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142C8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4A213BD3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7800F08E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A8BA2BD" w14:textId="69B7847D" w:rsidR="00C60B08" w:rsidRPr="00E93F51" w:rsidRDefault="00AF35CF" w:rsidP="006369DD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5BC61A7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26FAF978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3178BC89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1341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podrobném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65BA088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AD9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20B58" w14:textId="77777777" w:rsidR="00AF35CF" w:rsidRPr="00E93F51" w:rsidRDefault="00AF35CF" w:rsidP="00AF35CF">
            <w:pPr>
              <w:ind w:left="102" w:right="58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Ověření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</w:p>
        </w:tc>
      </w:tr>
      <w:tr w:rsidR="00AF35CF" w:rsidRPr="00E93F51" w14:paraId="559D6B38" w14:textId="77777777" w:rsidTr="005A57EA">
        <w:trPr>
          <w:trHeight w:hRule="exact" w:val="82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3F6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DED6" w14:textId="0FAFC42A" w:rsidR="00AF35CF" w:rsidRPr="00E93F51" w:rsidRDefault="00AF35CF" w:rsidP="005A57EA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="005A57EA"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D2C13B1" w14:textId="77777777" w:rsidTr="00195F73">
        <w:trPr>
          <w:trHeight w:hRule="exact" w:val="79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7150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E13D7" w14:textId="77777777" w:rsidR="00AF35CF" w:rsidRPr="00E93F51" w:rsidRDefault="00AF35CF" w:rsidP="00AF35CF">
            <w:pPr>
              <w:ind w:left="102" w:right="27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zařízením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</w:p>
        </w:tc>
      </w:tr>
      <w:tr w:rsidR="00AF35CF" w:rsidRPr="00E93F51" w14:paraId="436AE096" w14:textId="77777777" w:rsidTr="00195F73">
        <w:trPr>
          <w:trHeight w:hRule="exact" w:val="2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C5F6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557E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206-1.</w:t>
            </w:r>
          </w:p>
        </w:tc>
      </w:tr>
      <w:tr w:rsidR="00AF35CF" w:rsidRPr="00E93F51" w14:paraId="77ADC663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6AAE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6C2D9" w14:textId="77777777" w:rsidR="00AF35CF" w:rsidRPr="00E93F51" w:rsidRDefault="00AF35CF" w:rsidP="00AF35CF">
            <w:pPr>
              <w:ind w:left="102" w:right="3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ČSN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752410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6133.</w:t>
            </w:r>
          </w:p>
        </w:tc>
      </w:tr>
      <w:tr w:rsidR="00AF35CF" w:rsidRPr="00E93F51" w14:paraId="7EE62539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0AFB6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1BAC1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4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7AB259F6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EF4DD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4B78C" w14:textId="77777777" w:rsidR="00AF35CF" w:rsidRPr="00E93F51" w:rsidRDefault="00AF35CF" w:rsidP="00AF35CF">
            <w:pPr>
              <w:ind w:left="102" w:right="1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zastiženého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homogenní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smíšené</w:t>
            </w:r>
            <w:proofErr w:type="spellEnd"/>
            <w:r w:rsidRPr="00E93F51">
              <w:rPr>
                <w:rFonts w:ascii="Arial" w:hAnsi="Arial" w:cs="Arial"/>
                <w:spacing w:val="3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24F6DBE" w14:textId="77777777" w:rsidTr="00195F73">
        <w:trPr>
          <w:trHeight w:hRule="exact" w:val="63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225FC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7F283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78B8ED41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21048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7501B" w14:textId="77777777" w:rsidR="00AF35CF" w:rsidRPr="00E93F51" w:rsidRDefault="00AF35CF" w:rsidP="00AF35CF">
            <w:pPr>
              <w:ind w:left="102" w:right="56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6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</w:p>
        </w:tc>
      </w:tr>
      <w:tr w:rsidR="00AF35CF" w:rsidRPr="00E93F51" w14:paraId="002860E1" w14:textId="77777777" w:rsidTr="00AF35CF">
        <w:trPr>
          <w:trHeight w:hRule="exact" w:val="8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2C175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4A69A" w14:textId="77777777" w:rsidR="00AF35CF" w:rsidRPr="00E93F51" w:rsidRDefault="00AF35CF" w:rsidP="00AF35CF">
            <w:pPr>
              <w:ind w:left="102" w:right="28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5726510" w14:textId="77777777" w:rsidTr="00555E92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93FD4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2624F" w14:textId="77777777" w:rsidR="006053C4" w:rsidRPr="00E93F51" w:rsidRDefault="006053C4" w:rsidP="00AF35CF">
            <w:pPr>
              <w:ind w:left="102" w:right="287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79F04263" w14:textId="42DB781C" w:rsidR="00277E6B" w:rsidRPr="00E93F51" w:rsidRDefault="00277E6B" w:rsidP="00555E92">
      <w:pPr>
        <w:jc w:val="both"/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p w14:paraId="789BAE46" w14:textId="7DF009E4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C81B" w14:textId="65F32A1B" w:rsidR="00F523A5" w:rsidRDefault="00980B25">
    <w:pPr>
      <w:pStyle w:val="Zhlav"/>
    </w:pPr>
    <w:r>
      <w:t>Příloha č.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286812086">
    <w:abstractNumId w:val="5"/>
  </w:num>
  <w:num w:numId="2" w16cid:durableId="1235123965">
    <w:abstractNumId w:val="12"/>
  </w:num>
  <w:num w:numId="3" w16cid:durableId="431626710">
    <w:abstractNumId w:val="8"/>
  </w:num>
  <w:num w:numId="4" w16cid:durableId="1245724620">
    <w:abstractNumId w:val="17"/>
  </w:num>
  <w:num w:numId="5" w16cid:durableId="2000884266">
    <w:abstractNumId w:val="45"/>
  </w:num>
  <w:num w:numId="6" w16cid:durableId="1846168052">
    <w:abstractNumId w:val="14"/>
  </w:num>
  <w:num w:numId="7" w16cid:durableId="777523350">
    <w:abstractNumId w:val="4"/>
  </w:num>
  <w:num w:numId="8" w16cid:durableId="234511010">
    <w:abstractNumId w:val="24"/>
  </w:num>
  <w:num w:numId="9" w16cid:durableId="1105686701">
    <w:abstractNumId w:val="41"/>
  </w:num>
  <w:num w:numId="10" w16cid:durableId="347758565">
    <w:abstractNumId w:val="35"/>
  </w:num>
  <w:num w:numId="11" w16cid:durableId="893734896">
    <w:abstractNumId w:val="47"/>
  </w:num>
  <w:num w:numId="12" w16cid:durableId="2059937236">
    <w:abstractNumId w:val="10"/>
  </w:num>
  <w:num w:numId="13" w16cid:durableId="1960643845">
    <w:abstractNumId w:val="9"/>
  </w:num>
  <w:num w:numId="14" w16cid:durableId="1694309672">
    <w:abstractNumId w:val="46"/>
  </w:num>
  <w:num w:numId="15" w16cid:durableId="610431294">
    <w:abstractNumId w:val="16"/>
  </w:num>
  <w:num w:numId="16" w16cid:durableId="252857935">
    <w:abstractNumId w:val="30"/>
  </w:num>
  <w:num w:numId="17" w16cid:durableId="824784655">
    <w:abstractNumId w:val="25"/>
  </w:num>
  <w:num w:numId="18" w16cid:durableId="504709567">
    <w:abstractNumId w:val="0"/>
  </w:num>
  <w:num w:numId="19" w16cid:durableId="1220701616">
    <w:abstractNumId w:val="2"/>
  </w:num>
  <w:num w:numId="20" w16cid:durableId="2098859975">
    <w:abstractNumId w:val="11"/>
  </w:num>
  <w:num w:numId="21" w16cid:durableId="2039232002">
    <w:abstractNumId w:val="28"/>
  </w:num>
  <w:num w:numId="22" w16cid:durableId="909317106">
    <w:abstractNumId w:val="31"/>
  </w:num>
  <w:num w:numId="23" w16cid:durableId="505365873">
    <w:abstractNumId w:val="29"/>
  </w:num>
  <w:num w:numId="24" w16cid:durableId="502203817">
    <w:abstractNumId w:val="26"/>
  </w:num>
  <w:num w:numId="25" w16cid:durableId="1808159335">
    <w:abstractNumId w:val="22"/>
  </w:num>
  <w:num w:numId="26" w16cid:durableId="554243903">
    <w:abstractNumId w:val="3"/>
  </w:num>
  <w:num w:numId="27" w16cid:durableId="979843509">
    <w:abstractNumId w:val="37"/>
  </w:num>
  <w:num w:numId="28" w16cid:durableId="1873496953">
    <w:abstractNumId w:val="48"/>
  </w:num>
  <w:num w:numId="29" w16cid:durableId="684095112">
    <w:abstractNumId w:val="13"/>
  </w:num>
  <w:num w:numId="30" w16cid:durableId="1951549858">
    <w:abstractNumId w:val="34"/>
  </w:num>
  <w:num w:numId="31" w16cid:durableId="60639675">
    <w:abstractNumId w:val="18"/>
  </w:num>
  <w:num w:numId="32" w16cid:durableId="128866051">
    <w:abstractNumId w:val="32"/>
  </w:num>
  <w:num w:numId="33" w16cid:durableId="1900749544">
    <w:abstractNumId w:val="19"/>
  </w:num>
  <w:num w:numId="34" w16cid:durableId="1655911234">
    <w:abstractNumId w:val="21"/>
  </w:num>
  <w:num w:numId="35" w16cid:durableId="1041632933">
    <w:abstractNumId w:val="33"/>
  </w:num>
  <w:num w:numId="36" w16cid:durableId="377977987">
    <w:abstractNumId w:val="20"/>
  </w:num>
  <w:num w:numId="37" w16cid:durableId="1125154606">
    <w:abstractNumId w:val="7"/>
  </w:num>
  <w:num w:numId="38" w16cid:durableId="554657132">
    <w:abstractNumId w:val="49"/>
  </w:num>
  <w:num w:numId="39" w16cid:durableId="406460736">
    <w:abstractNumId w:val="1"/>
  </w:num>
  <w:num w:numId="40" w16cid:durableId="197670512">
    <w:abstractNumId w:val="44"/>
  </w:num>
  <w:num w:numId="41" w16cid:durableId="1768232546">
    <w:abstractNumId w:val="27"/>
  </w:num>
  <w:num w:numId="42" w16cid:durableId="1039934123">
    <w:abstractNumId w:val="42"/>
  </w:num>
  <w:num w:numId="43" w16cid:durableId="1694108654">
    <w:abstractNumId w:val="43"/>
  </w:num>
  <w:num w:numId="44" w16cid:durableId="1929577502">
    <w:abstractNumId w:val="40"/>
  </w:num>
  <w:num w:numId="45" w16cid:durableId="633296391">
    <w:abstractNumId w:val="36"/>
  </w:num>
  <w:num w:numId="46" w16cid:durableId="1832284314">
    <w:abstractNumId w:val="15"/>
  </w:num>
  <w:num w:numId="47" w16cid:durableId="5084528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1220105">
    <w:abstractNumId w:val="38"/>
  </w:num>
  <w:num w:numId="49" w16cid:durableId="668144022">
    <w:abstractNumId w:val="39"/>
  </w:num>
  <w:num w:numId="50" w16cid:durableId="1598755926">
    <w:abstractNumId w:val="6"/>
  </w:num>
  <w:num w:numId="51" w16cid:durableId="32840664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46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056D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175E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88E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662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362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3E40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39F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0B25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035F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1D9B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276CB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5918</Words>
  <Characters>35068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40905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Marešová Vendula Ing.</cp:lastModifiedBy>
  <cp:revision>5</cp:revision>
  <cp:lastPrinted>2017-03-30T06:05:00Z</cp:lastPrinted>
  <dcterms:created xsi:type="dcterms:W3CDTF">2023-07-17T12:04:00Z</dcterms:created>
  <dcterms:modified xsi:type="dcterms:W3CDTF">2023-11-30T11:54:00Z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